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15 August 2026, P10B-16P-04 real Storefront Studio Design Intent acceptance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15 August 2026, P10B-16P-04 real Studio Design Intent V2 acceptance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P10B-16P-04 and implemented families</w:t>
            </w:r>
          </w:p>
        </w:tc>
        <w:tc>
          <w:tcPr>
            <w:tcW w:w="2890" w:type="dxa"/>
            <w:vAlign w:val="center"/>
          </w:tcPr>
          <w:p>
            <w:pPr>
              <w:pStyle w:val="CompactTableText"/>
              <w:widowControl/>
            </w:pPr>
            <w:r>
              <w:rPr>
                <w:rFonts w:ascii="Calibri" w:hAnsi="Calibri" w:cs="Calibri"/>
              </w:rPr>
              <w:t>Four-width EN/FI geometry, a11y, performance and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P10B-16 and P10B-16P-01 through P10B-16P-04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P10B-17 and P10B-18 remain </w:t>
      </w:r>
      <w:r>
        <w:rPr>
          <w:rFonts w:ascii="Calibri" w:hAnsi="Calibri" w:cs="Calibri"/>
          <w:b/>
          <w:bCs/>
        </w:rPr>
        <w:t>Planned</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 sequence is a mandatory convergence package between P10B-16 and P10B-17; it supplements rather than renumbers the locked P10B-01 through P10B-18 plan.</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but runtime search materialization requires exact transient query/results from a first-class canonical adapter. Until P11 supplies that seam, missing search context fails closed and never substitutes a collection.</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Search presentation remains registered while execution fails closed. P10B-16L is </w:t>
      </w:r>
      <w:r>
        <w:rPr>
          <w:rFonts w:ascii="Calibri" w:hAnsi="Calibri" w:cs="Calibri"/>
          <w:b/>
          <w:bCs/>
        </w:rPr>
        <w:t>Deprecated compatibility-only</w:t>
      </w:r>
      <w:r>
        <w:rPr>
          <w:rFonts w:ascii="Calibri" w:hAnsi="Calibri" w:cs="Calibri"/>
        </w:rPr>
        <w:t xml:space="preserve"> and is retained for historical evidence, migration/safety regressions, and later authorized cleanup.</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P10B-16P-04 and implemented commercial families/profiles/directions.</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3" w:history="1">
        <w:r>
          <w:rPr>
            <w:rFonts w:ascii="Calibri" w:hAnsi="Calibri" w:cs="Calibri"/>
            <w:color w:val="2E74B5"/>
            <w:u w:val="single"/>
          </w:rPr>
          <w:t>VESKO_OPENAPI_CONTRACT_AUDIT.md</w:t>
        </w:r>
      </w:hyperlink>
      <w:r>
        <w:rPr>
          <w:rFonts w:ascii="Calibri" w:hAnsi="Calibri" w:cs="Calibri"/>
        </w:rPr>
        <w:t xml:space="preserve"> and </w:t>
      </w:r>
      <w:hyperlink r:id="rIdHyperlink24"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152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VESKO_OPENAPI_CONTRACT_AUDIT.md" TargetMode="External"/><Relationship Id="rIdHyperlink24"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44a2bf4fe5de6b95223ddf27aa140038d515072c3f61d4370bfb7236d3d006ac</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