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15 August 2026</w:t>
      </w:r>
    </w:p>
    <w:p>
      <w:pPr>
        <w:pStyle w:val="CoverMeta"/>
        <w:jc w:val="center"/>
        <w:widowControl/>
      </w:pPr>
      <w:r>
        <w:rPr>
          <w:rFonts w:ascii="Calibri" w:hAnsi="Calibri" w:cs="Calibri"/>
        </w:rPr>
        <w:t>P10B-16P-04 real Storefront Studio Design Intent acceptance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15 August 2026, P10B-16P-04 real Storefront Studio Design Intent acceptance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and P10B-16P-04 real-provider acceptance are Baseline. P10B-16P-02 is Baseline; P10B-17 and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P10B-14 provide the commercial grammar, Design DNA, assets, page/frame/component/profile/utility authorities and first complete 17-route proof; P10B-15 generalizes them into deterministic bounded complete-store synthesis; P10B-16 adds coordinated constraint packages and diversity control; P10B-16P-01 converges dynamic commerce routes; P10B-16P-02 adds strict transient Design Intent plus deterministic exact compilation and one canonical materialization; P10B-16P-03 connects that authority to normal Studio; and P10B-16P-04 proves separately authorized real OpenAI A/B/C proposals plus the C accept/undo/redo/save/reload/preview lifecycle. Phase-wide responsive/performance and 100+ quality/scale closure remain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separately scoped compatibility authority. Its retained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The corrected v2 compatibility path now pre-executes and materializes compatible storefront candidates before asking the provider to select an advertised </w:t>
      </w:r>
      <w:r>
        <w:rPr>
          <w:rFonts w:ascii="Consolas" w:hAnsi="Consolas" w:cs="Consolas"/>
          <w:sz w:val="19"/>
          <w:szCs w:val="19"/>
        </w:rPr>
        <w:t>executableIntentId</w:t>
      </w:r>
      <w:r>
        <w:rPr>
          <w:rFonts w:ascii="Calibri" w:hAnsi="Calibri" w:cs="Calibri"/>
        </w:rPr>
        <w:t>, but that corrected path has made zero live calls.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archetype are registered presentation authority, but operational search materialization still requires an exact transient query/result projection from a first-class canonical adapter. Without it, search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but a first-class canonical search-result adapter is still absent: runtime search materialization requires exact transient query/result authority and otherwise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phase-wide responsive/accessibility/performance closure and P10B-18 repeated quality-and-scale gate remain next.</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registered route and presentation authority but fails closed pending an exact transient result adapter.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search adapter. That adapter is not yet available, so search fails closed rather than fabricating results or binding a collection. Catalogue size therefore changes route inventory, not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has made zero live calls. Neither is prompt-driven generation evidence. P10B-16P-02B owns deterministic post-provider compilation, P10B-16P-03 owns the normal Studio journey, and P10B-16P-04 now owns accepted live evidence plus legacy bridge disposition.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Search presentation may be listed, but runtime search remains fail closed without fabricating results or substituting collection data.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remain compatibility paths and do not control normal initial generation.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for prompted complete-store generation. They remain temporarily for historical evidence, migration regressions, safety comparison, and consumer analysis; removal requires equivalent V2 safety coverage, proof of no active production-path consumer, and a separately authorized cleanup task. Search presentation remains registered while execution stays fail closed.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Remaining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10.23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6" w:history="1">
        <w:r>
          <w:rPr>
            <w:rFonts w:ascii="Calibri" w:hAnsi="Calibri" w:cs="Calibri"/>
            <w:color w:val="2E74B5"/>
            <w:u w:val="single"/>
          </w:rPr>
          <w:t>VESKO_OPENAPI_CONTRACT_AUDIT.md</w:t>
        </w:r>
      </w:hyperlink>
      <w:r>
        <w:rPr>
          <w:rFonts w:ascii="Calibri" w:hAnsi="Calibri" w:cs="Calibri"/>
        </w:rPr>
        <w:t xml:space="preserve"> and </w:t>
      </w:r>
      <w:hyperlink r:id="rIdHyperlink27"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P10B-16 and P10B-16P-01 through P10B-16P-04 are Baseline; P10B-16P-02 is Baseline; P10B-17 and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after accepted P10B-16P-04 V2 evidence; removal requires equivalent V2 safety regressions, no active production-path consumer, and separately authorized cleanup;</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8"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require exact transient query/result authority and fail closed when its canonical adapter is unavailable.</w:t>
            </w:r>
          </w:p>
        </w:tc>
        <w:tc>
          <w:tcPr>
            <w:tcW w:w="1250" w:type="dxa"/>
            <w:vAlign w:val="center"/>
          </w:tcPr>
          <w:p>
            <w:pPr>
              <w:pStyle w:val="TraceabilityTableText"/>
              <w:widowControl/>
            </w:pPr>
            <w:r>
              <w:rPr>
                <w:rFonts w:ascii="Calibri" w:hAnsi="Calibri" w:cs="Calibri"/>
              </w:rPr>
              <w:t>§§7.4, 10.18;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search fail-closed, and renderer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792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VESKO_OPENAPI_CONTRACT_AUDIT.md" TargetMode="External"/><Relationship Id="rIdHyperlink27" Type="http://schemas.openxmlformats.org/officeDocument/2006/relationships/hyperlink" Target="VESKO_VESKIFY_INTEGRATION_MATRIX.md" TargetMode="External"/><Relationship Id="rIdHyperlink28"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f5ec267ca924278a86ca6d38c6679080a808e85db1736975f9a8a8b1b48e2be6</vt:lpwstr>
  </property>
  <property fmtid="{D5CDD505-2E9C-101B-9397-08002B2CF9AE}" pid="4" name="ExporterVersion">
    <vt:lpwstr>1.1.0</vt:lpwstr>
  </property>
  <property fmtid="{D5CDD505-2E9C-101B-9397-08002B2CF9AE}" pid="5" name="DesignPreset">
    <vt:lpwstr>compact_reference_guide</vt:lpwstr>
  </property>
</Properties>
</file>