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AR-02 and AR-02A through AR-02M Baseline / closed; AR-03 and AR-03A through AR-03E remain closed; AR-04 Baseline / closed; AR-05A Baseline / closed; AR-05B and AR-05 Baseline / closed; AR-06A Baseline / closed verified at bc209f4bdfed9626605b8c699aaabb547d5d2025; AR-06B Baseline / closed accepted at e2addffc29f7719e23e9e7856ecf7c739924501f; AR-06C Baseline / closed at PR #261 merge de0faeba0d40bd36ac83f25d533a3428f83501cc; AR-06 Partial pending lifecycle/publication and executable-commerce proof; AR-00B Baseline / closed at fa6c200; AR-06D Baseline / closed at PR #263 merge 970b6cd00a7df90cd7b2ff1008916e8c602127d0 with one real model call and one official input-count request; technical baseline accepted, visual quality below target; commercial and production acceptance absent; AR-23 eligible / unstarted; BATCH-10 through BATCH-16 complete; BATCH-18 complete; AR-10A in progress under BATCH-19 on accepted D merge; zero additional paid calls; its own visual disposition and delivery gates remain required</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AR-00B visual-feedback policy amendment:</w:t>
      </w:r>
      <w:r>
        <w:rPr>
          <w:rFonts w:ascii="Calibri" w:hAnsi="Calibri" w:cs="Calibri"/>
        </w:rPr>
        <w:t xml:space="preserve"> Accepted at merge </w:t>
      </w:r>
      <w:r>
        <w:rPr>
          <w:rFonts w:ascii="Consolas" w:hAnsi="Consolas" w:cs="Consolas"/>
          <w:sz w:val="19"/>
          <w:szCs w:val="19"/>
        </w:rPr>
        <w:t>fa6c200</w:t>
      </w:r>
      <w:r>
        <w:rPr>
          <w:rFonts w:ascii="Calibri" w:hAnsi="Calibri" w:cs="Calibri"/>
        </w:rPr>
        <w:t xml:space="preserve">. BATCH-18 / AR-06D was accepted and merged at 970b6cd00a7df90cd7b2ff1008916e8c602127d0. Its one real model call and one official input-count request remain the original generation attribution. BATCH-19 / AR-10A continues with zero additional paid calls and a separate owner visual checkpoint before merge.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AR-02B is </w:t>
      </w:r>
      <w:r>
        <w:rPr>
          <w:rFonts w:ascii="Calibri" w:hAnsi="Calibri" w:cs="Calibri"/>
          <w:b/>
          <w:bCs/>
        </w:rPr>
        <w:t>Baseline / closed.</w:t>
      </w:r>
      <w:r>
        <w:rPr>
          <w:rFonts w:ascii="Calibri" w:hAnsi="Calibri" w:cs="Calibri"/>
        </w:rPr>
        <w:t xml:space="preserve"> AR-02C is </w:t>
      </w:r>
      <w:r>
        <w:rPr>
          <w:rFonts w:ascii="Calibri" w:hAnsi="Calibri" w:cs="Calibri"/>
          <w:b/>
          <w:bCs/>
        </w:rPr>
        <w:t>Baseline / closed.</w:t>
      </w:r>
      <w:r>
        <w:rPr>
          <w:rFonts w:ascii="Calibri" w:hAnsi="Calibri" w:cs="Calibri"/>
        </w:rPr>
        <w:t xml:space="preserve"> AR-02D is </w:t>
      </w:r>
      <w:r>
        <w:rPr>
          <w:rFonts w:ascii="Calibri" w:hAnsi="Calibri" w:cs="Calibri"/>
          <w:b/>
          <w:bCs/>
        </w:rPr>
        <w:t>Baseline / closed.</w:t>
      </w:r>
      <w:r>
        <w:rPr>
          <w:rFonts w:ascii="Calibri" w:hAnsi="Calibri" w:cs="Calibri"/>
        </w:rPr>
        <w:t xml:space="preserve"> AR-02E is </w:t>
      </w:r>
      <w:r>
        <w:rPr>
          <w:rFonts w:ascii="Calibri" w:hAnsi="Calibri" w:cs="Calibri"/>
          <w:b/>
          <w:bCs/>
        </w:rPr>
        <w:t>Baseline / closed.</w:t>
      </w:r>
      <w:r>
        <w:rPr>
          <w:rFonts w:ascii="Calibri" w:hAnsi="Calibri" w:cs="Calibri"/>
        </w:rPr>
        <w:t xml:space="preserve"> AR-02F is </w:t>
      </w:r>
      <w:r>
        <w:rPr>
          <w:rFonts w:ascii="Calibri" w:hAnsi="Calibri" w:cs="Calibri"/>
          <w:b/>
          <w:bCs/>
        </w:rPr>
        <w:t>Baseline / closed.</w:t>
      </w:r>
      <w:r>
        <w:rPr>
          <w:rFonts w:ascii="Calibri" w:hAnsi="Calibri" w:cs="Calibri"/>
        </w:rPr>
        <w:t xml:space="preserve"> AR-02G is </w:t>
      </w:r>
      <w:r>
        <w:rPr>
          <w:rFonts w:ascii="Calibri" w:hAnsi="Calibri" w:cs="Calibri"/>
          <w:b/>
          <w:bCs/>
        </w:rPr>
        <w:t>Baseline / closed.</w:t>
      </w:r>
      <w:r>
        <w:rPr>
          <w:rFonts w:ascii="Calibri" w:hAnsi="Calibri" w:cs="Calibri"/>
        </w:rPr>
        <w:t xml:space="preserve"> AR-02H is </w:t>
      </w:r>
      <w:r>
        <w:rPr>
          <w:rFonts w:ascii="Calibri" w:hAnsi="Calibri" w:cs="Calibri"/>
          <w:b/>
          <w:bCs/>
        </w:rPr>
        <w:t>Baseline / closed.</w:t>
      </w:r>
      <w:r>
        <w:rPr>
          <w:rFonts w:ascii="Calibri" w:hAnsi="Calibri" w:cs="Calibri"/>
        </w:rPr>
        <w:t xml:space="preserve"> AR-02I is </w:t>
      </w:r>
      <w:r>
        <w:rPr>
          <w:rFonts w:ascii="Calibri" w:hAnsi="Calibri" w:cs="Calibri"/>
          <w:b/>
          <w:bCs/>
        </w:rPr>
        <w:t>Baseline / closed.</w:t>
      </w:r>
      <w:r>
        <w:rPr>
          <w:rFonts w:ascii="Calibri" w:hAnsi="Calibri" w:cs="Calibri"/>
        </w:rPr>
        <w:t xml:space="preserve"> AR-02J is </w:t>
      </w:r>
      <w:r>
        <w:rPr>
          <w:rFonts w:ascii="Calibri" w:hAnsi="Calibri" w:cs="Calibri"/>
          <w:b/>
          <w:bCs/>
        </w:rPr>
        <w:t>Baseline / closed.</w:t>
      </w:r>
      <w:r>
        <w:rPr>
          <w:rFonts w:ascii="Calibri" w:hAnsi="Calibri" w:cs="Calibri"/>
        </w:rPr>
        <w:t xml:space="preserve"> AR-02K is </w:t>
      </w:r>
      <w:r>
        <w:rPr>
          <w:rFonts w:ascii="Calibri" w:hAnsi="Calibri" w:cs="Calibri"/>
          <w:b/>
          <w:bCs/>
        </w:rPr>
        <w:t>Baseline / closed.</w:t>
      </w:r>
      <w:r>
        <w:rPr>
          <w:rFonts w:ascii="Calibri" w:hAnsi="Calibri" w:cs="Calibri"/>
        </w:rPr>
        <w:t xml:space="preserve"> AR-02L is </w:t>
      </w:r>
      <w:r>
        <w:rPr>
          <w:rFonts w:ascii="Calibri" w:hAnsi="Calibri" w:cs="Calibri"/>
          <w:b/>
          <w:bCs/>
        </w:rPr>
        <w:t>Baseline / closed.</w:t>
      </w:r>
      <w:r>
        <w:rPr>
          <w:rFonts w:ascii="Calibri" w:hAnsi="Calibri" w:cs="Calibri"/>
        </w:rPr>
        <w:t xml:space="preserve"> AR-02M is </w:t>
      </w:r>
      <w:r>
        <w:rPr>
          <w:rFonts w:ascii="Calibri" w:hAnsi="Calibri" w:cs="Calibri"/>
          <w:b/>
          <w:bCs/>
        </w:rPr>
        <w:t>Baseline / closed.</w:t>
      </w:r>
      <w:r>
        <w:rPr>
          <w:rFonts w:ascii="Calibri" w:hAnsi="Calibri" w:cs="Calibri"/>
        </w:rPr>
        <w:t xml:space="preserve"> AR-02 is </w:t>
      </w:r>
      <w:r>
        <w:rPr>
          <w:rFonts w:ascii="Calibri" w:hAnsi="Calibri" w:cs="Calibri"/>
          <w:b/>
          <w:bCs/>
        </w:rPr>
        <w:t>Baseline / closed</w:t>
      </w:r>
      <w:r>
        <w:rPr>
          <w:rFonts w:ascii="Calibri" w:hAnsi="Calibri" w:cs="Calibri"/>
        </w:rPr>
        <w:t xml:space="preserve">; complete original acceptance is mapped in AR_02_BOUNDARY_ACCEPTANCE.md. AR-04 is Baseline / closed. AR-05A is Baseline / closed. AR-05B is Baseline / closed. AR-05 is Baseline / closed; original T01/T02 acceptance is mapped in AR_05_CANONICAL_ACCEPTANCE.md. AR-06A is Baseline / closed. Its accepted merge is bc209f4bdfed9626605b8c699aaabb547d5d2025. AR-06B is Baseline / closed. Its accepted merge is e2addffc29f7719e23e9e7856ecf7c739924501f. AR-06C is Baseline / closed. Its accepted PR #261 head is af75994f2a4e1186b4429db6b93cb1bf51d2e048, merged as de0faeba0d40bd36ac83f25d533a3428f83501cc. AR-06 is Partial; rendering, editing and save/reload evidence is mapped in AR_06_RENDERING_ACCEPTANCE.md. History/lifecycle/publication integration, positive collection/search and PDP executable-commerce proof, and the shared collection/search context decision remain required before enablement. AR-03 is </w:t>
      </w:r>
      <w:r>
        <w:rPr>
          <w:rFonts w:ascii="Calibri" w:hAnsi="Calibri" w:cs="Calibri"/>
          <w:b/>
          <w:bCs/>
        </w:rPr>
        <w:t>Baseline / closed</w:t>
      </w:r>
      <w:r>
        <w:rPr>
          <w:rFonts w:ascii="Calibri" w:hAnsi="Calibri" w:cs="Calibri"/>
        </w:rPr>
        <w:t xml:space="preserve">; original same-input characterization and separate ownership are verified. AR-03A is </w:t>
      </w:r>
      <w:r>
        <w:rPr>
          <w:rFonts w:ascii="Calibri" w:hAnsi="Calibri" w:cs="Calibri"/>
          <w:b/>
          <w:bCs/>
        </w:rPr>
        <w:t>Baseline / closed.</w:t>
      </w:r>
      <w:r>
        <w:rPr>
          <w:rFonts w:ascii="Calibri" w:hAnsi="Calibri" w:cs="Calibri"/>
        </w:rPr>
        <w:t xml:space="preserve"> AR-03B is </w:t>
      </w:r>
      <w:r>
        <w:rPr>
          <w:rFonts w:ascii="Calibri" w:hAnsi="Calibri" w:cs="Calibri"/>
          <w:b/>
          <w:bCs/>
        </w:rPr>
        <w:t>Baseline / closed.</w:t>
      </w:r>
      <w:r>
        <w:rPr>
          <w:rFonts w:ascii="Calibri" w:hAnsi="Calibri" w:cs="Calibri"/>
        </w:rPr>
        <w:t xml:space="preserve"> AR-03C is </w:t>
      </w:r>
      <w:r>
        <w:rPr>
          <w:rFonts w:ascii="Calibri" w:hAnsi="Calibri" w:cs="Calibri"/>
          <w:b/>
          <w:bCs/>
        </w:rPr>
        <w:t>Baseline / closed.</w:t>
      </w:r>
      <w:r>
        <w:rPr>
          <w:rFonts w:ascii="Calibri" w:hAnsi="Calibri" w:cs="Calibri"/>
        </w:rPr>
        <w:t xml:space="preserve"> AR-03D is </w:t>
      </w:r>
      <w:r>
        <w:rPr>
          <w:rFonts w:ascii="Calibri" w:hAnsi="Calibri" w:cs="Calibri"/>
          <w:b/>
          <w:bCs/>
        </w:rPr>
        <w:t>Baseline / closed.</w:t>
      </w:r>
      <w:r>
        <w:rPr>
          <w:rFonts w:ascii="Calibri" w:hAnsi="Calibri" w:cs="Calibri"/>
        </w:rPr>
        <w:t xml:space="preserve"> AR-03E is </w:t>
      </w:r>
      <w:r>
        <w:rPr>
          <w:rFonts w:ascii="Calibri" w:hAnsi="Calibri" w:cs="Calibri"/>
          <w:b/>
          <w:bCs/>
        </w:rPr>
        <w:t>Baseline / closed.</w:t>
      </w:r>
      <w:r>
        <w:rPr>
          <w:rFonts w:ascii="Calibri" w:hAnsi="Calibri" w:cs="Calibri"/>
        </w:rPr>
        <w:t xml:space="preserve"> AR-23 is </w:t>
      </w:r>
      <w:r>
        <w:rPr>
          <w:rFonts w:ascii="Calibri" w:hAnsi="Calibri" w:cs="Calibri"/>
          <w:b/>
          <w:bCs/>
        </w:rPr>
        <w:t>Planned / unstarted</w:t>
      </w:r>
      <w:r>
        <w:rPr>
          <w:rFonts w:ascii="Calibri" w:hAnsi="Calibri" w:cs="Calibri"/>
        </w:rPr>
        <w:t xml:space="preserve">. AR-23 depends on AR-01 and is not serialized behind visual work. BATCH-03 is complete. BATCH-04 is complete. BATCH-05 is complete. BATCH-06 is complete. BATCH-07 is complete. BATCH-08 is complete. BATCH-09 is complete. BATCH-10 is complete. BATCH-11 is complete. BATCH-12 is complete. BATCH-13 is complete. BATCH-14 is complete. BATCH-15 is complete. BATCH-16 is complete after accepted AR-06C delivery and safe closeout. AR-00B is Baseline / closed. Its accepted merge is fa6c200. AR-06D is Baseline / closed. Its accepted PR #263 head is 496664011c0b7553233ee160b70e2d89fc795eb2, merged as 970b6cd00a7df90cd7b2ff1008916e8c602127d0. One real model call and one official input-count request have executed. The owner accepts the honest technical baseline; visual quality remains below target. This is not commercial-quality acceptance or production approval. BATCH-18 delivery is complete. AR-10A is In progress under BATCH-19 launch on the accepted AR-06D merge. It uses the preserved generated candidate with zero additional paid calls; its own visual disposition, independent verification, review, CI and merge remain required.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Normal"/>
        <w:widowControl/>
      </w:pPr>
      <w:r>
        <w:rPr>
          <w:rFonts w:ascii="Calibri" w:hAnsi="Calibri" w:cs="Calibri"/>
        </w:rPr>
        <w:t xml:space="preserve">AR-05 decomposition: </w:t>
      </w:r>
      <w:hyperlink r:id="rIdHyperlink1" w:history="1">
        <w:r>
          <w:rPr>
            <w:rFonts w:ascii="Calibri" w:hAnsi="Calibri" w:cs="Calibri"/>
            <w:color w:val="2E74B5"/>
            <w:u w:val="single"/>
          </w:rPr>
          <w:t>AR-05A design</w:t>
        </w:r>
      </w:hyperlink>
      <w:r>
        <w:rPr>
          <w:rFonts w:ascii="Calibri" w:hAnsi="Calibri" w:cs="Calibri"/>
        </w:rPr>
        <w:t xml:space="preserve"> and </w:t>
      </w:r>
      <w:hyperlink r:id="rIdHyperlink2" w:history="1">
        <w:r>
          <w:rPr>
            <w:rFonts w:ascii="Calibri" w:hAnsi="Calibri" w:cs="Calibri"/>
            <w:color w:val="2E74B5"/>
            <w:u w:val="single"/>
          </w:rPr>
          <w:t>implementation evidence</w:t>
        </w:r>
      </w:hyperlink>
      <w:r>
        <w:rPr>
          <w:rFonts w:ascii="Calibri" w:hAnsi="Calibri" w:cs="Calibri"/>
        </w:rPr>
        <w:t xml:space="preserve"> cover the strict compiled value, positive static binding and specific rejection of current indivisible dynamic inventories. AR-05B supplies snapshot nesting, explicit version dispatch and combined fingerprint participation. Accepted AR-05A+B satisfy original T01/T02 representation acceptance. </w:t>
      </w:r>
      <w:hyperlink r:id="rIdHyperlink3" w:history="1">
        <w:r>
          <w:rPr>
            <w:rFonts w:ascii="Calibri" w:hAnsi="Calibri" w:cs="Calibri"/>
            <w:color w:val="2E74B5"/>
            <w:u w:val="single"/>
          </w:rPr>
          <w:t>AR-06A</w:t>
        </w:r>
      </w:hyperlink>
      <w:r>
        <w:rPr>
          <w:rFonts w:ascii="Calibri" w:hAnsi="Calibri" w:cs="Calibri"/>
        </w:rPr>
        <w:t xml:space="preserve"> adds the actual shared static renderer and bounded four-width proof. Accepted AR-06B adds guarded Puck editing and canonical round trip. Accepted AR-06C adds explicit guarded static-draft persistence and fresh-page reload. AR-06 remains Partial: history/publication integration, normal Studio rollout, dynamic executable commerce and the shared collection/search context decision remain unproven.</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4"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5"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6" w:history="1">
              <w:r>
                <w:rPr>
                  <w:rFonts w:ascii="Calibri" w:hAnsi="Calibri" w:cs="Calibri"/>
                  <w:color w:val="2E74B5"/>
                  <w:u w:val="single"/>
                </w:rPr>
                <w:t>contract</w:t>
              </w:r>
            </w:hyperlink>
            <w:r>
              <w:rPr>
                <w:rFonts w:ascii="Calibri" w:hAnsi="Calibri" w:cs="Calibri"/>
              </w:rPr>
              <w:t xml:space="preserve">, </w:t>
            </w:r>
            <w:hyperlink r:id="rIdHyperlink7"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AR-02B</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renderer-free deterministic conformance evaluation; </w:t>
            </w:r>
            <w:hyperlink r:id="rIdHyperlink8" w:history="1">
              <w:r>
                <w:rPr>
                  <w:rFonts w:ascii="Calibri" w:hAnsi="Calibri" w:cs="Calibri"/>
                  <w:color w:val="2E74B5"/>
                  <w:u w:val="single"/>
                </w:rPr>
                <w:t>contract</w:t>
              </w:r>
            </w:hyperlink>
            <w:r>
              <w:rPr>
                <w:rFonts w:ascii="Calibri" w:hAnsi="Calibri" w:cs="Calibri"/>
              </w:rPr>
              <w:t xml:space="preserve">, </w:t>
            </w:r>
            <w:hyperlink r:id="rIdHyperlink9"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10" w:history="1">
              <w:r>
                <w:rPr>
                  <w:rFonts w:ascii="Calibri" w:hAnsi="Calibri" w:cs="Calibri"/>
                  <w:color w:val="2E74B5"/>
                  <w:u w:val="single"/>
                </w:rPr>
                <w:t>contract</w:t>
              </w:r>
            </w:hyperlink>
            <w:r>
              <w:rPr>
                <w:rFonts w:ascii="Calibri" w:hAnsi="Calibri" w:cs="Calibri"/>
              </w:rPr>
              <w:t xml:space="preserve">, </w:t>
            </w:r>
            <w:hyperlink r:id="rIdHyperlink11"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AR-02C</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utility metadata and remove the supported-vocabulary renderer edge; </w:t>
            </w:r>
            <w:hyperlink r:id="rIdHyperlink12" w:history="1">
              <w:r>
                <w:rPr>
                  <w:rFonts w:ascii="Calibri" w:hAnsi="Calibri" w:cs="Calibri"/>
                  <w:color w:val="2E74B5"/>
                  <w:u w:val="single"/>
                </w:rPr>
                <w:t>contract</w:t>
              </w:r>
            </w:hyperlink>
            <w:r>
              <w:rPr>
                <w:rFonts w:ascii="Calibri" w:hAnsi="Calibri" w:cs="Calibri"/>
              </w:rPr>
              <w:t xml:space="preserve">, </w:t>
            </w:r>
            <w:hyperlink r:id="rIdHyperlink13"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AR-02D</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homepage and hero renderer-free metadata; </w:t>
            </w:r>
            <w:hyperlink r:id="rIdHyperlink14" w:history="1">
              <w:r>
                <w:rPr>
                  <w:rFonts w:ascii="Calibri" w:hAnsi="Calibri" w:cs="Calibri"/>
                  <w:color w:val="2E74B5"/>
                  <w:u w:val="single"/>
                </w:rPr>
                <w:t>contract</w:t>
              </w:r>
            </w:hyperlink>
            <w:r>
              <w:rPr>
                <w:rFonts w:ascii="Calibri" w:hAnsi="Calibri" w:cs="Calibri"/>
              </w:rPr>
              <w:t xml:space="preserve">, </w:t>
            </w:r>
            <w:hyperlink r:id="rIdHyperlink15"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AR-02E</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collection and product renderer-free metadata; </w:t>
            </w:r>
            <w:hyperlink r:id="rIdHyperlink16" w:history="1">
              <w:r>
                <w:rPr>
                  <w:rFonts w:ascii="Calibri" w:hAnsi="Calibri" w:cs="Calibri"/>
                  <w:color w:val="2E74B5"/>
                  <w:u w:val="single"/>
                </w:rPr>
                <w:t>contract</w:t>
              </w:r>
            </w:hyperlink>
            <w:r>
              <w:rPr>
                <w:rFonts w:ascii="Calibri" w:hAnsi="Calibri" w:cs="Calibri"/>
              </w:rPr>
              <w:t xml:space="preserve">, </w:t>
            </w:r>
            <w:hyperlink r:id="rIdHyperlink17"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AR-02F</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Adapt V2 definitions from shared renderer-free metadata; </w:t>
            </w:r>
            <w:hyperlink r:id="rIdHyperlink18" w:history="1">
              <w:r>
                <w:rPr>
                  <w:rFonts w:ascii="Calibri" w:hAnsi="Calibri" w:cs="Calibri"/>
                  <w:color w:val="2E74B5"/>
                  <w:u w:val="single"/>
                </w:rPr>
                <w:t>contract</w:t>
              </w:r>
            </w:hyperlink>
            <w:r>
              <w:rPr>
                <w:rFonts w:ascii="Calibri" w:hAnsi="Calibri" w:cs="Calibri"/>
              </w:rPr>
              <w:t xml:space="preserve">, </w:t>
            </w:r>
            <w:hyperlink r:id="rIdHyperlink19"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AR-02G</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template capability boundary and explicit utility historical-source transition; </w:t>
            </w:r>
            <w:hyperlink r:id="rIdHyperlink20" w:history="1">
              <w:r>
                <w:rPr>
                  <w:rFonts w:ascii="Calibri" w:hAnsi="Calibri" w:cs="Calibri"/>
                  <w:color w:val="2E74B5"/>
                  <w:u w:val="single"/>
                </w:rPr>
                <w:t>contract</w:t>
              </w:r>
            </w:hyperlink>
            <w:r>
              <w:rPr>
                <w:rFonts w:ascii="Calibri" w:hAnsi="Calibri" w:cs="Calibri"/>
              </w:rPr>
              <w:t xml:space="preserve">, </w:t>
            </w:r>
            <w:hyperlink r:id="rIdHyperlink21"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AR-02H</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Semantic request boundary and explicit direction historical-source transition; </w:t>
            </w:r>
            <w:hyperlink r:id="rIdHyperlink22" w:history="1">
              <w:r>
                <w:rPr>
                  <w:rFonts w:ascii="Calibri" w:hAnsi="Calibri" w:cs="Calibri"/>
                  <w:color w:val="2E74B5"/>
                  <w:u w:val="single"/>
                </w:rPr>
                <w:t>contract</w:t>
              </w:r>
            </w:hyperlink>
            <w:r>
              <w:rPr>
                <w:rFonts w:ascii="Calibri" w:hAnsi="Calibri" w:cs="Calibri"/>
              </w:rPr>
              <w:t xml:space="preserve">, </w:t>
            </w:r>
            <w:hyperlink r:id="rIdHyperlink23"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AR-02I</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existing planner, recipe and provider metadata consumption; </w:t>
            </w:r>
            <w:hyperlink r:id="rIdHyperlink24" w:history="1">
              <w:r>
                <w:rPr>
                  <w:rFonts w:ascii="Calibri" w:hAnsi="Calibri" w:cs="Calibri"/>
                  <w:color w:val="2E74B5"/>
                  <w:u w:val="single"/>
                </w:rPr>
                <w:t>contract</w:t>
              </w:r>
            </w:hyperlink>
            <w:r>
              <w:rPr>
                <w:rFonts w:ascii="Calibri" w:hAnsi="Calibri" w:cs="Calibri"/>
              </w:rPr>
              <w:t xml:space="preserve">, </w:t>
            </w:r>
            <w:hyperlink r:id="rIdHyperlink25" w:history="1">
              <w:r>
                <w:rPr>
                  <w:rFonts w:ascii="Calibri" w:hAnsi="Calibri" w:cs="Calibri"/>
                  <w:color w:val="2E74B5"/>
                  <w:u w:val="single"/>
                </w:rPr>
                <w:t>report</w:t>
              </w:r>
            </w:hyperlink>
            <w:r>
              <w:rPr>
                <w:rFonts w:ascii="Calibri" w:hAnsi="Calibri" w:cs="Calibri"/>
              </w:rPr>
              <w:t xml:space="preserve">, </w:t>
            </w:r>
            <w:hyperlink r:id="rIdHyperlink26" w:history="1">
              <w:r>
                <w:rPr>
                  <w:rFonts w:ascii="Calibri" w:hAnsi="Calibri" w:cs="Calibri"/>
                  <w:color w:val="2E74B5"/>
                  <w:u w:val="single"/>
                </w:rPr>
                <w:t>parent evidence</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AR-02J</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provider descriptions and operation schemas; </w:t>
            </w:r>
            <w:hyperlink r:id="rIdHyperlink27" w:history="1">
              <w:r>
                <w:rPr>
                  <w:rFonts w:ascii="Calibri" w:hAnsi="Calibri" w:cs="Calibri"/>
                  <w:color w:val="2E74B5"/>
                  <w:u w:val="single"/>
                </w:rPr>
                <w:t>contract</w:t>
              </w:r>
            </w:hyperlink>
            <w:r>
              <w:rPr>
                <w:rFonts w:ascii="Calibri" w:hAnsi="Calibri" w:cs="Calibri"/>
              </w:rPr>
              <w:t xml:space="preserve">, </w:t>
            </w:r>
            <w:hyperlink r:id="rIdHyperlink28"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AR-02K</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governed capability and commercial grammar consumers; </w:t>
            </w:r>
            <w:hyperlink r:id="rIdHyperlink29" w:history="1">
              <w:r>
                <w:rPr>
                  <w:rFonts w:ascii="Calibri" w:hAnsi="Calibri" w:cs="Calibri"/>
                  <w:color w:val="2E74B5"/>
                  <w:u w:val="single"/>
                </w:rPr>
                <w:t>contract</w:t>
              </w:r>
            </w:hyperlink>
            <w:r>
              <w:rPr>
                <w:rFonts w:ascii="Calibri" w:hAnsi="Calibri" w:cs="Calibri"/>
              </w:rPr>
              <w:t xml:space="preserve">, </w:t>
            </w:r>
            <w:hyperlink r:id="rIdHyperlink30"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AR-02L</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semantic feature metadata; </w:t>
            </w:r>
            <w:hyperlink r:id="rIdHyperlink31" w:history="1">
              <w:r>
                <w:rPr>
                  <w:rFonts w:ascii="Calibri" w:hAnsi="Calibri" w:cs="Calibri"/>
                  <w:color w:val="2E74B5"/>
                  <w:u w:val="single"/>
                </w:rPr>
                <w:t>contract</w:t>
              </w:r>
            </w:hyperlink>
            <w:r>
              <w:rPr>
                <w:rFonts w:ascii="Calibri" w:hAnsi="Calibri" w:cs="Calibri"/>
              </w:rPr>
              <w:t xml:space="preserve">, </w:t>
            </w:r>
            <w:hyperlink r:id="rIdHyperlink32"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AR-02M</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Coordinated schema, direction, eligibility and actual semantic resolver metadata; </w:t>
            </w:r>
            <w:hyperlink r:id="rIdHyperlink33" w:history="1">
              <w:r>
                <w:rPr>
                  <w:rFonts w:ascii="Calibri" w:hAnsi="Calibri" w:cs="Calibri"/>
                  <w:color w:val="2E74B5"/>
                  <w:u w:val="single"/>
                </w:rPr>
                <w:t>contract</w:t>
              </w:r>
            </w:hyperlink>
            <w:r>
              <w:rPr>
                <w:rFonts w:ascii="Calibri" w:hAnsi="Calibri" w:cs="Calibri"/>
              </w:rPr>
              <w:t xml:space="preserve">, </w:t>
            </w:r>
            <w:hyperlink r:id="rIdHyperlink34" w:history="1">
              <w:r>
                <w:rPr>
                  <w:rFonts w:ascii="Calibri" w:hAnsi="Calibri" w:cs="Calibri"/>
                  <w:color w:val="2E74B5"/>
                  <w:u w:val="single"/>
                </w:rPr>
                <w:t>report</w:t>
              </w:r>
            </w:hyperlink>
            <w:r>
              <w:rPr>
                <w:rFonts w:ascii="Calibri" w:hAnsi="Calibri" w:cs="Calibri"/>
              </w:rPr>
              <w:t xml:space="preserve">, </w:t>
            </w:r>
            <w:hyperlink r:id="rIdHyperlink26" w:history="1">
              <w:r>
                <w:rPr>
                  <w:rFonts w:ascii="Calibri" w:hAnsi="Calibri" w:cs="Calibri"/>
                  <w:color w:val="2E74B5"/>
                  <w:u w:val="single"/>
                </w:rPr>
                <w:t>parent evidence</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AR-03B</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Renderer-free presentation construction and exact historical compatibility; </w:t>
            </w:r>
            <w:hyperlink r:id="rIdHyperlink35" w:history="1">
              <w:r>
                <w:rPr>
                  <w:rFonts w:ascii="Calibri" w:hAnsi="Calibri" w:cs="Calibri"/>
                  <w:color w:val="2E74B5"/>
                  <w:u w:val="single"/>
                </w:rPr>
                <w:t>contract</w:t>
              </w:r>
            </w:hyperlink>
            <w:r>
              <w:rPr>
                <w:rFonts w:ascii="Calibri" w:hAnsi="Calibri" w:cs="Calibri"/>
              </w:rPr>
              <w:t xml:space="preserve">, </w:t>
            </w:r>
            <w:hyperlink r:id="rIdHyperlink36"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AR-03C</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Current-authority validation, route projection/resolution and four preview import cutovers; </w:t>
            </w:r>
            <w:hyperlink r:id="rIdHyperlink37" w:history="1">
              <w:r>
                <w:rPr>
                  <w:rFonts w:ascii="Calibri" w:hAnsi="Calibri" w:cs="Calibri"/>
                  <w:color w:val="2E74B5"/>
                  <w:u w:val="single"/>
                </w:rPr>
                <w:t>contract</w:t>
              </w:r>
            </w:hyperlink>
            <w:r>
              <w:rPr>
                <w:rFonts w:ascii="Calibri" w:hAnsi="Calibri" w:cs="Calibri"/>
              </w:rPr>
              <w:t xml:space="preserve">, </w:t>
            </w:r>
            <w:hyperlink r:id="rIdHyperlink38"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AR-03D</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Design-selection contracts/operations and editor projection with three named consumer cutovers; </w:t>
            </w:r>
            <w:hyperlink r:id="rIdHyperlink39" w:history="1">
              <w:r>
                <w:rPr>
                  <w:rFonts w:ascii="Calibri" w:hAnsi="Calibri" w:cs="Calibri"/>
                  <w:color w:val="2E74B5"/>
                  <w:u w:val="single"/>
                </w:rPr>
                <w:t>contract</w:t>
              </w:r>
            </w:hyperlink>
            <w:r>
              <w:rPr>
                <w:rFonts w:ascii="Calibri" w:hAnsi="Calibri" w:cs="Calibri"/>
              </w:rPr>
              <w:t xml:space="preserve">, </w:t>
            </w:r>
            <w:hyperlink r:id="rIdHyperlink40"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AR-03E</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Legacy migration, distinct transient projections and shared bridge schemas; </w:t>
            </w:r>
            <w:hyperlink r:id="rIdHyperlink41" w:history="1">
              <w:r>
                <w:rPr>
                  <w:rFonts w:ascii="Calibri" w:hAnsi="Calibri" w:cs="Calibri"/>
                  <w:color w:val="2E74B5"/>
                  <w:u w:val="single"/>
                </w:rPr>
                <w:t>contract</w:t>
              </w:r>
            </w:hyperlink>
            <w:r>
              <w:rPr>
                <w:rFonts w:ascii="Calibri" w:hAnsi="Calibri" w:cs="Calibri"/>
              </w:rPr>
              <w:t xml:space="preserve">, </w:t>
            </w:r>
            <w:hyperlink r:id="rIdHyperlink42" w:history="1">
              <w:r>
                <w:rPr>
                  <w:rFonts w:ascii="Calibri" w:hAnsi="Calibri" w:cs="Calibri"/>
                  <w:color w:val="2E74B5"/>
                  <w:u w:val="single"/>
                </w:rPr>
                <w:t>report</w:t>
              </w:r>
            </w:hyperlink>
            <w:r>
              <w:rPr>
                <w:rFonts w:ascii="Calibri" w:hAnsi="Calibri" w:cs="Calibri"/>
              </w:rPr>
              <w:t xml:space="preserve">, </w:t>
            </w:r>
            <w:hyperlink r:id="rIdHyperlink43" w:history="1">
              <w:r>
                <w:rPr>
                  <w:rFonts w:ascii="Calibri" w:hAnsi="Calibri" w:cs="Calibri"/>
                  <w:color w:val="2E74B5"/>
                  <w:u w:val="single"/>
                </w:rPr>
                <w:t>parent acceptance</w:t>
              </w:r>
            </w:hyperlink>
          </w:p>
        </w:tc>
        <w:tc>
          <w:tcPr>
            <w:tcW w:w="8460" w:type="dxa"/>
            <w:vAlign w:val="center"/>
          </w:tcPr>
          <w:p>
            <w:pPr>
              <w:pStyle w:val="TableText"/>
              <w:jc w:val="center"/>
              <w:widowControl/>
            </w:pPr>
            <w:r>
              <w:rPr>
                <w:rFonts w:ascii="Calibri" w:hAnsi="Calibri" w:cs="Calibri"/>
                <w:b/>
                <w:bCs/>
              </w:rPr>
              <w:t>Baseline / closed</w:t>
            </w:r>
          </w:p>
        </w:tc>
      </w:tr>
    </w:tbl>
    <w:p>
      <w:pPr>
        <w:pStyle w:val="Normal"/>
        <w:widowControl/>
      </w:pPr>
    </w:p>
    <w:p>
      <w:pPr>
        <w:pStyle w:val="Normal"/>
        <w:widowControl/>
      </w:pPr>
      <w:r>
        <w:rPr>
          <w:rFonts w:ascii="Calibri" w:hAnsi="Calibri" w:cs="Calibri"/>
        </w:rPr>
        <w:t xml:space="preserve">| AR-06A | AR-06 | Shared static renderer and stack/offset proof in EN/FI at four widths; </w:t>
      </w:r>
      <w:hyperlink r:id="rIdHyperlink44" w:history="1">
        <w:r>
          <w:rPr>
            <w:rFonts w:ascii="Calibri" w:hAnsi="Calibri" w:cs="Calibri"/>
            <w:color w:val="2E74B5"/>
            <w:u w:val="single"/>
          </w:rPr>
          <w:t>contract</w:t>
        </w:r>
      </w:hyperlink>
      <w:r>
        <w:rPr>
          <w:rFonts w:ascii="Calibri" w:hAnsi="Calibri" w:cs="Calibri"/>
        </w:rPr>
        <w:t xml:space="preserve">, </w:t>
      </w:r>
      <w:hyperlink r:id="rIdHyperlink45" w:history="1">
        <w:r>
          <w:rPr>
            <w:rFonts w:ascii="Calibri" w:hAnsi="Calibri" w:cs="Calibri"/>
            <w:color w:val="2E74B5"/>
            <w:u w:val="single"/>
          </w:rPr>
          <w:t>report</w:t>
        </w:r>
      </w:hyperlink>
      <w:r>
        <w:rPr>
          <w:rFonts w:ascii="Calibri" w:hAnsi="Calibri" w:cs="Calibri"/>
        </w:rPr>
        <w:t xml:space="preserve">, </w:t>
      </w:r>
      <w:hyperlink r:id="rIdHyperlink3" w:history="1">
        <w:r>
          <w:rPr>
            <w:rFonts w:ascii="Calibri" w:hAnsi="Calibri" w:cs="Calibri"/>
            <w:color w:val="2E74B5"/>
            <w:u w:val="single"/>
          </w:rPr>
          <w:t>parent evidence</w:t>
        </w:r>
      </w:hyperlink>
      <w:r>
        <w:rPr>
          <w:rFonts w:ascii="Calibri" w:hAnsi="Calibri" w:cs="Calibri"/>
        </w:rPr>
        <w:t xml:space="preserve"> | </w:t>
      </w:r>
      <w:r>
        <w:rPr>
          <w:rFonts w:ascii="Calibri" w:hAnsi="Calibri" w:cs="Calibri"/>
          <w:b/>
          <w:bCs/>
        </w:rPr>
        <w:t>Baseline / closed, verified at `bc209f4bdfed9626605b8c699aaabb547d5d2025`</w:t>
      </w:r>
      <w:r>
        <w:rPr>
          <w:rFonts w:ascii="Calibri" w:hAnsi="Calibri" w:cs="Calibri"/>
        </w:rPr>
        <w:t xml:space="preserve"> | | AR-06B | AR-06 | Guarded unsaved Puck editing for the AR-06A static composition; </w:t>
      </w:r>
      <w:hyperlink r:id="rIdHyperlink46" w:history="1">
        <w:r>
          <w:rPr>
            <w:rFonts w:ascii="Calibri" w:hAnsi="Calibri" w:cs="Calibri"/>
            <w:color w:val="2E74B5"/>
            <w:u w:val="single"/>
          </w:rPr>
          <w:t>contract</w:t>
        </w:r>
      </w:hyperlink>
      <w:r>
        <w:rPr>
          <w:rFonts w:ascii="Calibri" w:hAnsi="Calibri" w:cs="Calibri"/>
        </w:rPr>
        <w:t xml:space="preserve">, </w:t>
      </w:r>
      <w:hyperlink r:id="rIdHyperlink47" w:history="1">
        <w:r>
          <w:rPr>
            <w:rFonts w:ascii="Calibri" w:hAnsi="Calibri" w:cs="Calibri"/>
            <w:color w:val="2E74B5"/>
            <w:u w:val="single"/>
          </w:rPr>
          <w:t>report</w:t>
        </w:r>
      </w:hyperlink>
      <w:r>
        <w:rPr>
          <w:rFonts w:ascii="Calibri" w:hAnsi="Calibri" w:cs="Calibri"/>
        </w:rPr>
        <w:t xml:space="preserve">, </w:t>
      </w:r>
      <w:hyperlink r:id="rIdHyperlink3" w:history="1">
        <w:r>
          <w:rPr>
            <w:rFonts w:ascii="Calibri" w:hAnsi="Calibri" w:cs="Calibri"/>
            <w:color w:val="2E74B5"/>
            <w:u w:val="single"/>
          </w:rPr>
          <w:t>parent evidence</w:t>
        </w:r>
      </w:hyperlink>
      <w:r>
        <w:rPr>
          <w:rFonts w:ascii="Calibri" w:hAnsi="Calibri" w:cs="Calibri"/>
        </w:rPr>
        <w:t xml:space="preserve"> | </w:t>
      </w:r>
      <w:r>
        <w:rPr>
          <w:rFonts w:ascii="Calibri" w:hAnsi="Calibri" w:cs="Calibri"/>
          <w:b/>
          <w:bCs/>
        </w:rPr>
        <w:t>Baseline / closed; accepted PR #260</w:t>
      </w:r>
      <w:r>
        <w:rPr>
          <w:rFonts w:ascii="Calibri" w:hAnsi="Calibri" w:cs="Calibri"/>
        </w:rPr>
        <w:t xml:space="preserve"> | | AR-06C | AR-06 | Guarded canonical static-draft save and real IndexedDB reopen; </w:t>
      </w:r>
      <w:hyperlink r:id="rIdHyperlink48" w:history="1">
        <w:r>
          <w:rPr>
            <w:rFonts w:ascii="Calibri" w:hAnsi="Calibri" w:cs="Calibri"/>
            <w:color w:val="2E74B5"/>
            <w:u w:val="single"/>
          </w:rPr>
          <w:t>contract</w:t>
        </w:r>
      </w:hyperlink>
      <w:r>
        <w:rPr>
          <w:rFonts w:ascii="Calibri" w:hAnsi="Calibri" w:cs="Calibri"/>
        </w:rPr>
        <w:t xml:space="preserve">, </w:t>
      </w:r>
      <w:hyperlink r:id="rIdHyperlink49" w:history="1">
        <w:r>
          <w:rPr>
            <w:rFonts w:ascii="Calibri" w:hAnsi="Calibri" w:cs="Calibri"/>
            <w:color w:val="2E74B5"/>
            <w:u w:val="single"/>
          </w:rPr>
          <w:t>report</w:t>
        </w:r>
      </w:hyperlink>
      <w:r>
        <w:rPr>
          <w:rFonts w:ascii="Calibri" w:hAnsi="Calibri" w:cs="Calibri"/>
        </w:rPr>
        <w:t xml:space="preserve"> | </w:t>
      </w:r>
      <w:r>
        <w:rPr>
          <w:rFonts w:ascii="Calibri" w:hAnsi="Calibri" w:cs="Calibri"/>
          <w:b/>
          <w:bCs/>
        </w:rPr>
        <w:t>Baseline / closed; accepted PR #261, merge `de0faeba0d40bd36ac83f25d533a3428f83501cc`</w:t>
      </w:r>
      <w:r>
        <w:rPr>
          <w:rFonts w:ascii="Calibri" w:hAnsi="Calibri" w:cs="Calibri"/>
        </w:rPr>
        <w:t xml:space="preserve"> |</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historical pre-AR selection; not current eligibility</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Historical eligibility superseded by the AR roadmap;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Historical scheduling projection (pre-AR; superseded, not current eligibility): 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Historical scheduling projection (pre-AR; superseded, not current eligibility):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Historical scheduling projection (pre-AR; superseded, not current eligibility): 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50"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Historical scheduling projection (pre-AR; superseded, not current eligibility): The binding details and minimum coverage are in </w:t>
      </w:r>
      <w:hyperlink r:id="rIdHyperlink51"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52"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3"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4"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55"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56"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7"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58"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59"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60"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61"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62"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63"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64"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65"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66"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67"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68"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69"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2"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Historical scheduling projection (pre-AR; superseded, not current eligibility): 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70"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70"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Historical scheduling projection (pre-AR; superseded, not current eligibility): 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71" w:history="1">
        <w:r>
          <w:rPr>
            <w:rFonts w:ascii="Calibri" w:hAnsi="Calibri" w:cs="Calibri"/>
            <w:color w:val="2E74B5"/>
            <w:u w:val="single"/>
          </w:rPr>
          <w:t>VESKO_OPENAPI_CONTRACT_AUDIT.md</w:t>
        </w:r>
      </w:hyperlink>
      <w:r>
        <w:rPr>
          <w:rFonts w:ascii="Calibri" w:hAnsi="Calibri" w:cs="Calibri"/>
        </w:rPr>
        <w:t xml:space="preserve"> and </w:t>
      </w:r>
      <w:hyperlink r:id="rIdHyperlink72"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Historical scheduling projection (pre-AR; superseded, not current eligibility): 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Historical 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historical pre-AR selection; not current eligibility</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widowControl/>
      </w:pPr>
      <w:r>
        <w:rPr>
          <w:rFonts w:ascii="Calibri" w:hAnsi="Calibri" w:cs="Calibri"/>
        </w:rPr>
        <w:t>Historical scheduling projection (pre-AR; superseded, not current eligibility):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AR_05_COMPOSITION_DESIGN.md" TargetMode="External"/><Relationship Id="rIdHyperlink2" Type="http://schemas.openxmlformats.org/officeDocument/2006/relationships/hyperlink" Target="AR_05A_IMPLEMENTATION_REPORT.md" TargetMode="External"/><Relationship Id="rIdHyperlink3" Type="http://schemas.openxmlformats.org/officeDocument/2006/relationships/hyperlink" Target="AR_06_RENDERING_ACCEPTANCE.md" TargetMode="External"/><Relationship Id="rIdHyperlink4" Type="http://schemas.openxmlformats.org/officeDocument/2006/relationships/hyperlink" Target="VESKIFY_SDD.md" TargetMode="External"/><Relationship Id="rIdHyperlink5" Type="http://schemas.openxmlformats.org/officeDocument/2006/relationships/hyperlink" Target="VESKIFY_DEVELOPMENT_ROADMAP.md" TargetMode="External"/><Relationship Id="rIdHyperlink6" Type="http://schemas.openxmlformats.org/officeDocument/2006/relationships/hyperlink" Target="governance/task-contracts/AR/AR-02A.json" TargetMode="External"/><Relationship Id="rIdHyperlink7" Type="http://schemas.openxmlformats.org/officeDocument/2006/relationships/hyperlink" Target="AR_02A_IMPLEMENTATION_REPORT.md" TargetMode="External"/><Relationship Id="rIdHyperlink8" Type="http://schemas.openxmlformats.org/officeDocument/2006/relationships/hyperlink" Target="governance/task-contracts/AR/AR-02B.json" TargetMode="External"/><Relationship Id="rIdHyperlink9" Type="http://schemas.openxmlformats.org/officeDocument/2006/relationships/hyperlink" Target="AR_02B_IMPLEMENTATION_REPORT.md" TargetMode="External"/><Relationship Id="rIdHyperlink10" Type="http://schemas.openxmlformats.org/officeDocument/2006/relationships/hyperlink" Target="governance/task-contracts/AR/AR-03A.json" TargetMode="External"/><Relationship Id="rIdHyperlink11" Type="http://schemas.openxmlformats.org/officeDocument/2006/relationships/hyperlink" Target="AR_03A_IMPLEMENTATION_REPORT.md" TargetMode="External"/><Relationship Id="rIdHyperlink12" Type="http://schemas.openxmlformats.org/officeDocument/2006/relationships/hyperlink" Target="governance/task-contracts/AR/AR-02C.json" TargetMode="External"/><Relationship Id="rIdHyperlink13" Type="http://schemas.openxmlformats.org/officeDocument/2006/relationships/hyperlink" Target="AR_02C_IMPLEMENTATION_REPORT.md" TargetMode="External"/><Relationship Id="rIdHyperlink14" Type="http://schemas.openxmlformats.org/officeDocument/2006/relationships/hyperlink" Target="governance/task-contracts/AR/AR-02D.json" TargetMode="External"/><Relationship Id="rIdHyperlink15" Type="http://schemas.openxmlformats.org/officeDocument/2006/relationships/hyperlink" Target="AR_02D_IMPLEMENTATION_REPORT.md" TargetMode="External"/><Relationship Id="rIdHyperlink16" Type="http://schemas.openxmlformats.org/officeDocument/2006/relationships/hyperlink" Target="governance/task-contracts/AR/AR-02E.json" TargetMode="External"/><Relationship Id="rIdHyperlink17" Type="http://schemas.openxmlformats.org/officeDocument/2006/relationships/hyperlink" Target="AR_02E_IMPLEMENTATION_REPORT.md" TargetMode="External"/><Relationship Id="rIdHyperlink18" Type="http://schemas.openxmlformats.org/officeDocument/2006/relationships/hyperlink" Target="governance/task-contracts/AR/AR-02F.json" TargetMode="External"/><Relationship Id="rIdHyperlink19" Type="http://schemas.openxmlformats.org/officeDocument/2006/relationships/hyperlink" Target="AR_02F_IMPLEMENTATION_REPORT.md" TargetMode="External"/><Relationship Id="rIdHyperlink20" Type="http://schemas.openxmlformats.org/officeDocument/2006/relationships/hyperlink" Target="governance/task-contracts/AR/AR-02G.json" TargetMode="External"/><Relationship Id="rIdHyperlink21" Type="http://schemas.openxmlformats.org/officeDocument/2006/relationships/hyperlink" Target="AR_02G_IMPLEMENTATION_REPORT.md" TargetMode="External"/><Relationship Id="rIdHyperlink22" Type="http://schemas.openxmlformats.org/officeDocument/2006/relationships/hyperlink" Target="governance/task-contracts/AR/AR-02H.json" TargetMode="External"/><Relationship Id="rIdHyperlink23" Type="http://schemas.openxmlformats.org/officeDocument/2006/relationships/hyperlink" Target="AR_02H_IMPLEMENTATION_REPORT.md" TargetMode="External"/><Relationship Id="rIdHyperlink24" Type="http://schemas.openxmlformats.org/officeDocument/2006/relationships/hyperlink" Target="governance/task-contracts/AR/AR-02I.json" TargetMode="External"/><Relationship Id="rIdHyperlink25" Type="http://schemas.openxmlformats.org/officeDocument/2006/relationships/hyperlink" Target="AR_02I_IMPLEMENTATION_REPORT.md" TargetMode="External"/><Relationship Id="rIdHyperlink26" Type="http://schemas.openxmlformats.org/officeDocument/2006/relationships/hyperlink" Target="AR_02_BOUNDARY_ACCEPTANCE.md" TargetMode="External"/><Relationship Id="rIdHyperlink27" Type="http://schemas.openxmlformats.org/officeDocument/2006/relationships/hyperlink" Target="governance/task-contracts/AR/AR-02J.json" TargetMode="External"/><Relationship Id="rIdHyperlink28" Type="http://schemas.openxmlformats.org/officeDocument/2006/relationships/hyperlink" Target="AR_02J_IMPLEMENTATION_REPORT.md" TargetMode="External"/><Relationship Id="rIdHyperlink29" Type="http://schemas.openxmlformats.org/officeDocument/2006/relationships/hyperlink" Target="governance/task-contracts/AR/AR-02K.json" TargetMode="External"/><Relationship Id="rIdHyperlink30" Type="http://schemas.openxmlformats.org/officeDocument/2006/relationships/hyperlink" Target="AR_02K_IMPLEMENTATION_REPORT.md" TargetMode="External"/><Relationship Id="rIdHyperlink31" Type="http://schemas.openxmlformats.org/officeDocument/2006/relationships/hyperlink" Target="governance/task-contracts/AR/AR-02L.json" TargetMode="External"/><Relationship Id="rIdHyperlink32" Type="http://schemas.openxmlformats.org/officeDocument/2006/relationships/hyperlink" Target="AR_02L_IMPLEMENTATION_REPORT.md" TargetMode="External"/><Relationship Id="rIdHyperlink33" Type="http://schemas.openxmlformats.org/officeDocument/2006/relationships/hyperlink" Target="governance/task-contracts/AR/AR-02M.json" TargetMode="External"/><Relationship Id="rIdHyperlink34" Type="http://schemas.openxmlformats.org/officeDocument/2006/relationships/hyperlink" Target="AR_02M_IMPLEMENTATION_REPORT.md" TargetMode="External"/><Relationship Id="rIdHyperlink35" Type="http://schemas.openxmlformats.org/officeDocument/2006/relationships/hyperlink" Target="governance/task-contracts/AR/AR-03B.json" TargetMode="External"/><Relationship Id="rIdHyperlink36" Type="http://schemas.openxmlformats.org/officeDocument/2006/relationships/hyperlink" Target="AR_03B_IMPLEMENTATION_REPORT.md" TargetMode="External"/><Relationship Id="rIdHyperlink37" Type="http://schemas.openxmlformats.org/officeDocument/2006/relationships/hyperlink" Target="governance/task-contracts/AR/AR-03C.json" TargetMode="External"/><Relationship Id="rIdHyperlink38" Type="http://schemas.openxmlformats.org/officeDocument/2006/relationships/hyperlink" Target="AR_03C_IMPLEMENTATION_REPORT.md" TargetMode="External"/><Relationship Id="rIdHyperlink39" Type="http://schemas.openxmlformats.org/officeDocument/2006/relationships/hyperlink" Target="governance/task-contracts/AR/AR-03D.json" TargetMode="External"/><Relationship Id="rIdHyperlink40" Type="http://schemas.openxmlformats.org/officeDocument/2006/relationships/hyperlink" Target="AR_03D_IMPLEMENTATION_REPORT.md" TargetMode="External"/><Relationship Id="rIdHyperlink41" Type="http://schemas.openxmlformats.org/officeDocument/2006/relationships/hyperlink" Target="governance/task-contracts/AR/AR-03E.json" TargetMode="External"/><Relationship Id="rIdHyperlink42" Type="http://schemas.openxmlformats.org/officeDocument/2006/relationships/hyperlink" Target="AR_03E_IMPLEMENTATION_REPORT.md" TargetMode="External"/><Relationship Id="rIdHyperlink43" Type="http://schemas.openxmlformats.org/officeDocument/2006/relationships/hyperlink" Target="AR_03_BOUNDARY_ACCEPTANCE.md" TargetMode="External"/><Relationship Id="rIdHyperlink44" Type="http://schemas.openxmlformats.org/officeDocument/2006/relationships/hyperlink" Target="governance/task-contracts/AR/AR-06A.json" TargetMode="External"/><Relationship Id="rIdHyperlink45" Type="http://schemas.openxmlformats.org/officeDocument/2006/relationships/hyperlink" Target="AR_06A_IMPLEMENTATION_REPORT.md" TargetMode="External"/><Relationship Id="rIdHyperlink46" Type="http://schemas.openxmlformats.org/officeDocument/2006/relationships/hyperlink" Target="governance/task-contracts/AR/AR-06B.json" TargetMode="External"/><Relationship Id="rIdHyperlink47" Type="http://schemas.openxmlformats.org/officeDocument/2006/relationships/hyperlink" Target="AR_06B_IMPLEMENTATION_REPORT.md" TargetMode="External"/><Relationship Id="rIdHyperlink48" Type="http://schemas.openxmlformats.org/officeDocument/2006/relationships/hyperlink" Target="governance/task-contracts/AR/AR-06C.json" TargetMode="External"/><Relationship Id="rIdHyperlink49" Type="http://schemas.openxmlformats.org/officeDocument/2006/relationships/hyperlink" Target="AR_06C_IMPLEMENTATION_REPORT.md" TargetMode="External"/><Relationship Id="rIdHyperlink50" Type="http://schemas.openxmlformats.org/officeDocument/2006/relationships/hyperlink" Target="P10A_PHASE_CLOSURE.md" TargetMode="External"/><Relationship Id="rIdHyperlink51" Type="http://schemas.openxmlformats.org/officeDocument/2006/relationships/hyperlink" Target="P10B_COMMERCIAL_STOREFRONT_GENERATION_ARCHITECTURE.md" TargetMode="External"/><Relationship Id="rIdHyperlink52" Type="http://schemas.openxmlformats.org/officeDocument/2006/relationships/hyperlink" Target="P10B_16P_04_REAL_STUDIO_DESIGN_INTENT_ACCEPTANCE.md" TargetMode="External"/><Relationship Id="rIdHyperlink53" Type="http://schemas.openxmlformats.org/officeDocument/2006/relationships/hyperlink" Target="P10B_01_COMMERCIAL_DESIGN_GRAMMAR.md" TargetMode="External"/><Relationship Id="rIdHyperlink54" Type="http://schemas.openxmlformats.org/officeDocument/2006/relationships/hyperlink" Target="P10B_02_PARAMETRIC_BRAND_SYSTEM.md" TargetMode="External"/><Relationship Id="rIdHyperlink55" Type="http://schemas.openxmlformats.org/officeDocument/2006/relationships/hyperlink" Target="P10B_03_COMPONENT_ANATOMY_AND_MEANINGFUL_VARIANTS.md" TargetMode="External"/><Relationship Id="rIdHyperlink56" Type="http://schemas.openxmlformats.org/officeDocument/2006/relationships/hyperlink" Target="P10B_04_RESPONSIVE_IMAGE_ART_DIRECTION.md" TargetMode="External"/><Relationship Id="rIdHyperlink57" Type="http://schemas.openxmlformats.org/officeDocument/2006/relationships/hyperlink" Target="P10B_05_SITE_MAP_AND_PAGE_FAMILY_AUTHORITY.md" TargetMode="External"/><Relationship Id="rIdHyperlink58" Type="http://schemas.openxmlformats.org/officeDocument/2006/relationships/hyperlink" Target="P10B_06_COMMERCIAL_SHARED_FRAME_FAMILIES.md" TargetMode="External"/><Relationship Id="rIdHyperlink59" Type="http://schemas.openxmlformats.org/officeDocument/2006/relationships/hyperlink" Target="P10B_07_HERO_EDITORIAL_CAMPAIGN_PROOF_FAMILIES.md" TargetMode="External"/><Relationship Id="rIdHyperlink60" Type="http://schemas.openxmlformats.org/officeDocument/2006/relationships/hyperlink" Target="P10B_08_CANONICAL_PRODUCT_CARD_AND_MERCHANDISING.md" TargetMode="External"/><Relationship Id="rIdHyperlink61" Type="http://schemas.openxmlformats.org/officeDocument/2006/relationships/hyperlink" Target="P10B_09_COMMERCIAL_HOMEPAGE_PROFILE_LIBRARY.md" TargetMode="External"/><Relationship Id="rIdHyperlink62" Type="http://schemas.openxmlformats.org/officeDocument/2006/relationships/hyperlink" Target="P10B_10_COMMERCIAL_COLLECTION_SEARCH_PROFILES.md" TargetMode="External"/><Relationship Id="rIdHyperlink63" Type="http://schemas.openxmlformats.org/officeDocument/2006/relationships/hyperlink" Target="P10B_12_CONTENT_AND_SUPPORT_PAGE_FAMILIES.md" TargetMode="External"/><Relationship Id="rIdHyperlink64" Type="http://schemas.openxmlformats.org/officeDocument/2006/relationships/hyperlink" Target="P10B_13_COMMERCE_UTILITY_PRESENTATION_PAGES.md" TargetMode="External"/><Relationship Id="rIdHyperlink65" Type="http://schemas.openxmlformats.org/officeDocument/2006/relationships/hyperlink" Target="P10B_14_PREMIUM_EDITORIAL_COMPLETE_STOREFRONT_VERTICAL_SLICE.md" TargetMode="External"/><Relationship Id="rIdHyperlink66" Type="http://schemas.openxmlformats.org/officeDocument/2006/relationships/hyperlink" Target="P10B_15_BOUNDED_STOREFRONT_SYNTHESIS_AND_NARRATIVE_ENGINE.md" TargetMode="External"/><Relationship Id="rIdHyperlink67" Type="http://schemas.openxmlformats.org/officeDocument/2006/relationships/hyperlink" Target="P10B_16_COORDINATED_DIRECTIONS_AND_DIVERSITY_CONTROL.md" TargetMode="External"/><Relationship Id="rIdHyperlink68" Type="http://schemas.openxmlformats.org/officeDocument/2006/relationships/hyperlink" Target="P10B_16P_01_DYNAMIC_COMMERCE_ROUTE_ARCHETYPES.md" TargetMode="External"/><Relationship Id="rIdHyperlink69" Type="http://schemas.openxmlformats.org/officeDocument/2006/relationships/hyperlink" Target="P10B_16P_02_PROMPTED_STOREFRONT_DESIGN_PLAN_V2.md" TargetMode="External"/><Relationship Id="rIdHyperlink70" Type="http://schemas.openxmlformats.org/officeDocument/2006/relationships/hyperlink" Target="P10B_18_COMMERCIAL_QUALITY_AUDIT.md" TargetMode="External"/><Relationship Id="rIdHyperlink71" Type="http://schemas.openxmlformats.org/officeDocument/2006/relationships/hyperlink" Target="VESKO_OPENAPI_CONTRACT_AUDIT.md" TargetMode="External"/><Relationship Id="rIdHyperlink72"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71a59316e5cdd30df51c77d84dc9f69befab187bc359894d7215c360bc669839</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