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jc w:val="center"/>
        <w:widowControl/>
      </w:pPr>
      <w:r>
        <w:rPr>
          <w:rFonts w:ascii="Calibri" w:hAnsi="Calibri" w:cs="Calibri"/>
        </w:rPr>
        <w:t>Veskify Development Delivery Tracker</w:t>
      </w:r>
    </w:p>
    <w:p>
      <w:pPr>
        <w:pStyle w:val="Subtitle"/>
        <w:jc w:val="center"/>
        <w:widowControl/>
      </w:pPr>
      <w:r>
        <w:rPr>
          <w:rFonts w:ascii="Calibri" w:hAnsi="Calibri" w:cs="Calibri"/>
        </w:rPr>
        <w:t>Version 1.3.0</w:t>
      </w:r>
    </w:p>
    <w:p>
      <w:pPr>
        <w:pStyle w:val="CoverMeta"/>
        <w:jc w:val="center"/>
        <w:widowControl/>
      </w:pPr>
      <w:r>
        <w:rPr>
          <w:rFonts w:ascii="Calibri" w:hAnsi="Calibri" w:cs="Calibri"/>
        </w:rPr>
        <w:t>Delivery status baseline: 6 August 2026</w:t>
      </w:r>
    </w:p>
    <w:p>
      <w:pPr>
        <w:pStyle w:val="CoverMeta"/>
        <w:jc w:val="center"/>
        <w:widowControl/>
      </w:pPr>
      <w:r>
        <w:rPr>
          <w:rFonts w:ascii="Calibri" w:hAnsi="Calibri" w:cs="Calibri"/>
        </w:rPr>
        <w:t>Overall product status: Partial</w:t>
      </w:r>
    </w:p>
    <w:p>
      <w:pPr>
        <w:pStyle w:val="CoverMeta"/>
        <w:jc w:val="center"/>
        <w:widowControl/>
      </w:pPr>
      <w:r>
        <w:rPr>
          <w:rFonts w:ascii="Calibri" w:hAnsi="Calibri" w:cs="Calibri"/>
        </w:rPr>
        <w:t>Active phase: P10A grounded orchestration and publishing closure</w:t>
      </w:r>
    </w:p>
    <w:p>
      <w:pPr>
        <w:pStyle w:val="CoverMeta"/>
        <w:jc w:val="center"/>
        <w:widowControl/>
      </w:pPr>
      <w:r>
        <w:rPr>
          <w:rFonts w:ascii="Calibri" w:hAnsi="Calibri" w:cs="Calibri"/>
        </w:rPr>
        <w:t>Authoritative source: docs/VESKIFY_DEVELOPMENT_DELIVERY_TRACKER.md</w:t>
      </w:r>
    </w:p>
    <w:p>
      <w:pPr>
        <w:pStyle w:val="Normal"/>
        <w:widowControl/>
      </w:pPr>
      <w:r>
        <w:br w:type="page"/>
      </w:r>
    </w:p>
    <w:p>
      <w:pPr>
        <w:pStyle w:val="Heading1"/>
        <w:keepNext/>
        <w:widowControl/>
      </w:pPr>
      <w:r>
        <w:rPr>
          <w:rFonts w:ascii="Calibri" w:hAnsi="Calibri" w:cs="Calibri"/>
        </w:rPr>
        <w:t>Document control</w:t>
      </w:r>
    </w:p>
    <w:tbl>
      <w:tblPr>
        <w:tblW w:w="12960" w:type="dxa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Borders>
          <w:top w:val="single" w:sz="4" w:color="B8C4D2"/>
          <w:left w:val="single" w:sz="4" w:color="B8C4D2"/>
          <w:bottom w:val="single" w:sz="4" w:color="B8C4D2"/>
          <w:right w:val="single" w:sz="4" w:color="B8C4D2"/>
          <w:insideH w:val="single" w:sz="4" w:color="D8E0E8"/>
          <w:insideV w:val="single" w:sz="4" w:color="D8E0E8"/>
        </w:tblBorders>
      </w:tblPr>
      <w:tblGrid>
        <w:gridCol w:w="2600"/>
        <w:gridCol w:w="10360"/>
      </w:tblGrid>
      <w:tr>
        <w:trPr>
          <w:tblHeader/>
          <w:cantSplit/>
        </w:trPr>
        <w:tc>
          <w:tcPr>
            <w:tcW w:w="26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Field</w:t>
            </w:r>
          </w:p>
        </w:tc>
        <w:tc>
          <w:tcPr>
            <w:tcW w:w="1036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Value</w:t>
            </w:r>
          </w:p>
        </w:tc>
      </w:tr>
      <w:tr>
        <w:trPr/>
        <w:tc>
          <w:tcPr>
            <w:tcW w:w="260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</w:rPr>
              <w:t>Version</w:t>
            </w:r>
          </w:p>
        </w:tc>
        <w:tc>
          <w:tcPr>
            <w:tcW w:w="1036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</w:rPr>
              <w:t>1.3.0</w:t>
            </w:r>
          </w:p>
        </w:tc>
      </w:tr>
      <w:tr>
        <w:trPr/>
        <w:tc>
          <w:tcPr>
            <w:tcW w:w="260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</w:rPr>
              <w:t>Baseline</w:t>
            </w:r>
          </w:p>
        </w:tc>
        <w:tc>
          <w:tcPr>
            <w:tcW w:w="1036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</w:rPr>
              <w:t xml:space="preserve">6 August 2026, current </w:t>
            </w:r>
            <w:r>
              <w:rPr>
                <w:rFonts w:ascii="Consolas" w:hAnsi="Consolas" w:cs="Consolas"/>
                <w:sz w:val="19"/>
                <w:szCs w:val="19"/>
              </w:rPr>
              <w:t>main</w:t>
            </w:r>
            <w:r>
              <w:rPr>
                <w:rFonts w:ascii="Calibri" w:hAnsi="Calibri" w:cs="Calibri"/>
              </w:rPr>
              <w:t xml:space="preserve"> after PR #165</w:t>
            </w:r>
          </w:p>
        </w:tc>
      </w:tr>
      <w:tr>
        <w:trPr/>
        <w:tc>
          <w:tcPr>
            <w:tcW w:w="260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</w:rPr>
              <w:t>Overall product status</w:t>
            </w:r>
          </w:p>
        </w:tc>
        <w:tc>
          <w:tcPr>
            <w:tcW w:w="1036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  <w:b/>
                <w:bCs/>
              </w:rPr>
              <w:t>Partial</w:t>
            </w:r>
          </w:p>
        </w:tc>
      </w:tr>
      <w:tr>
        <w:trPr/>
        <w:tc>
          <w:tcPr>
            <w:tcW w:w="260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</w:rPr>
              <w:t>Authoritative specification</w:t>
            </w:r>
          </w:p>
        </w:tc>
        <w:tc>
          <w:tcPr>
            <w:tcW w:w="1036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  <w:color w:val="2E74B5"/>
                <w:u w:val="single"/>
              </w:rPr>
              <w:t>VESKIFY_SDD.md</w:t>
            </w:r>
          </w:p>
        </w:tc>
      </w:tr>
      <w:tr>
        <w:trPr/>
        <w:tc>
          <w:tcPr>
            <w:tcW w:w="260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</w:rPr>
              <w:t>Delivery order</w:t>
            </w:r>
          </w:p>
        </w:tc>
        <w:tc>
          <w:tcPr>
            <w:tcW w:w="1036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  <w:color w:val="2E74B5"/>
                <w:u w:val="single"/>
              </w:rPr>
              <w:t>VESKIFY_DEVELOPMENT_ROADMAP.md</w:t>
            </w:r>
          </w:p>
        </w:tc>
      </w:tr>
      <w:tr>
        <w:trPr/>
        <w:tc>
          <w:tcPr>
            <w:tcW w:w="260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</w:rPr>
              <w:t>Checkbox rule</w:t>
            </w:r>
          </w:p>
        </w:tc>
        <w:tc>
          <w:tcPr>
            <w:tcW w:w="1036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</w:rPr>
              <w:t>A checked box means the complete stated outcome and evidence gate are satisfied; an unchecked box means incomplete.</w:t>
            </w:r>
          </w:p>
        </w:tc>
      </w:tr>
    </w:tbl>
    <w:p>
      <w:pPr>
        <w:pStyle w:val="Normal"/>
        <w:widowControl/>
      </w:pPr>
    </w:p>
    <w:p>
      <w:pPr>
        <w:pStyle w:val="Normal"/>
        <w:widowControl/>
      </w:pPr>
      <w:r>
        <w:rPr>
          <w:rFonts w:ascii="Calibri" w:hAnsi="Calibri" w:cs="Calibri"/>
        </w:rPr>
        <w:t>Implementation status and evidence level are separate. A task is not done because a contract, test, or partial implementation exists. The checkbox changes only when the task's complete outcome and required evidence are accepted.</w:t>
      </w:r>
    </w:p>
    <w:p>
      <w:pPr>
        <w:pStyle w:val="Heading1"/>
        <w:keepNext/>
        <w:widowControl/>
      </w:pPr>
      <w:r>
        <w:rPr>
          <w:rFonts w:ascii="Calibri" w:hAnsi="Calibri" w:cs="Calibri"/>
        </w:rPr>
        <w:t>Overall phase checklist</w:t>
      </w:r>
    </w:p>
    <w:tbl>
      <w:tblPr>
        <w:tblW w:w="12960" w:type="dxa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Borders>
          <w:top w:val="single" w:sz="4" w:color="B8C4D2"/>
          <w:left w:val="single" w:sz="4" w:color="B8C4D2"/>
          <w:bottom w:val="single" w:sz="4" w:color="B8C4D2"/>
          <w:right w:val="single" w:sz="4" w:color="B8C4D2"/>
          <w:insideH w:val="single" w:sz="4" w:color="D8E0E8"/>
          <w:insideV w:val="single" w:sz="4" w:color="D8E0E8"/>
        </w:tblBorders>
      </w:tblPr>
      <w:tblGrid>
        <w:gridCol w:w="520"/>
        <w:gridCol w:w="1800"/>
        <w:gridCol w:w="2800"/>
        <w:gridCol w:w="850"/>
        <w:gridCol w:w="1500"/>
        <w:gridCol w:w="2500"/>
        <w:gridCol w:w="2990"/>
      </w:tblGrid>
      <w:tr>
        <w:trPr>
          <w:tblHeader/>
          <w:cantSplit/>
        </w:trPr>
        <w:tc>
          <w:tcPr>
            <w:tcW w:w="52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Done</w:t>
            </w:r>
          </w:p>
        </w:tc>
        <w:tc>
          <w:tcPr>
            <w:tcW w:w="18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Task</w:t>
            </w:r>
          </w:p>
        </w:tc>
        <w:tc>
          <w:tcPr>
            <w:tcW w:w="28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Outcome</w:t>
            </w:r>
          </w:p>
        </w:tc>
        <w:tc>
          <w:tcPr>
            <w:tcW w:w="85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Status</w:t>
            </w:r>
          </w:p>
        </w:tc>
        <w:tc>
          <w:tcPr>
            <w:tcW w:w="15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Owner</w:t>
            </w:r>
          </w:p>
        </w:tc>
        <w:tc>
          <w:tcPr>
            <w:tcW w:w="25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Dependency</w:t>
            </w:r>
          </w:p>
        </w:tc>
        <w:tc>
          <w:tcPr>
            <w:tcW w:w="299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Required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Grounded orchestration and publishing closure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Partial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orchestration and publishing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Phase 9 handoff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Controlled-provider where eligible; deterministic; integration; browser/E2E; retained publication review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Commercial Storefront Design System v1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design system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 closure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Capability chain; responsive browser/E2E; retained human commercial review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Studio Editing Experience v1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Studio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 commercial authority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Integration; browser/E2E; retained human commercial review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P10D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Advanced media and registered interactive presentation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 and media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Relevant P10B authority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Contract; browser/E2E; accessibility; performance; fallback review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Vesko Integration Readiness and Reference Adapter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platform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Contract decisions; P10A and minimum P10C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Adapter conformance; browser/E2E; Vesko staging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P12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Production hardening and pilot operations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platform/operations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 staging exit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Security; load; recovery; monitoring; controlled production pilot</w:t>
            </w:r>
          </w:p>
        </w:tc>
      </w:tr>
    </w:tbl>
    <w:p>
      <w:pPr>
        <w:pStyle w:val="Normal"/>
        <w:widowControl/>
      </w:pPr>
    </w:p>
    <w:p>
      <w:pPr>
        <w:pStyle w:val="Heading1"/>
        <w:keepNext/>
        <w:widowControl/>
      </w:pPr>
      <w:r>
        <w:rPr>
          <w:rFonts w:ascii="Calibri" w:hAnsi="Calibri" w:cs="Calibri"/>
        </w:rPr>
        <w:t>P10A checklist</w:t>
      </w:r>
    </w:p>
    <w:tbl>
      <w:tblPr>
        <w:tblW w:w="12960" w:type="dxa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Borders>
          <w:top w:val="single" w:sz="4" w:color="B8C4D2"/>
          <w:left w:val="single" w:sz="4" w:color="B8C4D2"/>
          <w:bottom w:val="single" w:sz="4" w:color="B8C4D2"/>
          <w:right w:val="single" w:sz="4" w:color="B8C4D2"/>
          <w:insideH w:val="single" w:sz="4" w:color="D8E0E8"/>
          <w:insideV w:val="single" w:sz="4" w:color="D8E0E8"/>
        </w:tblBorders>
      </w:tblPr>
      <w:tblGrid>
        <w:gridCol w:w="520"/>
        <w:gridCol w:w="1800"/>
        <w:gridCol w:w="2800"/>
        <w:gridCol w:w="850"/>
        <w:gridCol w:w="1500"/>
        <w:gridCol w:w="2500"/>
        <w:gridCol w:w="2990"/>
      </w:tblGrid>
      <w:tr>
        <w:trPr>
          <w:tblHeader/>
          <w:cantSplit/>
        </w:trPr>
        <w:tc>
          <w:tcPr>
            <w:tcW w:w="52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Done</w:t>
            </w:r>
          </w:p>
        </w:tc>
        <w:tc>
          <w:tcPr>
            <w:tcW w:w="18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Task</w:t>
            </w:r>
          </w:p>
        </w:tc>
        <w:tc>
          <w:tcPr>
            <w:tcW w:w="28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Outcome</w:t>
            </w:r>
          </w:p>
        </w:tc>
        <w:tc>
          <w:tcPr>
            <w:tcW w:w="85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Status</w:t>
            </w:r>
          </w:p>
        </w:tc>
        <w:tc>
          <w:tcPr>
            <w:tcW w:w="15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Owner</w:t>
            </w:r>
          </w:p>
        </w:tc>
        <w:tc>
          <w:tcPr>
            <w:tcW w:w="25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Dependency</w:t>
            </w:r>
          </w:p>
        </w:tc>
        <w:tc>
          <w:tcPr>
            <w:tcW w:w="299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Required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P10A-07C-03R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Controlled real-provider acceptance completion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Provider acceptance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Explicit approval and eligible trusted OpenAI configuration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One initial case before one follow-up case; retained real-provider evidence; no retry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P10A-08B-02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Accepted-AI acceptance-to-receipt wiring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Partial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Proposal/publishing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Existing acceptance, receipt, and gateway authority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Deterministic; integration; browser/E2E; stale/divergent/no-partial-write rejection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P10A-08C-02B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Atomic compiled publication and rollback closure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Publishing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P10A-08B-02 and deterministic compiler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Atomic artifact/version/history persistence; idempotency; rollback/republish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P10A-08D-02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Complete publication evidence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Publishing and QA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P10A-08C-02B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Gateway/compiler home, collection, PDP; failure; active version; rollback; zero-provider publication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P10A-09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 closure record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Product architecture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Prior P10A closure tasks or explicit disposition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Accepted closure and evidence coverage record</w:t>
            </w:r>
          </w:p>
        </w:tc>
      </w:tr>
    </w:tbl>
    <w:p>
      <w:pPr>
        <w:pStyle w:val="Normal"/>
        <w:widowControl/>
      </w:pPr>
    </w:p>
    <w:p>
      <w:pPr>
        <w:pStyle w:val="Heading1"/>
        <w:keepNext/>
        <w:widowControl/>
      </w:pPr>
      <w:r>
        <w:rPr>
          <w:rFonts w:ascii="Calibri" w:hAnsi="Calibri" w:cs="Calibri"/>
        </w:rPr>
        <w:t>P10B checklist</w:t>
      </w:r>
    </w:p>
    <w:tbl>
      <w:tblPr>
        <w:tblW w:w="12960" w:type="dxa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Borders>
          <w:top w:val="single" w:sz="4" w:color="B8C4D2"/>
          <w:left w:val="single" w:sz="4" w:color="B8C4D2"/>
          <w:bottom w:val="single" w:sz="4" w:color="B8C4D2"/>
          <w:right w:val="single" w:sz="4" w:color="B8C4D2"/>
          <w:insideH w:val="single" w:sz="4" w:color="D8E0E8"/>
          <w:insideV w:val="single" w:sz="4" w:color="D8E0E8"/>
        </w:tblBorders>
      </w:tblPr>
      <w:tblGrid>
        <w:gridCol w:w="520"/>
        <w:gridCol w:w="1800"/>
        <w:gridCol w:w="2800"/>
        <w:gridCol w:w="850"/>
        <w:gridCol w:w="1500"/>
        <w:gridCol w:w="2500"/>
        <w:gridCol w:w="2990"/>
      </w:tblGrid>
      <w:tr>
        <w:trPr>
          <w:tblHeader/>
          <w:cantSplit/>
        </w:trPr>
        <w:tc>
          <w:tcPr>
            <w:tcW w:w="52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Done</w:t>
            </w:r>
          </w:p>
        </w:tc>
        <w:tc>
          <w:tcPr>
            <w:tcW w:w="18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Task</w:t>
            </w:r>
          </w:p>
        </w:tc>
        <w:tc>
          <w:tcPr>
            <w:tcW w:w="28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Outcome</w:t>
            </w:r>
          </w:p>
        </w:tc>
        <w:tc>
          <w:tcPr>
            <w:tcW w:w="85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Status</w:t>
            </w:r>
          </w:p>
        </w:tc>
        <w:tc>
          <w:tcPr>
            <w:tcW w:w="15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Owner</w:t>
            </w:r>
          </w:p>
        </w:tc>
        <w:tc>
          <w:tcPr>
            <w:tcW w:w="25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Dependency</w:t>
            </w:r>
          </w:p>
        </w:tc>
        <w:tc>
          <w:tcPr>
            <w:tcW w:w="299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Required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P10B-01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Executable commercial vocabulary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 closure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Contract/schema and deterministic reachability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P10B-02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Semantic visual foundations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P10B-01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Contract, migration, renderer integration, responsive browser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P10B-03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Responsive image and art-direction authority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 and media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P10B-01, P10B-02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Contract, integration, responsive browser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P10B-04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Premium shared frame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P10B-02, P10B-03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Capability-chain and responsive human review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P10B-05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Hero, editorial, campaign, and proof families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P10B-02, P10B-03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Proposal/compiler/render reachability and visual review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P10B-06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Canonical product-card and merchandising system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 and commerce presentation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P10B-02, P10B-03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Commerce regression, capability chain, visual review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P10B-07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Commercial collection profiles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P10B-04 through P10B-06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Materialization-to-render evidence and visual review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P10B-08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Commercial PDP profiles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 and commerce presentation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P10B-04 through P10B-06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Dynamic-commerce regression and visual review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P10B-09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Coordinated storefront directions v2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P10B-04 through P10B-08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Exact selection and complete-storefront differentiation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P10B-10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Narrative composition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 and generation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P10B-05 through P10B-09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Proposal/compiler/snapshot preservation and human review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P10B-11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Responsive commercial closure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 and QA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P10B-02 through P10B-10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Browser matrix at 375, 768, 1024, 1440 px and accessibility checks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P10B-12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Commercial visual-quality gate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Product owner, design system, QA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All prior P10B tasks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Retained screenshots and explicit human acceptance</w:t>
            </w:r>
          </w:p>
        </w:tc>
      </w:tr>
    </w:tbl>
    <w:p>
      <w:pPr>
        <w:pStyle w:val="Normal"/>
        <w:widowControl/>
      </w:pPr>
    </w:p>
    <w:p>
      <w:pPr>
        <w:pStyle w:val="Heading1"/>
        <w:keepNext/>
        <w:widowControl/>
      </w:pPr>
      <w:r>
        <w:rPr>
          <w:rFonts w:ascii="Calibri" w:hAnsi="Calibri" w:cs="Calibri"/>
        </w:rPr>
        <w:t>P10C checklist</w:t>
      </w:r>
    </w:p>
    <w:tbl>
      <w:tblPr>
        <w:tblW w:w="12960" w:type="dxa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Borders>
          <w:top w:val="single" w:sz="4" w:color="B8C4D2"/>
          <w:left w:val="single" w:sz="4" w:color="B8C4D2"/>
          <w:bottom w:val="single" w:sz="4" w:color="B8C4D2"/>
          <w:right w:val="single" w:sz="4" w:color="B8C4D2"/>
          <w:insideH w:val="single" w:sz="4" w:color="D8E0E8"/>
          <w:insideV w:val="single" w:sz="4" w:color="D8E0E8"/>
        </w:tblBorders>
      </w:tblPr>
      <w:tblGrid>
        <w:gridCol w:w="520"/>
        <w:gridCol w:w="1800"/>
        <w:gridCol w:w="2800"/>
        <w:gridCol w:w="850"/>
        <w:gridCol w:w="1500"/>
        <w:gridCol w:w="2500"/>
        <w:gridCol w:w="2990"/>
      </w:tblGrid>
      <w:tr>
        <w:trPr>
          <w:tblHeader/>
          <w:cantSplit/>
        </w:trPr>
        <w:tc>
          <w:tcPr>
            <w:tcW w:w="52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Done</w:t>
            </w:r>
          </w:p>
        </w:tc>
        <w:tc>
          <w:tcPr>
            <w:tcW w:w="18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Task</w:t>
            </w:r>
          </w:p>
        </w:tc>
        <w:tc>
          <w:tcPr>
            <w:tcW w:w="28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Outcome</w:t>
            </w:r>
          </w:p>
        </w:tc>
        <w:tc>
          <w:tcPr>
            <w:tcW w:w="85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Status</w:t>
            </w:r>
          </w:p>
        </w:tc>
        <w:tc>
          <w:tcPr>
            <w:tcW w:w="15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Owner</w:t>
            </w:r>
          </w:p>
        </w:tc>
        <w:tc>
          <w:tcPr>
            <w:tcW w:w="25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Dependency</w:t>
            </w:r>
          </w:p>
        </w:tc>
        <w:tc>
          <w:tcPr>
            <w:tcW w:w="299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Required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P10C-01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Brand asset library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Studio and media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 asset authority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Contract, integration, browser/E2E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P10C-02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Asset roles and provenance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Studio and media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P10C-01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Assignment validation and browser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P10C-03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Canonical Puck boundary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Studio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 component/profile authority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Adapter conformance and save/reload preservation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P10C-04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Stable frame identity and selection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Studio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P10C-03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Frame/page scope integration and browser/E2E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P10C-05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Approved manual frame operations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Studio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P10C-02 through P10C-04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Positive/fail-closed integration, undo/redo, browser/E2E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P10C-06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Scoped AI editing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Studio and design agent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P10C-03 through P10C-05; P10A authorities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Scope, ambiguity, and proposal lifecycle browser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P10C-07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Unified AI/manual history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Studio and state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P10C-05, P10C-06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Mixed-operation atomicity, save/reload, undo/redo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P10C-08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Brand and asset editor with Studio shell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Studio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P10C-01 through P10C-07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UI states, responsive accessibility, browser/E2E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P10C-09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Studio commercial QA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Product owner, Storefront Studio, QA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P10C-08 and P10B-12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Full select-to-publish browser chain and human review</w:t>
            </w:r>
          </w:p>
        </w:tc>
      </w:tr>
    </w:tbl>
    <w:p>
      <w:pPr>
        <w:pStyle w:val="Normal"/>
        <w:widowControl/>
      </w:pPr>
    </w:p>
    <w:p>
      <w:pPr>
        <w:pStyle w:val="Heading1"/>
        <w:keepNext/>
        <w:widowControl/>
      </w:pPr>
      <w:r>
        <w:rPr>
          <w:rFonts w:ascii="Calibri" w:hAnsi="Calibri" w:cs="Calibri"/>
        </w:rPr>
        <w:t>P11 checklist</w:t>
      </w:r>
    </w:p>
    <w:tbl>
      <w:tblPr>
        <w:tblW w:w="12960" w:type="dxa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Borders>
          <w:top w:val="single" w:sz="4" w:color="B8C4D2"/>
          <w:left w:val="single" w:sz="4" w:color="B8C4D2"/>
          <w:bottom w:val="single" w:sz="4" w:color="B8C4D2"/>
          <w:right w:val="single" w:sz="4" w:color="B8C4D2"/>
          <w:insideH w:val="single" w:sz="4" w:color="D8E0E8"/>
          <w:insideV w:val="single" w:sz="4" w:color="D8E0E8"/>
        </w:tblBorders>
      </w:tblPr>
      <w:tblGrid>
        <w:gridCol w:w="520"/>
        <w:gridCol w:w="1800"/>
        <w:gridCol w:w="2800"/>
        <w:gridCol w:w="850"/>
        <w:gridCol w:w="1500"/>
        <w:gridCol w:w="2500"/>
        <w:gridCol w:w="2990"/>
      </w:tblGrid>
      <w:tr>
        <w:trPr>
          <w:tblHeader/>
          <w:cantSplit/>
        </w:trPr>
        <w:tc>
          <w:tcPr>
            <w:tcW w:w="52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Done</w:t>
            </w:r>
          </w:p>
        </w:tc>
        <w:tc>
          <w:tcPr>
            <w:tcW w:w="18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Task</w:t>
            </w:r>
          </w:p>
        </w:tc>
        <w:tc>
          <w:tcPr>
            <w:tcW w:w="28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Outcome</w:t>
            </w:r>
          </w:p>
        </w:tc>
        <w:tc>
          <w:tcPr>
            <w:tcW w:w="85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Status</w:t>
            </w:r>
          </w:p>
        </w:tc>
        <w:tc>
          <w:tcPr>
            <w:tcW w:w="15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Owner</w:t>
            </w:r>
          </w:p>
        </w:tc>
        <w:tc>
          <w:tcPr>
            <w:tcW w:w="25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Dependency</w:t>
            </w:r>
          </w:p>
        </w:tc>
        <w:tc>
          <w:tcPr>
            <w:tcW w:w="299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Required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☑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P11-00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Vesko OpenAPI audit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Baseline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architecture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Obtained OpenAPI 3.0 document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Contract audit and integration matrix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P11-01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Backend contract closure and ownership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platform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Vesko platform decisions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Approved typed contracts and ownership record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P11-02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Identity and store-context adapter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platform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P11-01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Auth/tenant adapter conformance and staging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P11-03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Catalogue and navigation projection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commerce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P11-01, P11-02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Read-only adapter conformance and staging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P11-04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Variant, option, price, availability and media conformance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commerce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P11-03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Simple/configurable product conformance and staging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P11-05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Approved presentation-asset service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media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P11-01, P11-02, media ownership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Provenance, permissions, lifecycle, staging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P11-06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draft and history persistence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platform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P11-01, P11-02, persistence/revision contract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Concurrency and canonical save/reload/restore in staging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P11-07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Accepted receipt and publication adapter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platform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 closure; P11-01, P11-02, P11-06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Receipt/gateway/compiler/artifact conformance and staging publication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P11-08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Synchronization, revisions, errors and caching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platform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P11-03 through P11-07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Conflict, retry, cache, and recovery integration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P11-09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Vesko staging conformance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platform + QA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P11-02 through P11-08; minimum P10C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Browser/E2E and correlated Vesko staging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P11-10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Pilot readiness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Product owner + Veskify/Vesko leads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P11-09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One real pilot with signed evidence and documented limitations</w:t>
            </w:r>
          </w:p>
        </w:tc>
      </w:tr>
    </w:tbl>
    <w:p>
      <w:pPr>
        <w:pStyle w:val="Normal"/>
        <w:widowControl/>
      </w:pPr>
    </w:p>
    <w:p>
      <w:pPr>
        <w:pStyle w:val="Heading1"/>
        <w:keepNext/>
        <w:widowControl/>
      </w:pPr>
      <w:r>
        <w:rPr>
          <w:rFonts w:ascii="Calibri" w:hAnsi="Calibri" w:cs="Calibri"/>
        </w:rPr>
        <w:t>Task definitions</w:t>
      </w:r>
    </w:p>
    <w:p>
      <w:pPr>
        <w:pStyle w:val="Heading2"/>
        <w:keepNext/>
        <w:widowControl/>
      </w:pPr>
      <w:r>
        <w:rPr>
          <w:rFonts w:ascii="Calibri" w:hAnsi="Calibri" w:cs="Calibri"/>
        </w:rPr>
        <w:t>P10A — Grounded orchestration and publishing closure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P10A-07C-03R — Controlled real-provider acceptance completion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Execute exactly one eligible initial-generation case, then one follow-up-editing case, through the controlled real-provider boundary.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Explicit approval and eligible trusted OpenAI provider/model configuration.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Safe correlated real-provider evidence; initial succeeds before follow-up; no retry.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Provider redesign, synthetic success, retry, or merchant editor wiring.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P10A-08B-02 — Accepted-AI acceptance-to-receipt wiring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Authoritative proposal acceptance mints and persists the exact server-owned accepted-snapshot receipt, and the active publish gateway resolves it.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Partial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Existing proposal acceptance, receipt repository, and publishing gateway.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Exact lineage, create-once persistence, manual/AI separation, stale and accept-then-undo rejection, and no partial write.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Browser-created receipt authority or fallback to manual publication.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P10A-08C-02B — Atomic compiled publication and rollback closure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Commit the compiled artifact, published snapshot, publication history, and active version atomically; preserve the existing live version on failure; restore to draft and change live state only through explicit republish.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P10A-08B-02 and the current deterministic publish compiler.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Deterministic identity, atomicity, idempotency, active-pointer safety, rollback, republish, and failure preservation.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A second editable state model or copied commerce snapshot.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P10A-08D-02 — Complete publication evidence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Prove manual and accepted-AI compile/publish, exact homepage/collection/PDP rendering, failure atomicity, draft/published isolation, restore, and republish with zero provider calls during publication.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P10A-08C-02B.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Browser/E2E and retained manual evidence correlated to compiled version, including no-partial-write and zero-provider publication.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P10B commercial visual acceptance.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P10A-09 — Closure record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Synchronize evidence, limitations, README, SDD, roadmap, and exports and formally close P10A.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All remaining P10A tasks or explicit product-owner disposition.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Traceable closure record.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Merchant-facing routing, clarification, or scope controls; those belong to P10C.</w:t>
      </w:r>
    </w:p>
    <w:p>
      <w:pPr>
        <w:pStyle w:val="Heading2"/>
        <w:keepNext/>
        <w:widowControl/>
      </w:pPr>
      <w:r>
        <w:rPr>
          <w:rFonts w:ascii="Calibri" w:hAnsi="Calibri" w:cs="Calibri"/>
        </w:rPr>
        <w:t>P10B — Commercial Storefront Design System v1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P10B-01 — Executable commercial vocabulary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Make typography, layout, surface, media, component, and responsive vocabulary enforceable through existing authority without arbitrary CSS or a second token store.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P10A closure and accepted P10B audit/specification.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Contract/schema and deterministic runtime-queryability.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A second vocabulary, registry, recipe, or token system.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P10B-02 — Semantic visual foundations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Make every storefront surface consume coherent typography, spacing, containers, surfaces, borders, radius, elevation, controls, and density.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P10B-01.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Schema/migration, renderer integration, responsive browser evidence.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Arbitrary CSS or direction-owned global tokens.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P10B-03 — Responsive image and art-direction authority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Give approved images bounded focal points, safe areas, crops, ratios, overlays, and responsive derivatives without replacing canonical product media.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P10B-01, P10B-02.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Provenance/role validation and responsive browser evidence.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Mutating Vesko media or unrestricted image generation.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P10B-04 — Premium shared frame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Make header, navigation, announcement, and footer systems commercially distinct and coherent across desktop/mobile and EN/FI.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P10B-02, P10B-03.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Full capability chain and human responsive review.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Merchant editor frame controls.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P10B-05 — Hero, editorial, campaign, and proof families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Provide meaningful registered first-impression, storytelling, promotion, and evidence-backed trust compositions without generic filler.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P10B-02, P10B-03.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Proposal-to-render reachability and retained visual review.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Invented claims, trust marks, certifications, or arbitrary sections.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P10B-06 — Canonical product-card and merchandising system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Establish one protected card authority with materially distinct editorial, dense, compact, and image-led merchandising across home, collection, and recommendations.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P10B-02, P10B-03.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Protected-commerce regression, capability chain, visual review.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Product, price, stock, variant, or availability ownership.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P10B-07 — Commercial collection profiles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Make editorial discovery, catalogue comparison, and campaign-led collection profiles differ materially in hierarchy, filters, child collections, density, and cards.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P10B-04 through P10B-06.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Exact materialization, proposal/compiler/snapshot/render preservation, human review.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A second collection template engine.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P10B-08 — Commercial PDP profiles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Make standard, high-consideration, gallery-led, and variant-led PDPs provide distinct purchase experiences while preserving generic options and commerce truth.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P10B-04 through P10B-06.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Simple watch, complex ring, incomplete/unavailable selection, selected variant price/availability/media, fallback, and visual review.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Product-type-specific forks or copied commerce facts.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P10B-09 — Coordinated storefront directions v2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Make Premium Editorial, Modern Technical, and Minimal Commerce complete coordinated cross-page packages rather than colour-only themes.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P10B-04 through P10B-08.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Exact materialized component/variant matches and complete-storefront differentiation.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A second token, recipe, PageBlueprint, or page authority.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P10B-10 — Narrative composition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Give pages coherent commercial narrative roles, visual weight, adjacency, and omission rules.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P10B-05 through P10B-09.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Governed proposal expression, compiler/snapshot preservation, human review.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Unverified merchant claims or free-form generated pages.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P10B-11 — Responsive commercial closure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Preserve deliberate hierarchy and usability for every direction at 375, 768, 1024, and 1440 px.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P10B-02 through P10B-10.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Complete browser matrix, accessibility checks, retained screenshots.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Desktop-only approval or isolated component snapshots.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P10B-12 — Commercial visual-quality gate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Establish that a serious retailer can publish the generated complete storefront without a designer rebuilding it.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All prior P10B tasks.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Correlated home, collection, simple PDP, configurable PDP, all directions, EN/FI, all target widths, credible assets, and explicit retained human acceptance with no generic starter-theme appearance.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Closure through schemas, test counts, placeholders, or automated screenshots alone.</w:t>
      </w:r>
    </w:p>
    <w:p>
      <w:pPr>
        <w:pStyle w:val="Heading2"/>
        <w:keepNext/>
        <w:widowControl/>
      </w:pPr>
      <w:r>
        <w:rPr>
          <w:rFonts w:ascii="Calibri" w:hAnsi="Calibri" w:cs="Calibri"/>
        </w:rPr>
        <w:t>P10C — Storefront Studio Editing Experience v1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P10C-01 — Brand asset library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Let merchants view and choose approved presentation assets in Storefront Studio.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 asset authority.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Contract, integration, browser/E2E.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Product-media replacement or generic DAM scope.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P10C-02 — Asset roles and provenance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Show and preserve role, source, approval, revision, and assignment authority.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P10C-01.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Valid assignment and stale/unknown/role-mismatch rejection.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Untyped uploads or hidden provenance.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P10C-03 — Canonical Puck boundary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Project registered canonical content into Puck and validate edits back into the same </w:t>
      </w:r>
      <w:r>
        <w:rPr>
          <w:rFonts w:ascii="Consolas" w:hAnsi="Consolas" w:cs="Consolas"/>
          <w:sz w:val="19"/>
          <w:szCs w:val="19"/>
        </w:rPr>
        <w:t>StorefrontSnapshot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 component/profile authority.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Adapter conformance and save/reload preservation.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Raw Puck persistence or a second page tree.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P10C-04 — Stable frame identity and selection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Select and edit one shared frame consistently from every page context.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P10C-03.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Stable identity, scope, history, and browser behavior.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Duplicating frame state per page.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P10C-05 — Approved manual frame operations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Support bounded manual shared-frame add, remove, reorder, field, asset, and presentation operations.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P10C-02 through P10C-04.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Positive and fail-closed integration, undo/redo, browser/E2E.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Arbitrary code/CSS/components or commerce mutation.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P10C-06 — Scoped AI editing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Connect merchant routing, clarification, frame/page scope, and proposal review to the existing P10A governed authorities.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P10C-03 through P10C-05 and P10A internal router/packages.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Selected-section, frame, page, storefront, ambiguity, stale, and failure browser flows.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Rebuilding the router, packages, proposals, or provider boundary.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P10C-07 — Unified AI/manual history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Put manual and accepted AI operations into one atomic canonical undo/redo history.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P10C-05, P10C-06.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Mixed edits, undo/redo, save/reload, stale protection.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A Puck-only or AI-only history.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P10C-08 — Brand and asset editor with Studio shell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Deliver the merchant shell subset required to operate assets, canvas, review, save, preview, and publish.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P10C-01 through P10C-07.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Default/loading/empty/error/stale/success/unsaved states, accessibility, responsive browser/E2E.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Full CMS or exposure of implementation internals.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P10C-09 — Studio commercial QA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Complete select frame → manual edit → bounded AI edit elsewhere → add/remove/reorder → undo/redo → save → preview → publish.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P10C-08 and P10B-12.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Complete browser/E2E chain and retained human commercial review.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Reopening P10B design-system scope.</w:t>
      </w:r>
    </w:p>
    <w:p>
      <w:pPr>
        <w:pStyle w:val="Heading2"/>
        <w:keepNext/>
        <w:widowControl/>
      </w:pPr>
      <w:r>
        <w:rPr>
          <w:rFonts w:ascii="Calibri" w:hAnsi="Calibri" w:cs="Calibri"/>
        </w:rPr>
        <w:t>P10D — Advanced media and registered interactive presentation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P10D — Governed advanced media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Add justified generated imagery, registered video, and registered GLTF/GLB/Three.js presentation with accessible, performant static fallbacks.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Relevant P10B component and asset authority.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Provenance, contract, browser/E2E, accessibility, performance, fallback review.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AI-generated implementation code or a dependency for the first commercial store, minimum editor, or Vesko pilot.</w:t>
      </w:r>
    </w:p>
    <w:p>
      <w:pPr>
        <w:pStyle w:val="Heading2"/>
        <w:keepNext/>
        <w:widowControl/>
      </w:pPr>
      <w:r>
        <w:rPr>
          <w:rFonts w:ascii="Calibri" w:hAnsi="Calibri" w:cs="Calibri"/>
        </w:rPr>
        <w:t>P11 — Vesko Integration Readiness and Reference Adapter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P11-00 — Vesko OpenAPI audit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Establish the real endpoint inventory, usable surfaces, incompatibilities, missing authority, and integration decisions.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Baseline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Obtained Vesko OpenAPI 3.0 contract.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obtained contract audit and integration matrix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color w:val="2E74B5"/>
          <w:u w:val="single"/>
        </w:rPr>
        <w:t>VESKO_OPENAPI_CONTRACT_AUDIT.md</w:t>
      </w:r>
      <w:r>
        <w:rPr>
          <w:rFonts w:ascii="Calibri" w:hAnsi="Calibri" w:cs="Calibri"/>
        </w:rPr>
        <w:t xml:space="preserve"> and </w:t>
      </w:r>
      <w:r>
        <w:rPr>
          <w:rFonts w:ascii="Calibri" w:hAnsi="Calibri" w:cs="Calibri"/>
          <w:color w:val="2E74B5"/>
          <w:u w:val="single"/>
        </w:rPr>
        <w:t>VESKO_VESKIFY_INTEGRATION_MATRIX.md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Claiming that the contract is sufficient or that an adapter is implemented.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P11-01 — Backend contract closure and ownership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Agree security, tenant context, typed responses, revisions, errors, navigation, missing Veskify APIs, and ownership with Vesko backend owners.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Vesko platform decisions.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Approved contracts and ownership matrix.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Coding against inferred bodies or changing Veskify canonical models to raw API shapes.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P11-02 — Identity and store-context adapter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Resolve trusted tenant, store, user, permission, locale, subdomain, and custom-domain context.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P11-01.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Adapter conformance, authorization/tenant isolation, Vesko staging.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Browser-submitted or global implicit store authority.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P11-03 — Catalogue and navigation projection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Map products, brands, categories/collections, product groups, merchandising order, and routes into one versioned read-only projection.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P11-01, P11-02.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Typed adapter conformance and staging reads.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Veskify catalogue/navigation writes.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P11-04 — Variant, option, price, availability and media conformance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Prove variants, options, price, availability, and media for simple and configurable products without apparel-specific frontend assumptions.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P11-03.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Simple watch, complex ring, missing/unknown states, and Vesko staging.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Duplicating commerce resolution or mutating commerce facts.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P11-05 — Approved presentation-asset service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Give approved logo, campaign, and editorial assets typed identity, role, revision, approval, derivatives, and retention separate from canonical product media.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P11-01, P11-02, and Vesko media ownership decision.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Typed lifecycle, permissions, provenance, and staging.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Overwriting product media or storing unapproved assets as canonical.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P11-06 — Storefront draft and history persistence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Persist authenticated tenant-scoped revisioned </w:t>
      </w:r>
      <w:r>
        <w:rPr>
          <w:rFonts w:ascii="Consolas" w:hAnsi="Consolas" w:cs="Consolas"/>
          <w:sz w:val="19"/>
          <w:szCs w:val="19"/>
        </w:rPr>
        <w:t>StorefrontSnapshot</w:t>
      </w:r>
      <w:r>
        <w:rPr>
          <w:rFonts w:ascii="Calibri" w:hAnsi="Calibri" w:cs="Calibri"/>
        </w:rPr>
        <w:t xml:space="preserve"> drafts, immutable history, and restore-to-draft.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P11-01, P11-02, and persistence/revision contract.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Adapter conformance, conflict behavior, save/reload/restore in staging.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Raw </w:t>
      </w:r>
      <w:r>
        <w:rPr>
          <w:rFonts w:ascii="Consolas" w:hAnsi="Consolas" w:cs="Consolas"/>
          <w:sz w:val="19"/>
          <w:szCs w:val="19"/>
        </w:rPr>
        <w:t>/puck</w:t>
      </w:r>
      <w:r>
        <w:rPr>
          <w:rFonts w:ascii="Calibri" w:hAnsi="Calibri" w:cs="Calibri"/>
        </w:rPr>
        <w:t xml:space="preserve"> persistence.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P11-07 — Accepted receipt and publication adapter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Persist accepted authority, compiled artifacts, publication history, and active version through an authenticated idempotent transaction.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P10A closure, P11-01, P11-02, P11-06.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Receipt/gateway/compiler/artifact conformance and staging publication.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Browser publication, manual/AI authority collapse, or commerce writes.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P11-08 — Synchronization, revisions, errors and caching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Expose commerce/media revision and synchronization authority, typed stale/conflict errors, retry policy, and bounded caching.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P11-03 through P11-07.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Conflict, retry, cache, and recovery integration in staging.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Silent last-write-wins or unbounded retry.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P11-09 — Vesko staging conformance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Complete Vesko identity/catalogue → Veskify projection → generate → edit → save → publish → render → change Vesko commerce → refresh without presentation corruption.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P11-02 through P11-08 and the minimum P10C editor.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Correlated browser/E2E and Vesko staging record.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Production readiness claim.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P11-10 — Pilot readiness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Prove one real pilot has onboarding, diagnostics, audit records, observability, recovery guidance, and documented limitations.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P11-09.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Signed pilot-readiness and operational handoff record.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Automatic production rollout.</w:t>
      </w:r>
    </w:p>
    <w:p>
      <w:pPr>
        <w:pStyle w:val="Heading2"/>
        <w:keepNext/>
        <w:widowControl/>
      </w:pPr>
      <w:r>
        <w:rPr>
          <w:rFonts w:ascii="Calibri" w:hAnsi="Calibri" w:cs="Calibri"/>
        </w:rPr>
        <w:t>P12 — Production hardening and pilot operations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P12 — Production and pilot closure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Establish authentication, tenant isolation, security, observability, performance, backup/recovery, deployment, incidents, and controlled pilot operations.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P11-10.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Security/load/recovery exercises, production telemetry, and controlled pilot evidence.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New design, editor, advanced-media, or commerce scope.</w:t>
      </w:r>
    </w:p>
    <w:sectPr>
      <w:footerReference w:type="default" r:id="rId4"/>
      <w:pgSz w:w="15840" w:h="12240" w:orient="landscape"/>
      <w:pgMar w:top="1440" w:right="1440" w:bottom="1440" w:left="1440" w:header="708" w:footer="708" w:gutter="0"/>
    </w:sectPr>
  </w:body>
</w:document>
</file>

<file path=word/footer1.xml><?xml version="1.0" encoding="utf-8"?>
<w:ftr xmlns:w="http://schemas.openxmlformats.org/wordprocessingml/2006/main">
  <w:p>
    <w:pPr>
      <w:pStyle w:val="Footer"/>
      <w:pBdr>
        <w:top w:val="single" w:sz="4" w:space="6" w:color="D8E0E8"/>
      </w:pBdr>
      <w:tabs>
        <w:tab w:val="right" w:pos="12960"/>
      </w:tabs>
    </w:pPr>
    <w:r>
      <w:rPr>
        <w:rFonts w:ascii="Calibri" w:hAnsi="Calibri" w:cs="Calibri"/>
      </w:rPr>
      <w:t>Veskify Delivery Tracker v1.3.0</w:t>
    </w:r>
    <w:r>
      <w:rPr>
        <w:rFonts w:ascii="Calibri" w:hAnsi="Calibri" w:cs="Calibri"/>
      </w:rPr>
      <w:t xml:space="preserve">	Page </w:t>
    </w:r>
    <w:fldSimple w:instr=" PAGE ">
      <w:r>
        <w:t>1</w:t>
      </w:r>
    </w:fldSimple>
    <w:r>
      <w:rPr>
        <w:rFonts w:ascii="Calibri" w:hAnsi="Calibri" w:cs="Calibri"/>
      </w:rPr>
      <w:t xml:space="preserve"> of </w:t>
    </w:r>
    <w:fldSimple w:instr=" NUMPAGES ">
      <w:r>
        <w:t>1</w:t>
      </w:r>
    </w:fldSimple>
  </w:p>
</w:ftr>
</file>

<file path=word/numbering.xml><?xml version="1.0" encoding="utf-8"?>
<w:numbering xmlns:w="http://schemas.openxmlformats.org/wordprocessingml/2006/main">
  <w:abstractNum w:abstractNumId="1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/>
      </w:rPr>
    </w:lvl>
  </w:abstractNum>
  <w:abstractNum w:abstractNumId="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6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7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8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6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7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8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2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2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2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2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2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2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26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27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28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2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6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7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8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6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7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8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6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7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8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6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6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6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6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6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</w:numbering>
</file>

<file path=word/settings.xml><?xml version="1.0" encoding="utf-8"?>
<w:settings xmlns:w="http://schemas.openxmlformats.org/wordprocessingml/2006/main"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color w:val="17212B"/>
      </w:rPr>
    </w:rPrDefault>
    <w:pPrDefault>
      <w:pPr>
        <w:spacing w:after="120" w:line="300" w:lineRule="auto"/>
        <w:widowControl/>
      </w:pPr>
    </w:pPrDefault>
  </w:docDefaults>
  <w:style w:type="paragraph" w:default="1" w:styleId="Normal">
    <w:name w:val="Normal"/>
    <w:qFormat/>
    <w:pPr>
      <w:spacing w:before="0" w:after="120" w:line="300" w:lineRule="auto"/>
      <w:widowControl/>
    </w:pPr>
    <w:rPr>
      <w:rFonts w:ascii="Calibri" w:hAnsi="Calibri" w:cs="Calibri"/>
      <w:sz w:val="22"/>
      <w:szCs w:val="22"/>
      <w:color w:val="17212B"/>
    </w:rPr>
  </w:style>
  <w:style w:type="paragraph" w:styleId="Title">
    <w:name w:val="Title"/>
    <w:basedOn w:val="Normal"/>
    <w:next w:val="Normal"/>
    <w:qFormat/>
    <w:pPr>
      <w:spacing w:before="2200" w:after="180"/>
      <w:jc w:val="center"/>
      <w:keepNext/>
    </w:pPr>
    <w:rPr>
      <w:rFonts w:ascii="Calibri" w:hAnsi="Calibri"/>
      <w:b/>
      <w:color w:val="17365D"/>
      <w:sz w:val="58"/>
      <w:szCs w:val="58"/>
    </w:rPr>
  </w:style>
  <w:style w:type="paragraph" w:styleId="Subtitle">
    <w:name w:val="Subtitle"/>
    <w:basedOn w:val="Normal"/>
    <w:next w:val="Normal"/>
    <w:pPr>
      <w:spacing w:after="120"/>
      <w:jc w:val="center"/>
    </w:pPr>
    <w:rPr>
      <w:rFonts w:ascii="Calibri" w:hAnsi="Calibri"/>
      <w:color w:val="4B6075"/>
      <w:sz w:val="28"/>
      <w:szCs w:val="28"/>
    </w:rPr>
  </w:style>
  <w:style w:type="paragraph" w:styleId="CoverMeta">
    <w:name w:val="Cover Metadata"/>
    <w:basedOn w:val="Normal"/>
    <w:next w:val="Normal"/>
    <w:pPr>
      <w:spacing w:before="40" w:after="40"/>
      <w:jc w:val="center"/>
    </w:pPr>
    <w:rPr>
      <w:rFonts w:ascii="Calibri" w:hAnsi="Calibri"/>
      <w:color w:val="607080"/>
      <w:sz w:val="20"/>
      <w:szCs w:val="20"/>
    </w:rPr>
  </w:style>
  <w:style w:type="paragraph" w:styleId="Heading1">
    <w:name w:val="heading 1"/>
    <w:basedOn w:val="Normal"/>
    <w:next w:val="Normal"/>
    <w:qFormat/>
    <w:uiPriority w:val="9"/>
    <w:pPr>
      <w:spacing w:before="360" w:after="200"/>
      <w:keepNext/>
      <w:keepLines/>
      <w:outlineLvl w:val="0"/>
    </w:pPr>
    <w:rPr>
      <w:rFonts w:ascii="Calibri" w:hAnsi="Calibri"/>
      <w:b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uiPriority w:val="9"/>
    <w:pPr>
      <w:spacing w:before="280" w:after="140"/>
      <w:keepNext/>
      <w:keepLines/>
      <w:outlineLvl w:val="1"/>
    </w:pPr>
    <w:rPr>
      <w:rFonts w:ascii="Calibri" w:hAnsi="Calibri"/>
      <w:b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uiPriority w:val="9"/>
    <w:pPr>
      <w:spacing w:before="200" w:after="100"/>
      <w:keepNext/>
      <w:keepLines/>
      <w:outlineLvl w:val="2"/>
    </w:pPr>
    <w:rPr>
      <w:rFonts w:ascii="Calibri" w:hAnsi="Calibri"/>
      <w:b/>
      <w:color w:val="1F4D78"/>
      <w:sz w:val="24"/>
      <w:szCs w:val="24"/>
    </w:rPr>
  </w:style>
  <w:style w:type="paragraph" w:styleId="Quote">
    <w:name w:val="Quote"/>
    <w:basedOn w:val="Normal"/>
    <w:next w:val="Normal"/>
    <w:pPr>
      <w:spacing w:before="120" w:after="160" w:line="300" w:lineRule="auto"/>
    </w:pPr>
    <w:rPr>
      <w:i/>
      <w:color w:val="274760"/>
    </w:rPr>
  </w:style>
  <w:style w:type="paragraph" w:styleId="CodeBlock">
    <w:name w:val="Code Block"/>
    <w:basedOn w:val="Normal"/>
    <w:next w:val="CodeBlock"/>
    <w:pPr>
      <w:spacing w:before="0" w:after="0" w:line="240" w:lineRule="auto"/>
      <w:keepLines/>
    </w:pPr>
    <w:rPr>
      <w:rFonts w:ascii="Consolas" w:hAnsi="Consolas"/>
      <w:sz w:val="19"/>
      <w:szCs w:val="19"/>
      <w:color w:val="24384B"/>
    </w:rPr>
  </w:style>
  <w:style w:type="paragraph" w:styleId="TableText">
    <w:name w:val="Table Text"/>
    <w:basedOn w:val="Normal"/>
    <w:pPr>
      <w:spacing w:before="0" w:after="0" w:line="240" w:lineRule="auto"/>
    </w:pPr>
    <w:rPr>
      <w:sz w:val="18"/>
      <w:szCs w:val="18"/>
    </w:rPr>
  </w:style>
  <w:style w:type="paragraph" w:styleId="CompactTableText">
    <w:name w:val="Compact Table Text"/>
    <w:basedOn w:val="TableText"/>
    <w:pPr>
      <w:spacing w:before="0" w:after="0" w:line="210" w:lineRule="auto"/>
    </w:pPr>
    <w:rPr>
      <w:sz w:val="15"/>
      <w:szCs w:val="15"/>
    </w:rPr>
  </w:style>
  <w:style w:type="paragraph" w:styleId="TableHeader">
    <w:name w:val="Table Header"/>
    <w:basedOn w:val="TableText"/>
    <w:pPr>
      <w:spacing w:before="0" w:after="0" w:line="220" w:lineRule="auto"/>
      <w:keepLines/>
    </w:pPr>
    <w:rPr>
      <w:b/>
      <w:color w:val="17365D"/>
      <w:sz w:val="17"/>
      <w:szCs w:val="17"/>
    </w:rPr>
  </w:style>
  <w:style w:type="paragraph" w:styleId="Footer">
    <w:name w:val="Footer"/>
    <w:basedOn w:val="Normal"/>
    <w:pPr>
      <w:spacing w:before="0" w:after="0"/>
      <w:jc w:val="right"/>
    </w:pPr>
    <w:rPr>
      <w:color w:val="6B7785"/>
      <w:sz w:val="18"/>
      <w:szCs w:val="18"/>
    </w:rPr>
  </w:style>
  <w:style w:type="character" w:styleId="Hyperlink">
    <w:name w:val="Hyperlink"/>
    <w:uiPriority w:val="99"/>
    <w:unhideWhenUsed/>
    <w:rPr>
      <w:color w:val="2E74B5"/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Veskify deterministic documentation exporter</Application>
  <AppVersion>1.0.0</AppVersion>
  <Company>Vesko Oy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Veskify Development Delivery Tracker</dc:title>
  <dc:subject>Version 1.3.0</dc:subject>
  <dc:creator>Vesko Oy</dc:creator>
  <dc:description>Synchronized deterministic export of docs/VESKIFY_DEVELOPMENT_DELIVERY_TRACKER.md</dc:description>
  <cp:revision>1</cp:revision>
  <dcterms:created xsi:type="dcterms:W3CDTF">2026-08-06T00:00:00Z</dcterms:created>
  <dcterms:modified xsi:type="dcterms:W3CDTF">2026-08-07T00:00:00Z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ourcePath">
    <vt:lpwstr>docs/VESKIFY_DEVELOPMENT_DELIVERY_TRACKER.md</vt:lpwstr>
  </property>
  <property fmtid="{D5CDD505-2E9C-101B-9397-08002B2CF9AE}" pid="3" name="SourceSha256">
    <vt:lpwstr>14db6d0c2f17ff8565b3f651a35a92d67e8be14a6cfc14ed3d5b2b1370d99d54</vt:lpwstr>
  </property>
  <property fmtid="{D5CDD505-2E9C-101B-9397-08002B2CF9AE}" pid="4" name="ExporterVersion">
    <vt:lpwstr>1.0.0</vt:lpwstr>
  </property>
  <property fmtid="{D5CDD505-2E9C-101B-9397-08002B2CF9AE}" pid="5" name="DesignPreset">
    <vt:lpwstr>compact_reference_guide_landscape_checklist_override</vt:lpwstr>
  </property>
</Properties>
</file>