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8 August 2026</w:t>
      </w:r>
    </w:p>
    <w:p>
      <w:pPr>
        <w:pStyle w:val="CoverMeta"/>
        <w:jc w:val="center"/>
        <w:widowControl/>
      </w:pPr>
      <w:r>
        <w:rPr>
          <w:rFonts w:ascii="Calibri" w:hAnsi="Calibri" w:cs="Calibri"/>
        </w:rPr>
        <w:t>Current main after merged PR #173</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 xml:space="preserve">8 August 2026, current </w:t>
            </w:r>
            <w:r>
              <w:rPr>
                <w:rFonts w:ascii="Consolas" w:hAnsi="Consolas" w:cs="Consolas"/>
                <w:sz w:val="19"/>
                <w:szCs w:val="19"/>
              </w:rPr>
              <w:t>main</w:t>
            </w:r>
            <w:r>
              <w:rPr>
                <w:rFonts w:ascii="Calibri" w:hAnsi="Calibri" w:cs="Calibri"/>
              </w:rPr>
              <w:t xml:space="preserve"> after PR #173</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and P10B-03 component anatomy are Baseline; P10B-02 and P10B-04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and P10B-03 anatomy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P10B-03 is also Baseline; its executable contract and evidence are recorded in </w:t>
      </w:r>
      <w:hyperlink r:id="rIdHyperlink8" w:history="1">
        <w:r>
          <w:rPr>
            <w:rFonts w:ascii="Calibri" w:hAnsi="Calibri" w:cs="Calibri"/>
            <w:color w:val="2E74B5"/>
            <w:u w:val="single"/>
          </w:rPr>
          <w:t>P10B_03_COMPONENT_ANATOMY_AND_MEANINGFUL_VARIANTS.md</w:t>
        </w:r>
      </w:hyperlink>
      <w:r>
        <w:rPr>
          <w:rFonts w:ascii="Calibri" w:hAnsi="Calibri" w:cs="Calibri"/>
        </w:rPr>
        <w:t>. P10B-02 and P10B-05 remain the Planned parallel foundations under disjoint authority ownership.</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10.3.1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 xml:space="preserve">All 25 current V2 component definitions and all 91 registered variants have explicit executable metadata. They are conservatively classified </w:t>
      </w:r>
      <w:r>
        <w:rPr>
          <w:rFonts w:ascii="Consolas" w:hAnsi="Consolas" w:cs="Consolas"/>
          <w:sz w:val="19"/>
          <w:szCs w:val="19"/>
        </w:rPr>
        <w:t>notYetP10BCommercialReady</w:t>
      </w:r>
      <w:r>
        <w:rPr>
          <w:rFonts w:ascii="Calibri" w:hAnsi="Calibri" w:cs="Calibri"/>
        </w:rPr>
        <w:t>; no existing variant was promoted from its name, CSS, or finishing difference. A meaningful claim must declare and realize a material difference in hierarchy, region arrangement/presence, asset placement, content/CTA relationship, merchandising emphasis, navigation model, responsive transformation, or presentation mode.</w:t>
      </w:r>
    </w:p>
    <w:p>
      <w:pPr>
        <w:pStyle w:val="Normal"/>
        <w:widowControl/>
      </w:pPr>
      <w:r>
        <w:rPr>
          <w:rFonts w:ascii="Calibri" w:hAnsi="Calibri" w:cs="Calibri"/>
        </w:rPr>
        <w:t xml:space="preserve">The contract is Baseline under </w:t>
      </w:r>
      <w:hyperlink r:id="rIdHyperlink8" w:history="1">
        <w:r>
          <w:rPr>
            <w:rFonts w:ascii="Calibri" w:hAnsi="Calibri" w:cs="Calibri"/>
            <w:color w:val="2E74B5"/>
            <w:u w:val="single"/>
          </w:rPr>
          <w:t>P10B_03_COMPONENT_ANATOMY_AND_MEANINGFUL_VARIANTS.md</w:t>
        </w:r>
      </w:hyperlink>
      <w:r>
        <w:rPr>
          <w:rFonts w:ascii="Calibri" w:hAnsi="Calibri" w:cs="Calibri"/>
        </w:rPr>
        <w:t>. It does not deliver the later shared-frame, hero, product-card, homepage, collection, or PDP renderer/profile minimums and does not create another component, compatibility, BrandSystem, or PageBlueprint authority.</w:t>
      </w:r>
    </w:p>
    <w:p>
      <w:pPr>
        <w:pStyle w:val="Heading2"/>
        <w:keepNext/>
        <w:widowControl/>
      </w:pPr>
      <w:r>
        <w:rPr>
          <w:rFonts w:ascii="Calibri" w:hAnsi="Calibri" w:cs="Calibri"/>
        </w:rPr>
        <w:t>10.4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10.5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9" w:history="1">
        <w:r>
          <w:rPr>
            <w:rFonts w:ascii="Calibri" w:hAnsi="Calibri" w:cs="Calibri"/>
            <w:color w:val="2E74B5"/>
            <w:u w:val="single"/>
          </w:rPr>
          <w:t>VESKO_OPENAPI_CONTRACT_AUDIT.md</w:t>
        </w:r>
      </w:hyperlink>
      <w:r>
        <w:rPr>
          <w:rFonts w:ascii="Calibri" w:hAnsi="Calibri" w:cs="Calibri"/>
        </w:rPr>
        <w:t xml:space="preserve"> and </w:t>
      </w:r>
      <w:hyperlink r:id="rIdHyperlink10"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is Baseline;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1"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VESKO_OPENAPI_CONTRACT_AUDIT.md" TargetMode="External"/><Relationship Id="rIdHyperlink10" Type="http://schemas.openxmlformats.org/officeDocument/2006/relationships/hyperlink" Target="VESKO_VESKIFY_INTEGRATION_MATRIX.md" TargetMode="External"/><Relationship Id="rIdHyperlink11"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c38c10ffe1a61245b7f85e3a409cf60318d748580b6e83496ee07a3d4707fe5b</vt:lpwstr>
  </property>
  <property fmtid="{D5CDD505-2E9C-101B-9397-08002B2CF9AE}" pid="4" name="ExporterVersion">
    <vt:lpwstr>1.1.0</vt:lpwstr>
  </property>
  <property fmtid="{D5CDD505-2E9C-101B-9397-08002B2CF9AE}" pid="5" name="DesignPreset">
    <vt:lpwstr>compact_reference_guide</vt:lpwstr>
  </property>
</Properties>
</file>