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Effective upon explicit AR-02F acceptance/merge: AR-02A, AR-02B, AR-02C, AR-02D, AR-02E, AR-02F, and AR-03A Baseline / closed; AR-02 and AR-03 Partial; AR-23 eligible / unstarted; BATCH-03 has no successor child</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Candidate status effective upon explicit owner acceptance/merge of AR-02F:</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AR-02A is </w:t>
      </w:r>
      <w:r>
        <w:rPr>
          <w:rFonts w:ascii="Calibri" w:hAnsi="Calibri" w:cs="Calibri"/>
          <w:b/>
          <w:bCs/>
        </w:rPr>
        <w:t>Baseline / closed.</w:t>
      </w:r>
      <w:r>
        <w:rPr>
          <w:rFonts w:ascii="Calibri" w:hAnsi="Calibri" w:cs="Calibri"/>
        </w:rPr>
        <w:t xml:space="preserve"> AR-02B is </w:t>
      </w:r>
      <w:r>
        <w:rPr>
          <w:rFonts w:ascii="Calibri" w:hAnsi="Calibri" w:cs="Calibri"/>
          <w:b/>
          <w:bCs/>
        </w:rPr>
        <w:t>Baseline / closed.</w:t>
      </w:r>
      <w:r>
        <w:rPr>
          <w:rFonts w:ascii="Calibri" w:hAnsi="Calibri" w:cs="Calibri"/>
        </w:rPr>
        <w:t xml:space="preserve"> AR-02C is </w:t>
      </w:r>
      <w:r>
        <w:rPr>
          <w:rFonts w:ascii="Calibri" w:hAnsi="Calibri" w:cs="Calibri"/>
          <w:b/>
          <w:bCs/>
        </w:rPr>
        <w:t>Baseline / closed.</w:t>
      </w:r>
      <w:r>
        <w:rPr>
          <w:rFonts w:ascii="Calibri" w:hAnsi="Calibri" w:cs="Calibri"/>
        </w:rPr>
        <w:t xml:space="preserve"> AR-02D is </w:t>
      </w:r>
      <w:r>
        <w:rPr>
          <w:rFonts w:ascii="Calibri" w:hAnsi="Calibri" w:cs="Calibri"/>
          <w:b/>
          <w:bCs/>
        </w:rPr>
        <w:t>Baseline / closed.</w:t>
      </w:r>
      <w:r>
        <w:rPr>
          <w:rFonts w:ascii="Calibri" w:hAnsi="Calibri" w:cs="Calibri"/>
        </w:rPr>
        <w:t xml:space="preserve"> AR-02E is </w:t>
      </w:r>
      <w:r>
        <w:rPr>
          <w:rFonts w:ascii="Calibri" w:hAnsi="Calibri" w:cs="Calibri"/>
          <w:b/>
          <w:bCs/>
        </w:rPr>
        <w:t>Baseline / closed.</w:t>
      </w:r>
      <w:r>
        <w:rPr>
          <w:rFonts w:ascii="Calibri" w:hAnsi="Calibri" w:cs="Calibri"/>
        </w:rPr>
        <w:t xml:space="preserve"> AR-02F is </w:t>
      </w:r>
      <w:r>
        <w:rPr>
          <w:rFonts w:ascii="Calibri" w:hAnsi="Calibri" w:cs="Calibri"/>
          <w:b/>
          <w:bCs/>
        </w:rPr>
        <w:t>Baseline / closed upon explicit owner acceptance/merge.</w:t>
      </w:r>
      <w:r>
        <w:rPr>
          <w:rFonts w:ascii="Calibri" w:hAnsi="Calibri" w:cs="Calibri"/>
        </w:rPr>
        <w:t xml:space="preserve"> AR-02 is </w:t>
      </w:r>
      <w:r>
        <w:rPr>
          <w:rFonts w:ascii="Calibri" w:hAnsi="Calibri" w:cs="Calibri"/>
          <w:b/>
          <w:bCs/>
        </w:rPr>
        <w:t>Partial</w:t>
      </w:r>
      <w:r>
        <w:rPr>
          <w:rFonts w:ascii="Calibri" w:hAnsi="Calibri" w:cs="Calibri"/>
        </w:rPr>
        <w:t xml:space="preserve">; remaining consumer/materializer isolation remains. AR-03 is </w:t>
      </w:r>
      <w:r>
        <w:rPr>
          <w:rFonts w:ascii="Calibri" w:hAnsi="Calibri" w:cs="Calibri"/>
          <w:b/>
          <w:bCs/>
        </w:rPr>
        <w:t>Partial</w:t>
      </w:r>
      <w:r>
        <w:rPr>
          <w:rFonts w:ascii="Calibri" w:hAnsi="Calibri" w:cs="Calibri"/>
        </w:rPr>
        <w:t xml:space="preserve">; route resolution, editor, migration, and expand/fold isolation remain. AR-03A is </w:t>
      </w:r>
      <w:r>
        <w:rPr>
          <w:rFonts w:ascii="Calibri" w:hAnsi="Calibri" w:cs="Calibri"/>
          <w:b/>
          <w:bCs/>
        </w:rPr>
        <w:t>Baseline / closed.</w:t>
      </w:r>
      <w:r>
        <w:rPr>
          <w:rFonts w:ascii="Calibri" w:hAnsi="Calibri" w:cs="Calibri"/>
        </w:rPr>
        <w:t xml:space="preserve"> AR-23 is </w:t>
      </w:r>
      <w:r>
        <w:rPr>
          <w:rFonts w:ascii="Calibri" w:hAnsi="Calibri" w:cs="Calibri"/>
          <w:b/>
          <w:bCs/>
        </w:rPr>
        <w:t>Planned / unstarted</w:t>
      </w:r>
      <w:r>
        <w:rPr>
          <w:rFonts w:ascii="Calibri" w:hAnsi="Calibri" w:cs="Calibri"/>
        </w:rPr>
        <w:t xml:space="preserve">. AR-23 depends on AR-01 and is not serialized behind visual work. BATCH-03 has no successor child.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Child</w:t>
            </w:r>
          </w:p>
        </w:tc>
        <w:tc>
          <w:tcPr>
            <w:tcW w:w="1500" w:type="dxa"/>
            <w:vAlign w:val="center"/>
            <w:shd w:val="clear" w:fill="E8EEF5"/>
          </w:tcPr>
          <w:p>
            <w:pPr>
              <w:pStyle w:val="TableHeader"/>
              <w:jc w:val="center"/>
              <w:widowControl/>
            </w:pPr>
            <w:r>
              <w:rPr>
                <w:rFonts w:ascii="Calibri" w:hAnsi="Calibri" w:cs="Calibri"/>
              </w:rPr>
              <w:t>Parent</w:t>
            </w:r>
          </w:p>
        </w:tc>
        <w:tc>
          <w:tcPr>
            <w:tcW w:w="2000" w:type="dxa"/>
            <w:vAlign w:val="center"/>
            <w:shd w:val="clear" w:fill="E8EEF5"/>
          </w:tcPr>
          <w:p>
            <w:pPr>
              <w:pStyle w:val="TableHeader"/>
              <w:jc w:val="center"/>
              <w:widowControl/>
            </w:pPr>
            <w:r>
              <w:rPr>
                <w:rFonts w:ascii="Calibri" w:hAnsi="Calibri" w:cs="Calibri"/>
              </w:rPr>
              <w:t>Bounded outcome and evidence</w:t>
            </w:r>
          </w:p>
        </w:tc>
        <w:tc>
          <w:tcPr>
            <w:tcW w:w="8460" w:type="dxa"/>
            <w:vAlign w:val="center"/>
            <w:shd w:val="clear" w:fill="E8EEF5"/>
          </w:tcPr>
          <w:p>
            <w:pPr>
              <w:pStyle w:val="TableHeader"/>
              <w:jc w:val="center"/>
              <w:widowControl/>
            </w:pPr>
            <w:r>
              <w:rPr>
                <w:rFonts w:ascii="Calibri" w:hAnsi="Calibri" w:cs="Calibri"/>
              </w:rPr>
              <w:t>Status effective on AR-02F acceptance/merge</w:t>
            </w:r>
          </w:p>
        </w:tc>
      </w:tr>
      <w:tr>
        <w:trPr>
          <w:cantSplit/>
        </w:trPr>
        <w:tc>
          <w:tcPr>
            <w:tcW w:w="1000" w:type="dxa"/>
            <w:vAlign w:val="center"/>
          </w:tcPr>
          <w:p>
            <w:pPr>
              <w:pStyle w:val="TableText"/>
              <w:widowControl/>
            </w:pPr>
            <w:r>
              <w:rPr>
                <w:rFonts w:ascii="Calibri" w:hAnsi="Calibri" w:cs="Calibri"/>
              </w:rPr>
              <w:t>AR-02A</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Separate live renderer observation and composition; </w:t>
            </w:r>
            <w:hyperlink r:id="rIdHyperlink3" w:history="1">
              <w:r>
                <w:rPr>
                  <w:rFonts w:ascii="Calibri" w:hAnsi="Calibri" w:cs="Calibri"/>
                  <w:color w:val="2E74B5"/>
                  <w:u w:val="single"/>
                </w:rPr>
                <w:t>contract</w:t>
              </w:r>
            </w:hyperlink>
            <w:r>
              <w:rPr>
                <w:rFonts w:ascii="Calibri" w:hAnsi="Calibri" w:cs="Calibri"/>
              </w:rPr>
              <w:t xml:space="preserve">, </w:t>
            </w:r>
            <w:hyperlink r:id="rIdHyperlink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AR-02B</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renderer-free deterministic conformance evaluation; </w:t>
            </w:r>
            <w:hyperlink r:id="rIdHyperlink5" w:history="1">
              <w:r>
                <w:rPr>
                  <w:rFonts w:ascii="Calibri" w:hAnsi="Calibri" w:cs="Calibri"/>
                  <w:color w:val="2E74B5"/>
                  <w:u w:val="single"/>
                </w:rPr>
                <w:t>contract</w:t>
              </w:r>
            </w:hyperlink>
            <w:r>
              <w:rPr>
                <w:rFonts w:ascii="Calibri" w:hAnsi="Calibri" w:cs="Calibri"/>
              </w:rPr>
              <w:t xml:space="preserve">, </w:t>
            </w:r>
            <w:hyperlink r:id="rIdHyperlink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AR-03A</w:t>
            </w:r>
          </w:p>
        </w:tc>
        <w:tc>
          <w:tcPr>
            <w:tcW w:w="1500" w:type="dxa"/>
            <w:vAlign w:val="center"/>
          </w:tcPr>
          <w:p>
            <w:pPr>
              <w:pStyle w:val="TableText"/>
              <w:widowControl/>
            </w:pPr>
            <w:r>
              <w:rPr>
                <w:rFonts w:ascii="Calibri" w:hAnsi="Calibri" w:cs="Calibri"/>
              </w:rPr>
              <w:t>AR-03</w:t>
            </w:r>
          </w:p>
        </w:tc>
        <w:tc>
          <w:tcPr>
            <w:tcW w:w="2000" w:type="dxa"/>
            <w:vAlign w:val="center"/>
          </w:tcPr>
          <w:p>
            <w:pPr>
              <w:pStyle w:val="TableText"/>
              <w:widowControl/>
            </w:pPr>
            <w:r>
              <w:rPr>
                <w:rFonts w:ascii="Calibri" w:hAnsi="Calibri" w:cs="Calibri"/>
              </w:rPr>
              <w:t xml:space="preserve">Extract route matching and errors; </w:t>
            </w:r>
            <w:hyperlink r:id="rIdHyperlink7" w:history="1">
              <w:r>
                <w:rPr>
                  <w:rFonts w:ascii="Calibri" w:hAnsi="Calibri" w:cs="Calibri"/>
                  <w:color w:val="2E74B5"/>
                  <w:u w:val="single"/>
                </w:rPr>
                <w:t>contract</w:t>
              </w:r>
            </w:hyperlink>
            <w:r>
              <w:rPr>
                <w:rFonts w:ascii="Calibri" w:hAnsi="Calibri" w:cs="Calibri"/>
              </w:rPr>
              <w:t xml:space="preserve">, </w:t>
            </w:r>
            <w:hyperlink r:id="rIdHyperlink8"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AR-02C</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utility metadata and remove the supported-vocabulary renderer edge; </w:t>
            </w:r>
            <w:hyperlink r:id="rIdHyperlink9" w:history="1">
              <w:r>
                <w:rPr>
                  <w:rFonts w:ascii="Calibri" w:hAnsi="Calibri" w:cs="Calibri"/>
                  <w:color w:val="2E74B5"/>
                  <w:u w:val="single"/>
                </w:rPr>
                <w:t>contract</w:t>
              </w:r>
            </w:hyperlink>
            <w:r>
              <w:rPr>
                <w:rFonts w:ascii="Calibri" w:hAnsi="Calibri" w:cs="Calibri"/>
              </w:rPr>
              <w:t xml:space="preserve">, </w:t>
            </w:r>
            <w:hyperlink r:id="rIdHyperlink10"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AR-02D</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homepage and hero renderer-free metadata; </w:t>
            </w:r>
            <w:hyperlink r:id="rIdHyperlink11" w:history="1">
              <w:r>
                <w:rPr>
                  <w:rFonts w:ascii="Calibri" w:hAnsi="Calibri" w:cs="Calibri"/>
                  <w:color w:val="2E74B5"/>
                  <w:u w:val="single"/>
                </w:rPr>
                <w:t>contract</w:t>
              </w:r>
            </w:hyperlink>
            <w:r>
              <w:rPr>
                <w:rFonts w:ascii="Calibri" w:hAnsi="Calibri" w:cs="Calibri"/>
              </w:rPr>
              <w:t xml:space="preserve">, </w:t>
            </w:r>
            <w:hyperlink r:id="rIdHyperlink12"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AR-02E</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Extract collection and product renderer-free metadata; </w:t>
            </w:r>
            <w:hyperlink r:id="rIdHyperlink13" w:history="1">
              <w:r>
                <w:rPr>
                  <w:rFonts w:ascii="Calibri" w:hAnsi="Calibri" w:cs="Calibri"/>
                  <w:color w:val="2E74B5"/>
                  <w:u w:val="single"/>
                </w:rPr>
                <w:t>contract</w:t>
              </w:r>
            </w:hyperlink>
            <w:r>
              <w:rPr>
                <w:rFonts w:ascii="Calibri" w:hAnsi="Calibri" w:cs="Calibri"/>
              </w:rPr>
              <w:t xml:space="preserve">, </w:t>
            </w:r>
            <w:hyperlink r:id="rIdHyperlink14"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p>
        </w:tc>
      </w:tr>
      <w:tr>
        <w:trPr>
          <w:cantSplit/>
        </w:trPr>
        <w:tc>
          <w:tcPr>
            <w:tcW w:w="1000" w:type="dxa"/>
            <w:vAlign w:val="center"/>
          </w:tcPr>
          <w:p>
            <w:pPr>
              <w:pStyle w:val="TableText"/>
              <w:widowControl/>
            </w:pPr>
            <w:r>
              <w:rPr>
                <w:rFonts w:ascii="Calibri" w:hAnsi="Calibri" w:cs="Calibri"/>
              </w:rPr>
              <w:t>AR-02F</w:t>
            </w:r>
          </w:p>
        </w:tc>
        <w:tc>
          <w:tcPr>
            <w:tcW w:w="1500" w:type="dxa"/>
            <w:vAlign w:val="center"/>
          </w:tcPr>
          <w:p>
            <w:pPr>
              <w:pStyle w:val="TableText"/>
              <w:widowControl/>
            </w:pPr>
            <w:r>
              <w:rPr>
                <w:rFonts w:ascii="Calibri" w:hAnsi="Calibri" w:cs="Calibri"/>
              </w:rPr>
              <w:t>AR-02</w:t>
            </w:r>
          </w:p>
        </w:tc>
        <w:tc>
          <w:tcPr>
            <w:tcW w:w="2000" w:type="dxa"/>
            <w:vAlign w:val="center"/>
          </w:tcPr>
          <w:p>
            <w:pPr>
              <w:pStyle w:val="TableText"/>
              <w:widowControl/>
            </w:pPr>
            <w:r>
              <w:rPr>
                <w:rFonts w:ascii="Calibri" w:hAnsi="Calibri" w:cs="Calibri"/>
              </w:rPr>
              <w:t xml:space="preserve">Adapt V2 definitions from shared renderer-free metadata; </w:t>
            </w:r>
            <w:hyperlink r:id="rIdHyperlink15" w:history="1">
              <w:r>
                <w:rPr>
                  <w:rFonts w:ascii="Calibri" w:hAnsi="Calibri" w:cs="Calibri"/>
                  <w:color w:val="2E74B5"/>
                  <w:u w:val="single"/>
                </w:rPr>
                <w:t>contract</w:t>
              </w:r>
            </w:hyperlink>
            <w:r>
              <w:rPr>
                <w:rFonts w:ascii="Calibri" w:hAnsi="Calibri" w:cs="Calibri"/>
              </w:rPr>
              <w:t xml:space="preserve">, </w:t>
            </w:r>
            <w:hyperlink r:id="rIdHyperlink16" w:history="1">
              <w:r>
                <w:rPr>
                  <w:rFonts w:ascii="Calibri" w:hAnsi="Calibri" w:cs="Calibri"/>
                  <w:color w:val="2E74B5"/>
                  <w:u w:val="single"/>
                </w:rPr>
                <w:t>report</w:t>
              </w:r>
            </w:hyperlink>
          </w:p>
        </w:tc>
        <w:tc>
          <w:tcPr>
            <w:tcW w:w="8460" w:type="dxa"/>
            <w:vAlign w:val="center"/>
          </w:tcPr>
          <w:p>
            <w:pPr>
              <w:pStyle w:val="TableText"/>
              <w:widowControl/>
            </w:pPr>
            <w:r>
              <w:rPr>
                <w:rFonts w:ascii="Calibri" w:hAnsi="Calibri" w:cs="Calibri"/>
                <w:b/>
                <w:bCs/>
              </w:rPr>
              <w:t>Baseline / closed</w:t>
            </w:r>
            <w:r>
              <w:rPr>
                <w:rFonts w:ascii="Calibri" w:hAnsi="Calibri" w:cs="Calibri"/>
              </w:rPr>
              <w:t xml:space="preserve"> upon acceptance/merge</w:t>
            </w:r>
          </w:p>
        </w:tc>
      </w:tr>
    </w:tbl>
    <w:p>
      <w:pPr>
        <w:pStyle w:val="Normal"/>
        <w:widowControl/>
      </w:pP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17"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18"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19"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20"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21"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22"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23"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24"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25"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26"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27"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28"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29"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30"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31"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32"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33"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34"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35"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36"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19"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37"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37"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38" w:history="1">
        <w:r>
          <w:rPr>
            <w:rFonts w:ascii="Calibri" w:hAnsi="Calibri" w:cs="Calibri"/>
            <w:color w:val="2E74B5"/>
            <w:u w:val="single"/>
          </w:rPr>
          <w:t>VESKO_OPENAPI_CONTRACT_AUDIT.md</w:t>
        </w:r>
      </w:hyperlink>
      <w:r>
        <w:rPr>
          <w:rFonts w:ascii="Calibri" w:hAnsi="Calibri" w:cs="Calibri"/>
        </w:rPr>
        <w:t xml:space="preserve"> and </w:t>
      </w:r>
      <w:hyperlink r:id="rIdHyperlink39"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governance/task-contracts/AR/AR-02A.json" TargetMode="External"/><Relationship Id="rIdHyperlink4" Type="http://schemas.openxmlformats.org/officeDocument/2006/relationships/hyperlink" Target="AR_02A_IMPLEMENTATION_REPORT.md" TargetMode="External"/><Relationship Id="rIdHyperlink5" Type="http://schemas.openxmlformats.org/officeDocument/2006/relationships/hyperlink" Target="governance/task-contracts/AR/AR-02B.json" TargetMode="External"/><Relationship Id="rIdHyperlink6" Type="http://schemas.openxmlformats.org/officeDocument/2006/relationships/hyperlink" Target="AR_02B_IMPLEMENTATION_REPORT.md" TargetMode="External"/><Relationship Id="rIdHyperlink7" Type="http://schemas.openxmlformats.org/officeDocument/2006/relationships/hyperlink" Target="governance/task-contracts/AR/AR-03A.json" TargetMode="External"/><Relationship Id="rIdHyperlink8" Type="http://schemas.openxmlformats.org/officeDocument/2006/relationships/hyperlink" Target="AR_03A_IMPLEMENTATION_REPORT.md" TargetMode="External"/><Relationship Id="rIdHyperlink9" Type="http://schemas.openxmlformats.org/officeDocument/2006/relationships/hyperlink" Target="governance/task-contracts/AR/AR-02C.json" TargetMode="External"/><Relationship Id="rIdHyperlink10" Type="http://schemas.openxmlformats.org/officeDocument/2006/relationships/hyperlink" Target="AR_02C_IMPLEMENTATION_REPORT.md" TargetMode="External"/><Relationship Id="rIdHyperlink11" Type="http://schemas.openxmlformats.org/officeDocument/2006/relationships/hyperlink" Target="governance/task-contracts/AR/AR-02D.json" TargetMode="External"/><Relationship Id="rIdHyperlink12" Type="http://schemas.openxmlformats.org/officeDocument/2006/relationships/hyperlink" Target="AR_02D_IMPLEMENTATION_REPORT.md" TargetMode="External"/><Relationship Id="rIdHyperlink13" Type="http://schemas.openxmlformats.org/officeDocument/2006/relationships/hyperlink" Target="governance/task-contracts/AR/AR-02E.json" TargetMode="External"/><Relationship Id="rIdHyperlink14" Type="http://schemas.openxmlformats.org/officeDocument/2006/relationships/hyperlink" Target="AR_02E_IMPLEMENTATION_REPORT.md" TargetMode="External"/><Relationship Id="rIdHyperlink15" Type="http://schemas.openxmlformats.org/officeDocument/2006/relationships/hyperlink" Target="governance/task-contracts/AR/AR-02F.json" TargetMode="External"/><Relationship Id="rIdHyperlink16" Type="http://schemas.openxmlformats.org/officeDocument/2006/relationships/hyperlink" Target="AR_02F_IMPLEMENTATION_REPORT.md" TargetMode="External"/><Relationship Id="rIdHyperlink17" Type="http://schemas.openxmlformats.org/officeDocument/2006/relationships/hyperlink" Target="P10A_PHASE_CLOSURE.md" TargetMode="External"/><Relationship Id="rIdHyperlink18" Type="http://schemas.openxmlformats.org/officeDocument/2006/relationships/hyperlink" Target="P10B_COMMERCIAL_STOREFRONT_GENERATION_ARCHITECTURE.md" TargetMode="External"/><Relationship Id="rIdHyperlink19" Type="http://schemas.openxmlformats.org/officeDocument/2006/relationships/hyperlink" Target="P10B_16P_04_REAL_STUDIO_DESIGN_INTENT_ACCEPTANCE.md" TargetMode="External"/><Relationship Id="rIdHyperlink20" Type="http://schemas.openxmlformats.org/officeDocument/2006/relationships/hyperlink" Target="P10B_01_COMMERCIAL_DESIGN_GRAMMAR.md" TargetMode="External"/><Relationship Id="rIdHyperlink21" Type="http://schemas.openxmlformats.org/officeDocument/2006/relationships/hyperlink" Target="P10B_02_PARAMETRIC_BRAND_SYSTEM.md" TargetMode="External"/><Relationship Id="rIdHyperlink22" Type="http://schemas.openxmlformats.org/officeDocument/2006/relationships/hyperlink" Target="P10B_03_COMPONENT_ANATOMY_AND_MEANINGFUL_VARIANTS.md" TargetMode="External"/><Relationship Id="rIdHyperlink23" Type="http://schemas.openxmlformats.org/officeDocument/2006/relationships/hyperlink" Target="P10B_04_RESPONSIVE_IMAGE_ART_DIRECTION.md" TargetMode="External"/><Relationship Id="rIdHyperlink24" Type="http://schemas.openxmlformats.org/officeDocument/2006/relationships/hyperlink" Target="P10B_05_SITE_MAP_AND_PAGE_FAMILY_AUTHORITY.md" TargetMode="External"/><Relationship Id="rIdHyperlink25" Type="http://schemas.openxmlformats.org/officeDocument/2006/relationships/hyperlink" Target="P10B_06_COMMERCIAL_SHARED_FRAME_FAMILIES.md" TargetMode="External"/><Relationship Id="rIdHyperlink26" Type="http://schemas.openxmlformats.org/officeDocument/2006/relationships/hyperlink" Target="P10B_07_HERO_EDITORIAL_CAMPAIGN_PROOF_FAMILIES.md" TargetMode="External"/><Relationship Id="rIdHyperlink27" Type="http://schemas.openxmlformats.org/officeDocument/2006/relationships/hyperlink" Target="P10B_08_CANONICAL_PRODUCT_CARD_AND_MERCHANDISING.md" TargetMode="External"/><Relationship Id="rIdHyperlink28" Type="http://schemas.openxmlformats.org/officeDocument/2006/relationships/hyperlink" Target="P10B_09_COMMERCIAL_HOMEPAGE_PROFILE_LIBRARY.md" TargetMode="External"/><Relationship Id="rIdHyperlink29" Type="http://schemas.openxmlformats.org/officeDocument/2006/relationships/hyperlink" Target="P10B_10_COMMERCIAL_COLLECTION_SEARCH_PROFILES.md" TargetMode="External"/><Relationship Id="rIdHyperlink30" Type="http://schemas.openxmlformats.org/officeDocument/2006/relationships/hyperlink" Target="P10B_12_CONTENT_AND_SUPPORT_PAGE_FAMILIES.md" TargetMode="External"/><Relationship Id="rIdHyperlink31" Type="http://schemas.openxmlformats.org/officeDocument/2006/relationships/hyperlink" Target="P10B_13_COMMERCE_UTILITY_PRESENTATION_PAGES.md" TargetMode="External"/><Relationship Id="rIdHyperlink32" Type="http://schemas.openxmlformats.org/officeDocument/2006/relationships/hyperlink" Target="P10B_14_PREMIUM_EDITORIAL_COMPLETE_STOREFRONT_VERTICAL_SLICE.md" TargetMode="External"/><Relationship Id="rIdHyperlink33" Type="http://schemas.openxmlformats.org/officeDocument/2006/relationships/hyperlink" Target="P10B_15_BOUNDED_STOREFRONT_SYNTHESIS_AND_NARRATIVE_ENGINE.md" TargetMode="External"/><Relationship Id="rIdHyperlink34" Type="http://schemas.openxmlformats.org/officeDocument/2006/relationships/hyperlink" Target="P10B_16_COORDINATED_DIRECTIONS_AND_DIVERSITY_CONTROL.md" TargetMode="External"/><Relationship Id="rIdHyperlink35" Type="http://schemas.openxmlformats.org/officeDocument/2006/relationships/hyperlink" Target="P10B_16P_01_DYNAMIC_COMMERCE_ROUTE_ARCHETYPES.md" TargetMode="External"/><Relationship Id="rIdHyperlink36" Type="http://schemas.openxmlformats.org/officeDocument/2006/relationships/hyperlink" Target="P10B_16P_02_PROMPTED_STOREFRONT_DESIGN_PLAN_V2.md" TargetMode="External"/><Relationship Id="rIdHyperlink37" Type="http://schemas.openxmlformats.org/officeDocument/2006/relationships/hyperlink" Target="P10B_18_COMMERCIAL_QUALITY_AUDIT.md" TargetMode="External"/><Relationship Id="rIdHyperlink38" Type="http://schemas.openxmlformats.org/officeDocument/2006/relationships/hyperlink" Target="VESKO_OPENAPI_CONTRACT_AUDIT.md" TargetMode="External"/><Relationship Id="rIdHyperlink39"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1903d256e27a6fb7763168fa5200374f2f81abc82bb3038867e04687db238590</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