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9 August 2026</w:t>
      </w:r>
    </w:p>
    <w:p>
      <w:pPr>
        <w:pStyle w:val="CoverMeta"/>
        <w:jc w:val="center"/>
        <w:widowControl/>
      </w:pPr>
      <w:r>
        <w:rPr>
          <w:rFonts w:ascii="Calibri" w:hAnsi="Calibri" w:cs="Calibri"/>
        </w:rPr>
        <w:t>Merged P10B-06 shared-frame and P10B-08 product-card integration on PR #178</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9 August 2026, merged P10B-06 and P10B-08 integration on PR #178</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and P10B-06 commercial shared-frame families and P10B-08 canonical product-card authority are Baseline, while P10B-07 and P10B-09 through P10B-18 remain Planned.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page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grammar, P10B-02 Design DNA, P10B-03 anatomy, P10B-04 art direction, P10B-05 page-set authority, P10B-06 shared-frame authority, and P10B-08 product-card authority are Baseline; complete-storefront commercial quality/diversity remains Planned.</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pages, sections,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and locked 18-task sequence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the existing canonical </w:t>
      </w:r>
      <w:r>
        <w:rPr>
          <w:rFonts w:ascii="Consolas" w:hAnsi="Consolas" w:cs="Consolas"/>
          <w:sz w:val="19"/>
          <w:szCs w:val="19"/>
        </w:rPr>
        <w:t>StorefrontSnapshot.pages</w:t>
      </w:r>
      <w:r>
        <w:rPr>
          <w:rFonts w:ascii="Calibri" w:hAnsi="Calibri" w:cs="Calibri"/>
        </w:rPr>
        <w:t xml:space="preserve"> and </w:t>
      </w:r>
      <w:r>
        <w:rPr>
          <w:rFonts w:ascii="Consolas" w:hAnsi="Consolas" w:cs="Consolas"/>
          <w:sz w:val="19"/>
          <w:szCs w:val="19"/>
        </w:rPr>
        <w:t>StorefrontSnapshot.navigation</w:t>
      </w:r>
      <w:r>
        <w:rPr>
          <w:rFonts w:ascii="Calibri" w:hAnsi="Calibri" w:cs="Calibri"/>
        </w:rPr>
        <w:t xml:space="preserve">. Each resulting </w:t>
      </w:r>
      <w:r>
        <w:rPr>
          <w:rFonts w:ascii="Consolas" w:hAnsi="Consolas" w:cs="Consolas"/>
          <w:sz w:val="19"/>
          <w:szCs w:val="19"/>
        </w:rPr>
        <w:t>PageModel</w:t>
      </w:r>
      <w:r>
        <w:rPr>
          <w:rFonts w:ascii="Calibri" w:hAnsi="Calibri" w:cs="Calibri"/>
        </w:rPr>
        <w:t xml:space="preserve"> retains its exact family/profile/context/locale/shared-frame/evidence reference.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25 current V2 component definitions and all 91 registered variants have explicit executable metadata. P10B-06 promotes exactly four header and four footer variants through realized shared- frame anatomy; the remaining 83 variants remain conservatively </w:t>
      </w:r>
      <w:r>
        <w:rPr>
          <w:rFonts w:ascii="Consolas" w:hAnsi="Consolas" w:cs="Consolas"/>
          <w:sz w:val="19"/>
          <w:szCs w:val="19"/>
        </w:rPr>
        <w:t>notYetP10BCommercialReady</w:t>
      </w:r>
      <w:r>
        <w:rPr>
          <w:rFonts w:ascii="Calibri" w:hAnsi="Calibri" w:cs="Calibri"/>
        </w:rPr>
        <w:t>. Nothing is promoted from its name, CSS, or finishing difference. A meaningful claim must declare and realize a material difference in hierarchy, region arrangement/ presence, asset placement, content/CTA relationship, merchandising emphasis, navigation model, responsive transformation, or presentation mode.</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only the shared-frame subset. Hero, product-card, homepage, collection, and PDP renderer/profile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Heading2"/>
        <w:keepNext/>
        <w:widowControl/>
      </w:pPr>
      <w:r>
        <w:rPr>
          <w:rFonts w:ascii="Calibri" w:hAnsi="Calibri" w:cs="Calibri"/>
        </w:rPr>
        <w:t>10.9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10.10 Planned commercial generation authority</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10.11 Commercial acceptance</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14" w:history="1">
        <w:r>
          <w:rPr>
            <w:rFonts w:ascii="Calibri" w:hAnsi="Calibri" w:cs="Calibri"/>
            <w:color w:val="2E74B5"/>
            <w:u w:val="single"/>
          </w:rPr>
          <w:t>VESKO_OPENAPI_CONTRACT_AUDIT.md</w:t>
        </w:r>
      </w:hyperlink>
      <w:r>
        <w:rPr>
          <w:rFonts w:ascii="Calibri" w:hAnsi="Calibri" w:cs="Calibri"/>
        </w:rPr>
        <w:t xml:space="preserve"> and </w:t>
      </w:r>
      <w:hyperlink r:id="rIdHyperlink15"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P10B-06 and P10B-08 are Baseline; P10B-07 and P10B-09 through P10B-18 remain Planned.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16"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300" w:type="dxa"/>
            <w:vAlign w:val="center"/>
          </w:tcPr>
          <w:p>
            <w:pPr>
              <w:pStyle w:val="TraceabilityTableText"/>
              <w:widowControl/>
            </w:pPr>
            <w:r>
              <w:rPr>
                <w:rFonts w:ascii="Calibri" w:hAnsi="Calibri" w:cs="Calibri"/>
              </w:rPr>
              <w:t>§§2–4; cross-phase product boundary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300" w:type="dxa"/>
            <w:vAlign w:val="center"/>
          </w:tcPr>
          <w:p>
            <w:pPr>
              <w:pStyle w:val="TraceabilityTableText"/>
              <w:widowControl/>
            </w:pPr>
            <w:r>
              <w:rPr>
                <w:rFonts w:ascii="Calibri" w:hAnsi="Calibri" w:cs="Calibri"/>
              </w:rPr>
              <w:t>§§3.3–3.4,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300" w:type="dxa"/>
            <w:vAlign w:val="center"/>
          </w:tcPr>
          <w:p>
            <w:pPr>
              <w:pStyle w:val="TraceabilityTableText"/>
              <w:widowControl/>
            </w:pPr>
            <w:r>
              <w:rPr>
                <w:rFonts w:ascii="Calibri" w:hAnsi="Calibri" w:cs="Calibri"/>
              </w:rPr>
              <w:t>§§3.1, 5; retained baseline and 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300" w:type="dxa"/>
            <w:vAlign w:val="center"/>
          </w:tcPr>
          <w:p>
            <w:pPr>
              <w:pStyle w:val="TraceabilityTableText"/>
              <w:widowControl/>
            </w:pPr>
            <w:r>
              <w:rPr>
                <w:rFonts w:ascii="Calibri" w:hAnsi="Calibri" w:cs="Calibri"/>
              </w:rPr>
              <w:t>§§3.1, 3.3, 5; retained baseline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300" w:type="dxa"/>
            <w:vAlign w:val="center"/>
          </w:tcPr>
          <w:p>
            <w:pPr>
              <w:pStyle w:val="TraceabilityTableText"/>
              <w:widowControl/>
            </w:pPr>
            <w:r>
              <w:rPr>
                <w:rFonts w:ascii="Calibri" w:hAnsi="Calibri" w:cs="Calibri"/>
              </w:rPr>
              <w:t>§§3.1, 5–6; P10A internal execution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Approved-brief contracts; Phase 9 evidence matrix</w:t>
            </w:r>
          </w:p>
        </w:tc>
      </w:tr>
      <w:tr>
        <w:trPr>
          <w:cantSplit/>
        </w:trPr>
        <w:tc>
          <w:tcPr>
            <w:tcW w:w="720" w:type="dxa"/>
            <w:vAlign w:val="center"/>
          </w:tcPr>
          <w:p>
            <w:pPr>
              <w:pStyle w:val="TraceabilityTableText"/>
              <w:widowControl/>
            </w:pPr>
            <w:r>
              <w:rPr>
                <w:rFonts w:ascii="Calibri" w:hAnsi="Calibri" w:cs="Calibri"/>
                <w:b/>
                <w:bCs/>
              </w:rPr>
              <w:t>FR-106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300" w:type="dxa"/>
            <w:vAlign w:val="center"/>
          </w:tcPr>
          <w:p>
            <w:pPr>
              <w:pStyle w:val="TraceabilityTableText"/>
              <w:widowControl/>
            </w:pPr>
            <w:r>
              <w:rPr>
                <w:rFonts w:ascii="Calibri" w:hAnsi="Calibri" w:cs="Calibri"/>
              </w:rPr>
              <w:t>§§3.1, 7.3, 10;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contracts; P10B capability audit</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300" w:type="dxa"/>
            <w:vAlign w:val="center"/>
          </w:tcPr>
          <w:p>
            <w:pPr>
              <w:pStyle w:val="TraceabilityTableText"/>
              <w:widowControl/>
            </w:pPr>
            <w:r>
              <w:rPr>
                <w:rFonts w:ascii="Calibri" w:hAnsi="Calibri" w:cs="Calibri"/>
              </w:rPr>
              <w:t>§§3.2, 5, 10–11;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300" w:type="dxa"/>
            <w:vAlign w:val="center"/>
          </w:tcPr>
          <w:p>
            <w:pPr>
              <w:pStyle w:val="TraceabilityTableText"/>
              <w:widowControl/>
            </w:pPr>
            <w:r>
              <w:rPr>
                <w:rFonts w:ascii="Calibri" w:hAnsi="Calibri" w:cs="Calibri"/>
              </w:rPr>
              <w:t>§6; P10A internal authority and P10C merchant operation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300" w:type="dxa"/>
            <w:vAlign w:val="center"/>
          </w:tcPr>
          <w:p>
            <w:pPr>
              <w:pStyle w:val="TraceabilityTableText"/>
              <w:widowControl/>
            </w:pPr>
            <w:r>
              <w:rPr>
                <w:rFonts w:ascii="Calibri" w:hAnsi="Calibri" w:cs="Calibri"/>
              </w:rPr>
              <w:t>§§4.2, 7;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300" w:type="dxa"/>
            <w:vAlign w:val="center"/>
          </w:tcPr>
          <w:p>
            <w:pPr>
              <w:pStyle w:val="TraceabilityTableText"/>
              <w:widowControl/>
            </w:pPr>
            <w:r>
              <w:rPr>
                <w:rFonts w:ascii="Calibri" w:hAnsi="Calibri" w:cs="Calibri"/>
              </w:rPr>
              <w:t>§§3.3, 7.4, 12; all phases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protected-commerce regressions</w:t>
            </w:r>
          </w:p>
        </w:tc>
      </w:tr>
      <w:tr>
        <w:trPr>
          <w:cantSplit/>
        </w:trPr>
        <w:tc>
          <w:tcPr>
            <w:tcW w:w="720" w:type="dxa"/>
            <w:vAlign w:val="center"/>
          </w:tcPr>
          <w:p>
            <w:pPr>
              <w:pStyle w:val="TraceabilityTableText"/>
              <w:widowControl/>
            </w:pPr>
            <w:r>
              <w:rPr>
                <w:rFonts w:ascii="Calibri" w:hAnsi="Calibri" w:cs="Calibri"/>
                <w:b/>
                <w:bCs/>
              </w:rPr>
              <w:t>FR-111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product-detail pages MUST render option groups, dependencies, required states, variant resolution, media, price, and availability from canonical product configuration.</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Collection-page presentation MUST bind collection headers, filters, product grids, merchandising rows, and no-results states to canonical collection/product data without changing membership or commerce truth.</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Collection materialization and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300" w:type="dxa"/>
            <w:vAlign w:val="center"/>
          </w:tcPr>
          <w:p>
            <w:pPr>
              <w:pStyle w:val="TraceabilityTableText"/>
              <w:widowControl/>
            </w:pPr>
            <w:r>
              <w:rPr>
                <w:rFonts w:ascii="Calibri" w:hAnsi="Calibri" w:cs="Calibri"/>
              </w:rPr>
              <w:t>§§6, 8–9;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300" w:type="dxa"/>
            <w:vAlign w:val="center"/>
          </w:tcPr>
          <w:p>
            <w:pPr>
              <w:pStyle w:val="TraceabilityTableText"/>
              <w:widowControl/>
            </w:pPr>
            <w:r>
              <w:rPr>
                <w:rFonts w:ascii="Calibri" w:hAnsi="Calibri" w:cs="Calibri"/>
              </w:rPr>
              <w:t>§§7.4, 10–11, 14;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300" w:type="dxa"/>
            <w:vAlign w:val="center"/>
          </w:tcPr>
          <w:p>
            <w:pPr>
              <w:pStyle w:val="TraceabilityTableText"/>
              <w:widowControl/>
            </w:pPr>
            <w:r>
              <w:rPr>
                <w:rFonts w:ascii="Calibri" w:hAnsi="Calibri" w:cs="Calibri"/>
              </w:rPr>
              <w:t>§§8–9;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Draft/history tests; publishing gateway/compiler authority</w:t>
            </w:r>
          </w:p>
        </w:tc>
      </w:tr>
      <w:tr>
        <w:trPr>
          <w:cantSplit/>
        </w:trPr>
        <w:tc>
          <w:tcPr>
            <w:tcW w:w="720" w:type="dxa"/>
            <w:vAlign w:val="center"/>
          </w:tcPr>
          <w:p>
            <w:pPr>
              <w:pStyle w:val="TraceabilityTableText"/>
              <w:widowControl/>
            </w:pPr>
            <w:r>
              <w:rPr>
                <w:rFonts w:ascii="Calibri" w:hAnsi="Calibri" w:cs="Calibri"/>
                <w:b/>
                <w:bCs/>
              </w:rPr>
              <w:t>FR-116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300" w:type="dxa"/>
            <w:vAlign w:val="center"/>
          </w:tcPr>
          <w:p>
            <w:pPr>
              <w:pStyle w:val="TraceabilityTableText"/>
              <w:widowControl/>
            </w:pPr>
            <w:r>
              <w:rPr>
                <w:rFonts w:ascii="Calibri" w:hAnsi="Calibri" w:cs="Calibri"/>
              </w:rPr>
              <w:t>§12;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300" w:type="dxa"/>
            <w:vAlign w:val="center"/>
          </w:tcPr>
          <w:p>
            <w:pPr>
              <w:pStyle w:val="TraceabilityTableText"/>
              <w:widowControl/>
            </w:pPr>
            <w:r>
              <w:rPr>
                <w:rFonts w:ascii="Calibri" w:hAnsi="Calibri" w:cs="Calibri"/>
              </w:rPr>
              <w:t>§7;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300" w:type="dxa"/>
            <w:vAlign w:val="center"/>
          </w:tcPr>
          <w:p>
            <w:pPr>
              <w:pStyle w:val="TraceabilityTableText"/>
              <w:widowControl/>
            </w:pPr>
            <w:r>
              <w:rPr>
                <w:rFonts w:ascii="Calibri" w:hAnsi="Calibri" w:cs="Calibri"/>
              </w:rPr>
              <w:t>§7.2;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PageBlueprint/profile authority; ADR-002</w:t>
            </w:r>
          </w:p>
        </w:tc>
      </w:tr>
      <w:tr>
        <w:trPr>
          <w:cantSplit/>
        </w:trPr>
        <w:tc>
          <w:tcPr>
            <w:tcW w:w="720" w:type="dxa"/>
            <w:vAlign w:val="center"/>
          </w:tcPr>
          <w:p>
            <w:pPr>
              <w:pStyle w:val="TraceabilityTableText"/>
              <w:widowControl/>
            </w:pPr>
            <w:r>
              <w:rPr>
                <w:rFonts w:ascii="Calibri" w:hAnsi="Calibri" w:cs="Calibri"/>
                <w:b/>
                <w:bCs/>
              </w:rPr>
              <w:t>FR-121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300" w:type="dxa"/>
            <w:vAlign w:val="center"/>
          </w:tcPr>
          <w:p>
            <w:pPr>
              <w:pStyle w:val="TraceabilityTableText"/>
              <w:widowControl/>
            </w:pPr>
            <w:r>
              <w:rPr>
                <w:rFonts w:ascii="Calibri" w:hAnsi="Calibri" w:cs="Calibri"/>
              </w:rPr>
              <w:t>§§6.3, 7;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300" w:type="dxa"/>
            <w:vAlign w:val="center"/>
          </w:tcPr>
          <w:p>
            <w:pPr>
              <w:pStyle w:val="TraceabilityTableText"/>
              <w:widowControl/>
            </w:pPr>
            <w:r>
              <w:rPr>
                <w:rFonts w:ascii="Calibri" w:hAnsi="Calibri" w:cs="Calibri"/>
              </w:rPr>
              <w:t>§7.3;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300" w:type="dxa"/>
            <w:vAlign w:val="center"/>
          </w:tcPr>
          <w:p>
            <w:pPr>
              <w:pStyle w:val="TraceabilityTableText"/>
              <w:widowControl/>
            </w:pPr>
            <w:r>
              <w:rPr>
                <w:rFonts w:ascii="Calibri" w:hAnsi="Calibri" w:cs="Calibri"/>
              </w:rPr>
              <w:t>§§3.3, 10;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300" w:type="dxa"/>
            <w:vAlign w:val="center"/>
          </w:tcPr>
          <w:p>
            <w:pPr>
              <w:pStyle w:val="TraceabilityTableText"/>
              <w:widowControl/>
            </w:pPr>
            <w:r>
              <w:rPr>
                <w:rFonts w:ascii="Calibri" w:hAnsi="Calibri" w:cs="Calibri"/>
              </w:rPr>
              <w:t>§§3, 6, 9, 12, 14.1;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300" w:type="dxa"/>
            <w:vAlign w:val="center"/>
          </w:tcPr>
          <w:p>
            <w:pPr>
              <w:pStyle w:val="TraceabilityTableText"/>
              <w:widowControl/>
            </w:pPr>
            <w:r>
              <w:rPr>
                <w:rFonts w:ascii="Calibri" w:hAnsi="Calibri" w:cs="Calibri"/>
              </w:rPr>
              <w:t>§§7.4, 10–11,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300" w:type="dxa"/>
            <w:vAlign w:val="center"/>
          </w:tcPr>
          <w:p>
            <w:pPr>
              <w:pStyle w:val="TraceabilityTableText"/>
              <w:widowControl/>
            </w:pPr>
            <w:r>
              <w:rPr>
                <w:rFonts w:ascii="Calibri" w:hAnsi="Calibri" w:cs="Calibri"/>
              </w:rPr>
              <w:t>§§6, 11, 14.4; P10C/P12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Storefront Studio states; performance/operations roadmap</w:t>
            </w:r>
          </w:p>
        </w:tc>
      </w:tr>
      <w:tr>
        <w:trPr>
          <w:cantSplit/>
        </w:trPr>
        <w:tc>
          <w:tcPr>
            <w:tcW w:w="720" w:type="dxa"/>
            <w:vAlign w:val="center"/>
          </w:tcPr>
          <w:p>
            <w:pPr>
              <w:pStyle w:val="TraceabilityTableText"/>
              <w:widowControl/>
            </w:pPr>
            <w:r>
              <w:rPr>
                <w:rFonts w:ascii="Calibri" w:hAnsi="Calibri" w:cs="Calibri"/>
                <w:b/>
                <w:bCs/>
              </w:rPr>
              <w:t>NFR-105</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300" w:type="dxa"/>
            <w:vAlign w:val="center"/>
          </w:tcPr>
          <w:p>
            <w:pPr>
              <w:pStyle w:val="TraceabilityTableText"/>
              <w:widowControl/>
            </w:pPr>
            <w:r>
              <w:rPr>
                <w:rFonts w:ascii="Calibri" w:hAnsi="Calibri" w:cs="Calibri"/>
              </w:rPr>
              <w:t>§§6, 8–9, 14.2; P10A/P10C/P11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300" w:type="dxa"/>
            <w:vAlign w:val="center"/>
          </w:tcPr>
          <w:p>
            <w:pPr>
              <w:pStyle w:val="TraceabilityTableText"/>
              <w:widowControl/>
            </w:pPr>
            <w:r>
              <w:rPr>
                <w:rFonts w:ascii="Calibri" w:hAnsi="Calibri" w:cs="Calibri"/>
              </w:rPr>
              <w:t>§§13–14.4;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300" w:type="dxa"/>
            <w:vAlign w:val="center"/>
          </w:tcPr>
          <w:p>
            <w:pPr>
              <w:pStyle w:val="TraceabilityTableText"/>
              <w:widowControl/>
            </w:pPr>
            <w:r>
              <w:rPr>
                <w:rFonts w:ascii="Calibri" w:hAnsi="Calibri" w:cs="Calibri"/>
              </w:rPr>
              <w:t>§§6.3, 14.1–14.2; P10A/P12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300" w:type="dxa"/>
            <w:vAlign w:val="center"/>
          </w:tcPr>
          <w:p>
            <w:pPr>
              <w:pStyle w:val="TraceabilityTableText"/>
              <w:widowControl/>
            </w:pPr>
            <w:r>
              <w:rPr>
                <w:rFonts w:ascii="Calibri" w:hAnsi="Calibri" w:cs="Calibri"/>
              </w:rPr>
              <w:t>§§5, 13–14; all delivery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300" w:type="dxa"/>
            <w:vAlign w:val="center"/>
          </w:tcPr>
          <w:p>
            <w:pPr>
              <w:pStyle w:val="TraceabilityTableText"/>
              <w:widowControl/>
            </w:pPr>
            <w:r>
              <w:rPr>
                <w:rFonts w:ascii="Calibri" w:hAnsi="Calibri" w:cs="Calibri"/>
              </w:rPr>
              <w:t>§§4, 7–8,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300" w:type="dxa"/>
            <w:vAlign w:val="center"/>
          </w:tcPr>
          <w:p>
            <w:pPr>
              <w:pStyle w:val="TraceabilityTableText"/>
              <w:widowControl/>
            </w:pPr>
            <w:r>
              <w:rPr>
                <w:rFonts w:ascii="Calibri" w:hAnsi="Calibri" w:cs="Calibri"/>
              </w:rPr>
              <w:t>§§3.1, 5; retained baseline/P11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300" w:type="dxa"/>
            <w:vAlign w:val="center"/>
          </w:tcPr>
          <w:p>
            <w:pPr>
              <w:pStyle w:val="TraceabilityTableText"/>
              <w:widowControl/>
            </w:pPr>
            <w:r>
              <w:rPr>
                <w:rFonts w:ascii="Calibri" w:hAnsi="Calibri" w:cs="Calibri"/>
              </w:rPr>
              <w:t>§§3.3,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generation creates a coherent homepage, collection page, and dynamic product page using registered components and bindings.</w:t>
            </w:r>
          </w:p>
        </w:tc>
        <w:tc>
          <w:tcPr>
            <w:tcW w:w="1300" w:type="dxa"/>
            <w:vAlign w:val="center"/>
          </w:tcPr>
          <w:p>
            <w:pPr>
              <w:pStyle w:val="TraceabilityTableText"/>
              <w:widowControl/>
            </w:pPr>
            <w:r>
              <w:rPr>
                <w:rFonts w:ascii="Calibri" w:hAnsi="Calibri" w:cs="Calibri"/>
              </w:rPr>
              <w:t>§§5–7; P10A internal authority/P10B quality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Governed generation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300" w:type="dxa"/>
            <w:vAlign w:val="center"/>
          </w:tcPr>
          <w:p>
            <w:pPr>
              <w:pStyle w:val="TraceabilityTableText"/>
              <w:widowControl/>
            </w:pPr>
            <w:r>
              <w:rPr>
                <w:rFonts w:ascii="Calibri" w:hAnsi="Calibri" w:cs="Calibri"/>
              </w:rPr>
              <w:t>§§3.3, 7.4;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300" w:type="dxa"/>
            <w:vAlign w:val="center"/>
          </w:tcPr>
          <w:p>
            <w:pPr>
              <w:pStyle w:val="TraceabilityTableText"/>
              <w:widowControl/>
            </w:pPr>
            <w:r>
              <w:rPr>
                <w:rFonts w:ascii="Calibri" w:hAnsi="Calibri" w:cs="Calibri"/>
              </w:rPr>
              <w:t>§7.4; retained baseline/P11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product types render with a generic dynamic fallback without dropping available attributes or options.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300" w:type="dxa"/>
            <w:vAlign w:val="center"/>
          </w:tcPr>
          <w:p>
            <w:pPr>
              <w:pStyle w:val="TraceabilityTableText"/>
              <w:widowControl/>
            </w:pPr>
            <w:r>
              <w:rPr>
                <w:rFonts w:ascii="Calibri" w:hAnsi="Calibri" w:cs="Calibri"/>
              </w:rPr>
              <w:t>§§3.3, 7.4;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300" w:type="dxa"/>
            <w:vAlign w:val="center"/>
          </w:tcPr>
          <w:p>
            <w:pPr>
              <w:pStyle w:val="TraceabilityTableText"/>
              <w:widowControl/>
            </w:pPr>
            <w:r>
              <w:rPr>
                <w:rFonts w:ascii="Calibri" w:hAnsi="Calibri" w:cs="Calibri"/>
              </w:rPr>
              <w:t>§§4.2,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300" w:type="dxa"/>
            <w:vAlign w:val="center"/>
          </w:tcPr>
          <w:p>
            <w:pPr>
              <w:pStyle w:val="TraceabilityTableText"/>
              <w:widowControl/>
            </w:pPr>
            <w:r>
              <w:rPr>
                <w:rFonts w:ascii="Calibri" w:hAnsi="Calibri" w:cs="Calibri"/>
              </w:rPr>
              <w:t>§§6, 7.3;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Whole-storefront restyling coordinates global tokens, navigation, footer, homepage, collection, and representative product pages atomically.</w:t>
            </w:r>
          </w:p>
        </w:tc>
        <w:tc>
          <w:tcPr>
            <w:tcW w:w="1300" w:type="dxa"/>
            <w:vAlign w:val="center"/>
          </w:tcPr>
          <w:p>
            <w:pPr>
              <w:pStyle w:val="TraceabilityTableText"/>
              <w:widowControl/>
            </w:pPr>
            <w:r>
              <w:rPr>
                <w:rFonts w:ascii="Calibri" w:hAnsi="Calibri" w:cs="Calibri"/>
              </w:rPr>
              <w:t>§§6, 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Whole-storefront compiler/lifecycle tests</w:t>
            </w:r>
          </w:p>
        </w:tc>
      </w:tr>
      <w:tr>
        <w:trPr>
          <w:cantSplit/>
        </w:trPr>
        <w:tc>
          <w:tcPr>
            <w:tcW w:w="720" w:type="dxa"/>
            <w:vAlign w:val="center"/>
          </w:tcPr>
          <w:p>
            <w:pPr>
              <w:pStyle w:val="TraceabilityTableText"/>
              <w:widowControl/>
            </w:pPr>
            <w:r>
              <w:rPr>
                <w:rFonts w:ascii="Calibri" w:hAnsi="Calibri" w:cs="Calibri"/>
                <w:b/>
                <w:bCs/>
              </w:rPr>
              <w:t>AC-115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Accepted whole-storefront changes undo and redo as one complete transaction.</w:t>
            </w:r>
          </w:p>
        </w:tc>
        <w:tc>
          <w:tcPr>
            <w:tcW w:w="1300" w:type="dxa"/>
            <w:vAlign w:val="center"/>
          </w:tcPr>
          <w:p>
            <w:pPr>
              <w:pStyle w:val="TraceabilityTableText"/>
              <w:widowControl/>
            </w:pPr>
            <w:r>
              <w:rPr>
                <w:rFonts w:ascii="Calibri" w:hAnsi="Calibri" w:cs="Calibri"/>
              </w:rPr>
              <w:t>§8;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300" w:type="dxa"/>
            <w:vAlign w:val="center"/>
          </w:tcPr>
          <w:p>
            <w:pPr>
              <w:pStyle w:val="TraceabilityTableText"/>
              <w:widowControl/>
            </w:pPr>
            <w:r>
              <w:rPr>
                <w:rFonts w:ascii="Calibri" w:hAnsi="Calibri" w:cs="Calibri"/>
              </w:rPr>
              <w:t>§§3.1, 6; P10A/P10B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300" w:type="dxa"/>
            <w:vAlign w:val="center"/>
          </w:tcPr>
          <w:p>
            <w:pPr>
              <w:pStyle w:val="TraceabilityTableText"/>
              <w:widowControl/>
            </w:pPr>
            <w:r>
              <w:rPr>
                <w:rFonts w:ascii="Calibri" w:hAnsi="Calibri" w:cs="Calibri"/>
              </w:rPr>
              <w:t>§§3.2–3.3,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300" w:type="dxa"/>
            <w:vAlign w:val="center"/>
          </w:tcPr>
          <w:p>
            <w:pPr>
              <w:pStyle w:val="TraceabilityTableText"/>
              <w:widowControl/>
            </w:pPr>
            <w:r>
              <w:rPr>
                <w:rFonts w:ascii="Calibri" w:hAnsi="Calibri" w:cs="Calibri"/>
              </w:rPr>
              <w:t>§§3.2, 11; P10C, with generated media deferred to P10D</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300" w:type="dxa"/>
            <w:vAlign w:val="center"/>
          </w:tcPr>
          <w:p>
            <w:pPr>
              <w:pStyle w:val="TraceabilityTableText"/>
              <w:widowControl/>
            </w:pPr>
            <w:r>
              <w:rPr>
                <w:rFonts w:ascii="Calibri" w:hAnsi="Calibri" w:cs="Calibri"/>
              </w:rPr>
              <w:t>Historical demo reliability only</w:t>
            </w:r>
          </w:p>
        </w:tc>
        <w:tc>
          <w:tcPr>
            <w:tcW w:w="1300" w:type="dxa"/>
            <w:vAlign w:val="center"/>
          </w:tcPr>
          <w:p>
            <w:pPr>
              <w:pStyle w:val="TraceabilityTableText"/>
              <w:widowControl/>
            </w:pPr>
            <w:r>
              <w:rPr>
                <w:rFonts w:ascii="Calibri" w:hAnsi="Calibri" w:cs="Calibri"/>
                <w:b/>
                <w:bCs/>
              </w:rPr>
              <w:t>Historical only</w:t>
            </w:r>
          </w:p>
        </w:tc>
        <w:tc>
          <w:tcPr>
            <w:tcW w:w="21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Merchant mode exposes no raw JSON, internal IDs, provider payloads, or developer tools.</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300" w:type="dxa"/>
            <w:vAlign w:val="center"/>
          </w:tcPr>
          <w:p>
            <w:pPr>
              <w:pStyle w:val="TraceabilityTableText"/>
              <w:widowControl/>
            </w:pPr>
            <w:r>
              <w:rPr>
                <w:rFonts w:ascii="Calibri" w:hAnsi="Calibri" w:cs="Calibri"/>
              </w:rPr>
              <w:t>§§10–11,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300" w:type="dxa"/>
            <w:vAlign w:val="center"/>
          </w:tcPr>
          <w:p>
            <w:pPr>
              <w:pStyle w:val="TraceabilityTableText"/>
              <w:widowControl/>
            </w:pPr>
            <w:r>
              <w:rPr>
                <w:rFonts w:ascii="Calibri" w:hAnsi="Calibri" w:cs="Calibri"/>
              </w:rPr>
              <w:t>§12; 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300" w:type="dxa"/>
            <w:vAlign w:val="center"/>
          </w:tcPr>
          <w:p>
            <w:pPr>
              <w:pStyle w:val="TraceabilityTableText"/>
              <w:widowControl/>
            </w:pPr>
            <w:r>
              <w:rPr>
                <w:rFonts w:ascii="Calibri" w:hAnsi="Calibri" w:cs="Calibri"/>
              </w:rPr>
              <w:t>§§5–12;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300" w:type="dxa"/>
            <w:vAlign w:val="center"/>
          </w:tcPr>
          <w:p>
            <w:pPr>
              <w:pStyle w:val="TraceabilityTableText"/>
              <w:widowControl/>
            </w:pPr>
            <w:r>
              <w:rPr>
                <w:rFonts w:ascii="Calibri" w:hAnsi="Calibri" w:cs="Calibri"/>
              </w:rPr>
              <w:t>§§10, 13–14;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300" w:type="dxa"/>
            <w:vAlign w:val="center"/>
          </w:tcPr>
          <w:p>
            <w:pPr>
              <w:pStyle w:val="TraceabilityTableText"/>
              <w:widowControl/>
            </w:pPr>
            <w:r>
              <w:rPr>
                <w:rFonts w:ascii="Calibri" w:hAnsi="Calibri" w:cs="Calibri"/>
              </w:rPr>
              <w:t>§§5, 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300" w:type="dxa"/>
            <w:vAlign w:val="center"/>
          </w:tcPr>
          <w:p>
            <w:pPr>
              <w:pStyle w:val="TraceabilityTableText"/>
              <w:widowControl/>
            </w:pPr>
            <w:r>
              <w:rPr>
                <w:rFonts w:ascii="Calibri" w:hAnsi="Calibri" w:cs="Calibri"/>
              </w:rPr>
              <w:t>§§6–7;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Every executable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w:t>
            </w:r>
          </w:p>
        </w:tc>
        <w:tc>
          <w:tcPr>
            <w:tcW w:w="1300" w:type="dxa"/>
            <w:vAlign w:val="center"/>
          </w:tcPr>
          <w:p>
            <w:pPr>
              <w:pStyle w:val="TraceabilityTableText"/>
              <w:widowControl/>
            </w:pPr>
            <w:r>
              <w:rPr>
                <w:rFonts w:ascii="Calibri" w:hAnsi="Calibri" w:cs="Calibri"/>
              </w:rPr>
              <w:t>§§4.1, 7–9; P10A</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compiler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300" w:type="dxa"/>
            <w:vAlign w:val="center"/>
          </w:tcPr>
          <w:p>
            <w:pPr>
              <w:pStyle w:val="TraceabilityTableText"/>
              <w:widowControl/>
            </w:pPr>
            <w:r>
              <w:rPr>
                <w:rFonts w:ascii="Calibri" w:hAnsi="Calibri" w:cs="Calibri"/>
              </w:rPr>
              <w:t>§§10, 13; P10A functional gate/P10B visual gate</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300" w:type="dxa"/>
            <w:vAlign w:val="center"/>
          </w:tcPr>
          <w:p>
            <w:pPr>
              <w:pStyle w:val="TraceabilityTableText"/>
              <w:widowControl/>
            </w:pPr>
            <w:r>
              <w:rPr>
                <w:rFonts w:ascii="Calibri" w:hAnsi="Calibri" w:cs="Calibri"/>
              </w:rPr>
              <w:t>§9;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300" w:type="dxa"/>
            <w:vAlign w:val="center"/>
          </w:tcPr>
          <w:p>
            <w:pPr>
              <w:pStyle w:val="TraceabilityTableText"/>
              <w:widowControl/>
            </w:pPr>
            <w:r>
              <w:rPr>
                <w:rFonts w:ascii="Calibri" w:hAnsi="Calibri" w:cs="Calibri"/>
              </w:rPr>
              <w:t>§§6.3, 7, 10; P10B on P10A authority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300" w:type="dxa"/>
            <w:vAlign w:val="center"/>
          </w:tcPr>
          <w:p>
            <w:pPr>
              <w:pStyle w:val="TraceabilityTableText"/>
              <w:widowControl/>
            </w:pPr>
            <w:r>
              <w:rPr>
                <w:rFonts w:ascii="Calibri" w:hAnsi="Calibri" w:cs="Calibri"/>
              </w:rPr>
              <w:t>§§7.3,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9360"/>
      </w:tabs>
    </w:pPr>
    <w:r>
      <w:rPr>
        <w:rFonts w:ascii="Calibri" w:hAnsi="Calibri" w:cs="Calibri"/>
      </w:rPr>
      <w:t>Veskify SDD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VESKO_OPENAPI_CONTRACT_AUDIT.md" TargetMode="External"/><Relationship Id="rIdHyperlink15" Type="http://schemas.openxmlformats.org/officeDocument/2006/relationships/hyperlink" Target="VESKO_VESKIFY_INTEGRATION_MATRIX.md" TargetMode="External"/><Relationship Id="rIdHyperlink16"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5e38be25dad8a6a3d594fd383980e298095d9ee921b4c406c3ec843a98b7ab4c</vt:lpwstr>
  </property>
  <property fmtid="{D5CDD505-2E9C-101B-9397-08002B2CF9AE}" pid="4" name="ExporterVersion">
    <vt:lpwstr>1.1.0</vt:lpwstr>
  </property>
  <property fmtid="{D5CDD505-2E9C-101B-9397-08002B2CF9AE}" pid="5" name="DesignPreset">
    <vt:lpwstr>compact_reference_guide</vt:lpwstr>
  </property>
</Properties>
</file>