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Effective upon explicit AR-02I acceptance/merge: AR-02A through AR-02I Baseline / closed; AR-03 and AR-03A through AR-03E remain closed; AR-02 Partial with mapped metadata-consumer gaps; AR-23 eligible / unstarted; BATCH-06 complete; BATCH-07 complete upon I merge and safe closeout; no next task selected</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Candidate status effective upon explicit owner acceptance/merge of AR-02I:</w:t>
      </w:r>
      <w:r>
        <w:rPr>
          <w:rFonts w:ascii="Calibri" w:hAnsi="Calibri" w:cs="Calibri"/>
        </w:rPr>
        <w:t xml:space="preserve"> This projection does not claim that this PR has merged or that owner acceptance has occurred. </w:t>
      </w:r>
      <w:r>
        <w:rPr>
          <w:rFonts w:ascii="Calibri" w:hAnsi="Calibri" w:cs="Calibri"/>
          <w:b/>
          <w:bCs/>
        </w:rPr>
        <w:t>AR-00 current status authority:</w:t>
      </w:r>
      <w:r>
        <w:rPr>
          <w:rFonts w:ascii="Calibri" w:hAnsi="Calibri" w:cs="Calibri"/>
        </w:rPr>
        <w:t xml:space="preserve"> </w:t>
      </w:r>
      <w:r>
        <w:rPr>
          <w:rFonts w:ascii="Calibri" w:hAnsi="Calibri" w:cs="Calibri"/>
          <w:b/>
          <w:bCs/>
        </w:rPr>
        <w:t>Baseline / closed.</w:t>
      </w:r>
      <w:r>
        <w:rPr>
          <w:rFonts w:ascii="Calibri" w:hAnsi="Calibri" w:cs="Calibri"/>
        </w:rPr>
        <w:t xml:space="preserve"> AR-01 is </w:t>
      </w:r>
      <w:r>
        <w:rPr>
          <w:rFonts w:ascii="Calibri" w:hAnsi="Calibri" w:cs="Calibri"/>
          <w:b/>
          <w:bCs/>
        </w:rPr>
        <w:t>Baseline / closed.</w:t>
      </w:r>
      <w:r>
        <w:rPr>
          <w:rFonts w:ascii="Calibri" w:hAnsi="Calibri" w:cs="Calibri"/>
        </w:rPr>
        <w:t xml:space="preserve"> AR-02A is </w:t>
      </w:r>
      <w:r>
        <w:rPr>
          <w:rFonts w:ascii="Calibri" w:hAnsi="Calibri" w:cs="Calibri"/>
          <w:b/>
          <w:bCs/>
        </w:rPr>
        <w:t>Baseline / closed.</w:t>
      </w:r>
      <w:r>
        <w:rPr>
          <w:rFonts w:ascii="Calibri" w:hAnsi="Calibri" w:cs="Calibri"/>
        </w:rPr>
        <w:t xml:space="preserve"> AR-02B is </w:t>
      </w:r>
      <w:r>
        <w:rPr>
          <w:rFonts w:ascii="Calibri" w:hAnsi="Calibri" w:cs="Calibri"/>
          <w:b/>
          <w:bCs/>
        </w:rPr>
        <w:t>Baseline / closed.</w:t>
      </w:r>
      <w:r>
        <w:rPr>
          <w:rFonts w:ascii="Calibri" w:hAnsi="Calibri" w:cs="Calibri"/>
        </w:rPr>
        <w:t xml:space="preserve"> AR-02C is </w:t>
      </w:r>
      <w:r>
        <w:rPr>
          <w:rFonts w:ascii="Calibri" w:hAnsi="Calibri" w:cs="Calibri"/>
          <w:b/>
          <w:bCs/>
        </w:rPr>
        <w:t>Baseline / closed.</w:t>
      </w:r>
      <w:r>
        <w:rPr>
          <w:rFonts w:ascii="Calibri" w:hAnsi="Calibri" w:cs="Calibri"/>
        </w:rPr>
        <w:t xml:space="preserve"> AR-02D is </w:t>
      </w:r>
      <w:r>
        <w:rPr>
          <w:rFonts w:ascii="Calibri" w:hAnsi="Calibri" w:cs="Calibri"/>
          <w:b/>
          <w:bCs/>
        </w:rPr>
        <w:t>Baseline / closed.</w:t>
      </w:r>
      <w:r>
        <w:rPr>
          <w:rFonts w:ascii="Calibri" w:hAnsi="Calibri" w:cs="Calibri"/>
        </w:rPr>
        <w:t xml:space="preserve"> AR-02E is </w:t>
      </w:r>
      <w:r>
        <w:rPr>
          <w:rFonts w:ascii="Calibri" w:hAnsi="Calibri" w:cs="Calibri"/>
          <w:b/>
          <w:bCs/>
        </w:rPr>
        <w:t>Baseline / closed.</w:t>
      </w:r>
      <w:r>
        <w:rPr>
          <w:rFonts w:ascii="Calibri" w:hAnsi="Calibri" w:cs="Calibri"/>
        </w:rPr>
        <w:t xml:space="preserve"> AR-02F is </w:t>
      </w:r>
      <w:r>
        <w:rPr>
          <w:rFonts w:ascii="Calibri" w:hAnsi="Calibri" w:cs="Calibri"/>
          <w:b/>
          <w:bCs/>
        </w:rPr>
        <w:t>Baseline / closed.</w:t>
      </w:r>
      <w:r>
        <w:rPr>
          <w:rFonts w:ascii="Calibri" w:hAnsi="Calibri" w:cs="Calibri"/>
        </w:rPr>
        <w:t xml:space="preserve"> AR-02G is </w:t>
      </w:r>
      <w:r>
        <w:rPr>
          <w:rFonts w:ascii="Calibri" w:hAnsi="Calibri" w:cs="Calibri"/>
          <w:b/>
          <w:bCs/>
        </w:rPr>
        <w:t>Baseline / closed.</w:t>
      </w:r>
      <w:r>
        <w:rPr>
          <w:rFonts w:ascii="Calibri" w:hAnsi="Calibri" w:cs="Calibri"/>
        </w:rPr>
        <w:t xml:space="preserve"> AR-02H is </w:t>
      </w:r>
      <w:r>
        <w:rPr>
          <w:rFonts w:ascii="Calibri" w:hAnsi="Calibri" w:cs="Calibri"/>
          <w:b/>
          <w:bCs/>
        </w:rPr>
        <w:t>Baseline / closed.</w:t>
      </w:r>
      <w:r>
        <w:rPr>
          <w:rFonts w:ascii="Calibri" w:hAnsi="Calibri" w:cs="Calibri"/>
        </w:rPr>
        <w:t xml:space="preserve"> AR-02I is </w:t>
      </w:r>
      <w:r>
        <w:rPr>
          <w:rFonts w:ascii="Calibri" w:hAnsi="Calibri" w:cs="Calibri"/>
          <w:b/>
          <w:bCs/>
        </w:rPr>
        <w:t>Baseline / closed upon explicit owner acceptance/merge.</w:t>
      </w:r>
      <w:r>
        <w:rPr>
          <w:rFonts w:ascii="Calibri" w:hAnsi="Calibri" w:cs="Calibri"/>
        </w:rPr>
        <w:t xml:space="preserve"> AR-02 is </w:t>
      </w:r>
      <w:r>
        <w:rPr>
          <w:rFonts w:ascii="Calibri" w:hAnsi="Calibri" w:cs="Calibri"/>
          <w:b/>
          <w:bCs/>
        </w:rPr>
        <w:t>Partial</w:t>
      </w:r>
      <w:r>
        <w:rPr>
          <w:rFonts w:ascii="Calibri" w:hAnsi="Calibri" w:cs="Calibri"/>
        </w:rPr>
        <w:t xml:space="preserve">; remaining metadata consumers are mapped in AR_02_BOUNDARY_ACCEPTANCE.md. AR-03 is </w:t>
      </w:r>
      <w:r>
        <w:rPr>
          <w:rFonts w:ascii="Calibri" w:hAnsi="Calibri" w:cs="Calibri"/>
          <w:b/>
          <w:bCs/>
        </w:rPr>
        <w:t>Baseline / closed</w:t>
      </w:r>
      <w:r>
        <w:rPr>
          <w:rFonts w:ascii="Calibri" w:hAnsi="Calibri" w:cs="Calibri"/>
        </w:rPr>
        <w:t xml:space="preserve">; original same-input characterization and separate ownership are verified. AR-03A is </w:t>
      </w:r>
      <w:r>
        <w:rPr>
          <w:rFonts w:ascii="Calibri" w:hAnsi="Calibri" w:cs="Calibri"/>
          <w:b/>
          <w:bCs/>
        </w:rPr>
        <w:t>Baseline / closed.</w:t>
      </w:r>
      <w:r>
        <w:rPr>
          <w:rFonts w:ascii="Calibri" w:hAnsi="Calibri" w:cs="Calibri"/>
        </w:rPr>
        <w:t xml:space="preserve"> AR-03B is </w:t>
      </w:r>
      <w:r>
        <w:rPr>
          <w:rFonts w:ascii="Calibri" w:hAnsi="Calibri" w:cs="Calibri"/>
          <w:b/>
          <w:bCs/>
        </w:rPr>
        <w:t>Baseline / closed.</w:t>
      </w:r>
      <w:r>
        <w:rPr>
          <w:rFonts w:ascii="Calibri" w:hAnsi="Calibri" w:cs="Calibri"/>
        </w:rPr>
        <w:t xml:space="preserve"> AR-03C is </w:t>
      </w:r>
      <w:r>
        <w:rPr>
          <w:rFonts w:ascii="Calibri" w:hAnsi="Calibri" w:cs="Calibri"/>
          <w:b/>
          <w:bCs/>
        </w:rPr>
        <w:t>Baseline / closed.</w:t>
      </w:r>
      <w:r>
        <w:rPr>
          <w:rFonts w:ascii="Calibri" w:hAnsi="Calibri" w:cs="Calibri"/>
        </w:rPr>
        <w:t xml:space="preserve"> AR-03D is </w:t>
      </w:r>
      <w:r>
        <w:rPr>
          <w:rFonts w:ascii="Calibri" w:hAnsi="Calibri" w:cs="Calibri"/>
          <w:b/>
          <w:bCs/>
        </w:rPr>
        <w:t>Baseline / closed.</w:t>
      </w:r>
      <w:r>
        <w:rPr>
          <w:rFonts w:ascii="Calibri" w:hAnsi="Calibri" w:cs="Calibri"/>
        </w:rPr>
        <w:t xml:space="preserve"> AR-03E is </w:t>
      </w:r>
      <w:r>
        <w:rPr>
          <w:rFonts w:ascii="Calibri" w:hAnsi="Calibri" w:cs="Calibri"/>
          <w:b/>
          <w:bCs/>
        </w:rPr>
        <w:t>Baseline / closed.</w:t>
      </w:r>
      <w:r>
        <w:rPr>
          <w:rFonts w:ascii="Calibri" w:hAnsi="Calibri" w:cs="Calibri"/>
        </w:rPr>
        <w:t xml:space="preserve"> AR-23 is </w:t>
      </w:r>
      <w:r>
        <w:rPr>
          <w:rFonts w:ascii="Calibri" w:hAnsi="Calibri" w:cs="Calibri"/>
          <w:b/>
          <w:bCs/>
        </w:rPr>
        <w:t>Planned / unstarted</w:t>
      </w:r>
      <w:r>
        <w:rPr>
          <w:rFonts w:ascii="Calibri" w:hAnsi="Calibri" w:cs="Calibri"/>
        </w:rPr>
        <w:t xml:space="preserve">. AR-23 depends on AR-01 and is not serialized behind visual work. BATCH-03 is complete. BATCH-04 is complete. BATCH-05 is complete. BATCH-06 is complete. BATCH-07 is complete upon AR-02I acceptance/merge and safe closeout. No next reset task is selected. BATCH-07 selects no additional task.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Child</w:t>
            </w:r>
          </w:p>
        </w:tc>
        <w:tc>
          <w:tcPr>
            <w:tcW w:w="1500" w:type="dxa"/>
            <w:vAlign w:val="center"/>
            <w:shd w:val="clear" w:fill="E8EEF5"/>
          </w:tcPr>
          <w:p>
            <w:pPr>
              <w:pStyle w:val="TableHeader"/>
              <w:jc w:val="center"/>
              <w:widowControl/>
            </w:pPr>
            <w:r>
              <w:rPr>
                <w:rFonts w:ascii="Calibri" w:hAnsi="Calibri" w:cs="Calibri"/>
              </w:rPr>
              <w:t>Parent</w:t>
            </w:r>
          </w:p>
        </w:tc>
        <w:tc>
          <w:tcPr>
            <w:tcW w:w="2000" w:type="dxa"/>
            <w:vAlign w:val="center"/>
            <w:shd w:val="clear" w:fill="E8EEF5"/>
          </w:tcPr>
          <w:p>
            <w:pPr>
              <w:pStyle w:val="TableHeader"/>
              <w:jc w:val="center"/>
              <w:widowControl/>
            </w:pPr>
            <w:r>
              <w:rPr>
                <w:rFonts w:ascii="Calibri" w:hAnsi="Calibri" w:cs="Calibri"/>
              </w:rPr>
              <w:t>Bounded outcome and evidence</w:t>
            </w:r>
          </w:p>
        </w:tc>
        <w:tc>
          <w:tcPr>
            <w:tcW w:w="8460" w:type="dxa"/>
            <w:vAlign w:val="center"/>
            <w:shd w:val="clear" w:fill="E8EEF5"/>
          </w:tcPr>
          <w:p>
            <w:pPr>
              <w:pStyle w:val="TableHeader"/>
              <w:jc w:val="center"/>
              <w:widowControl/>
            </w:pPr>
            <w:r>
              <w:rPr>
                <w:rFonts w:ascii="Calibri" w:hAnsi="Calibri" w:cs="Calibri"/>
              </w:rPr>
              <w:t>Status; I conditional on acceptance/merge</w:t>
            </w:r>
          </w:p>
        </w:tc>
      </w:tr>
      <w:tr>
        <w:trPr>
          <w:cantSplit/>
        </w:trPr>
        <w:tc>
          <w:tcPr>
            <w:tcW w:w="1000" w:type="dxa"/>
            <w:vAlign w:val="center"/>
          </w:tcPr>
          <w:p>
            <w:pPr>
              <w:pStyle w:val="TableText"/>
              <w:widowControl/>
            </w:pPr>
            <w:r>
              <w:rPr>
                <w:rFonts w:ascii="Calibri" w:hAnsi="Calibri" w:cs="Calibri"/>
              </w:rPr>
              <w:t>AR-02A</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Separate live renderer observation and composition; </w:t>
            </w:r>
            <w:hyperlink r:id="rIdHyperlink3" w:history="1">
              <w:r>
                <w:rPr>
                  <w:rFonts w:ascii="Calibri" w:hAnsi="Calibri" w:cs="Calibri"/>
                  <w:color w:val="2E74B5"/>
                  <w:u w:val="single"/>
                </w:rPr>
                <w:t>contract</w:t>
              </w:r>
            </w:hyperlink>
            <w:r>
              <w:rPr>
                <w:rFonts w:ascii="Calibri" w:hAnsi="Calibri" w:cs="Calibri"/>
              </w:rPr>
              <w:t xml:space="preserve">, </w:t>
            </w:r>
            <w:hyperlink r:id="rIdHyperlink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AR-02B</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renderer-free deterministic conformance evaluation; </w:t>
            </w:r>
            <w:hyperlink r:id="rIdHyperlink5" w:history="1">
              <w:r>
                <w:rPr>
                  <w:rFonts w:ascii="Calibri" w:hAnsi="Calibri" w:cs="Calibri"/>
                  <w:color w:val="2E74B5"/>
                  <w:u w:val="single"/>
                </w:rPr>
                <w:t>contract</w:t>
              </w:r>
            </w:hyperlink>
            <w:r>
              <w:rPr>
                <w:rFonts w:ascii="Calibri" w:hAnsi="Calibri" w:cs="Calibri"/>
              </w:rPr>
              <w:t xml:space="preserve">, </w:t>
            </w:r>
            <w:hyperlink r:id="rIdHyperlink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AR-03A</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Extract route matching and errors; </w:t>
            </w:r>
            <w:hyperlink r:id="rIdHyperlink7" w:history="1">
              <w:r>
                <w:rPr>
                  <w:rFonts w:ascii="Calibri" w:hAnsi="Calibri" w:cs="Calibri"/>
                  <w:color w:val="2E74B5"/>
                  <w:u w:val="single"/>
                </w:rPr>
                <w:t>contract</w:t>
              </w:r>
            </w:hyperlink>
            <w:r>
              <w:rPr>
                <w:rFonts w:ascii="Calibri" w:hAnsi="Calibri" w:cs="Calibri"/>
              </w:rPr>
              <w:t xml:space="preserve">, </w:t>
            </w:r>
            <w:hyperlink r:id="rIdHyperlink8"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AR-02C</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utility metadata and remove the supported-vocabulary renderer edge; </w:t>
            </w:r>
            <w:hyperlink r:id="rIdHyperlink9" w:history="1">
              <w:r>
                <w:rPr>
                  <w:rFonts w:ascii="Calibri" w:hAnsi="Calibri" w:cs="Calibri"/>
                  <w:color w:val="2E74B5"/>
                  <w:u w:val="single"/>
                </w:rPr>
                <w:t>contract</w:t>
              </w:r>
            </w:hyperlink>
            <w:r>
              <w:rPr>
                <w:rFonts w:ascii="Calibri" w:hAnsi="Calibri" w:cs="Calibri"/>
              </w:rPr>
              <w:t xml:space="preserve">, </w:t>
            </w:r>
            <w:hyperlink r:id="rIdHyperlink10"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AR-02D</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homepage and hero renderer-free metadata; </w:t>
            </w:r>
            <w:hyperlink r:id="rIdHyperlink11" w:history="1">
              <w:r>
                <w:rPr>
                  <w:rFonts w:ascii="Calibri" w:hAnsi="Calibri" w:cs="Calibri"/>
                  <w:color w:val="2E74B5"/>
                  <w:u w:val="single"/>
                </w:rPr>
                <w:t>contract</w:t>
              </w:r>
            </w:hyperlink>
            <w:r>
              <w:rPr>
                <w:rFonts w:ascii="Calibri" w:hAnsi="Calibri" w:cs="Calibri"/>
              </w:rPr>
              <w:t xml:space="preserve">, </w:t>
            </w:r>
            <w:hyperlink r:id="rIdHyperlink12"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AR-02E</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collection and product renderer-free metadata; </w:t>
            </w:r>
            <w:hyperlink r:id="rIdHyperlink13" w:history="1">
              <w:r>
                <w:rPr>
                  <w:rFonts w:ascii="Calibri" w:hAnsi="Calibri" w:cs="Calibri"/>
                  <w:color w:val="2E74B5"/>
                  <w:u w:val="single"/>
                </w:rPr>
                <w:t>contract</w:t>
              </w:r>
            </w:hyperlink>
            <w:r>
              <w:rPr>
                <w:rFonts w:ascii="Calibri" w:hAnsi="Calibri" w:cs="Calibri"/>
              </w:rPr>
              <w:t xml:space="preserve">, </w:t>
            </w:r>
            <w:hyperlink r:id="rIdHyperlink1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AR-02F</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Adapt V2 definitions from shared renderer-free metadata; </w:t>
            </w:r>
            <w:hyperlink r:id="rIdHyperlink15" w:history="1">
              <w:r>
                <w:rPr>
                  <w:rFonts w:ascii="Calibri" w:hAnsi="Calibri" w:cs="Calibri"/>
                  <w:color w:val="2E74B5"/>
                  <w:u w:val="single"/>
                </w:rPr>
                <w:t>contract</w:t>
              </w:r>
            </w:hyperlink>
            <w:r>
              <w:rPr>
                <w:rFonts w:ascii="Calibri" w:hAnsi="Calibri" w:cs="Calibri"/>
              </w:rPr>
              <w:t xml:space="preserve">, </w:t>
            </w:r>
            <w:hyperlink r:id="rIdHyperlink1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AR-02G</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template capability boundary and explicit utility historical-source transition; </w:t>
            </w:r>
            <w:hyperlink r:id="rIdHyperlink17" w:history="1">
              <w:r>
                <w:rPr>
                  <w:rFonts w:ascii="Calibri" w:hAnsi="Calibri" w:cs="Calibri"/>
                  <w:color w:val="2E74B5"/>
                  <w:u w:val="single"/>
                </w:rPr>
                <w:t>contract</w:t>
              </w:r>
            </w:hyperlink>
            <w:r>
              <w:rPr>
                <w:rFonts w:ascii="Calibri" w:hAnsi="Calibri" w:cs="Calibri"/>
              </w:rPr>
              <w:t xml:space="preserve">, </w:t>
            </w:r>
            <w:hyperlink r:id="rIdHyperlink18"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AR-02H</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Semantic request boundary and explicit direction historical-source transition; </w:t>
            </w:r>
            <w:hyperlink r:id="rIdHyperlink19" w:history="1">
              <w:r>
                <w:rPr>
                  <w:rFonts w:ascii="Calibri" w:hAnsi="Calibri" w:cs="Calibri"/>
                  <w:color w:val="2E74B5"/>
                  <w:u w:val="single"/>
                </w:rPr>
                <w:t>contract</w:t>
              </w:r>
            </w:hyperlink>
            <w:r>
              <w:rPr>
                <w:rFonts w:ascii="Calibri" w:hAnsi="Calibri" w:cs="Calibri"/>
              </w:rPr>
              <w:t xml:space="preserve">, </w:t>
            </w:r>
            <w:hyperlink r:id="rIdHyperlink20"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AR-02I</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existing planner, recipe and provider metadata consumption; </w:t>
            </w:r>
            <w:hyperlink r:id="rIdHyperlink21" w:history="1">
              <w:r>
                <w:rPr>
                  <w:rFonts w:ascii="Calibri" w:hAnsi="Calibri" w:cs="Calibri"/>
                  <w:color w:val="2E74B5"/>
                  <w:u w:val="single"/>
                </w:rPr>
                <w:t>contract</w:t>
              </w:r>
            </w:hyperlink>
            <w:r>
              <w:rPr>
                <w:rFonts w:ascii="Calibri" w:hAnsi="Calibri" w:cs="Calibri"/>
              </w:rPr>
              <w:t xml:space="preserve">, </w:t>
            </w:r>
            <w:hyperlink r:id="rIdHyperlink22" w:history="1">
              <w:r>
                <w:rPr>
                  <w:rFonts w:ascii="Calibri" w:hAnsi="Calibri" w:cs="Calibri"/>
                  <w:color w:val="2E74B5"/>
                  <w:u w:val="single"/>
                </w:rPr>
                <w:t>report</w:t>
              </w:r>
            </w:hyperlink>
            <w:r>
              <w:rPr>
                <w:rFonts w:ascii="Calibri" w:hAnsi="Calibri" w:cs="Calibri"/>
              </w:rPr>
              <w:t xml:space="preserve">, </w:t>
            </w:r>
            <w:hyperlink r:id="rIdHyperlink23" w:history="1">
              <w:r>
                <w:rPr>
                  <w:rFonts w:ascii="Calibri" w:hAnsi="Calibri" w:cs="Calibri"/>
                  <w:color w:val="2E74B5"/>
                  <w:u w:val="single"/>
                </w:rPr>
                <w:t>parent evidence</w:t>
              </w:r>
            </w:hyperlink>
          </w:p>
        </w:tc>
        <w:tc>
          <w:tcPr>
            <w:tcW w:w="8460" w:type="dxa"/>
            <w:vAlign w:val="center"/>
          </w:tcPr>
          <w:p>
            <w:pPr>
              <w:pStyle w:val="TableText"/>
              <w:widowControl/>
            </w:pPr>
            <w:r>
              <w:rPr>
                <w:rFonts w:ascii="Calibri" w:hAnsi="Calibri" w:cs="Calibri"/>
                <w:b/>
                <w:bCs/>
              </w:rPr>
              <w:t>Baseline / closed</w:t>
            </w:r>
            <w:r>
              <w:rPr>
                <w:rFonts w:ascii="Calibri" w:hAnsi="Calibri" w:cs="Calibri"/>
              </w:rPr>
              <w:t xml:space="preserve"> upon acceptance/merge</w:t>
            </w:r>
          </w:p>
        </w:tc>
      </w:tr>
      <w:tr>
        <w:trPr>
          <w:cantSplit/>
        </w:trPr>
        <w:tc>
          <w:tcPr>
            <w:tcW w:w="1000" w:type="dxa"/>
            <w:vAlign w:val="center"/>
          </w:tcPr>
          <w:p>
            <w:pPr>
              <w:pStyle w:val="TableText"/>
              <w:widowControl/>
            </w:pPr>
            <w:r>
              <w:rPr>
                <w:rFonts w:ascii="Calibri" w:hAnsi="Calibri" w:cs="Calibri"/>
              </w:rPr>
              <w:t>AR-03B</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Renderer-free presentation construction and exact historical compatibility; </w:t>
            </w:r>
            <w:hyperlink r:id="rIdHyperlink24" w:history="1">
              <w:r>
                <w:rPr>
                  <w:rFonts w:ascii="Calibri" w:hAnsi="Calibri" w:cs="Calibri"/>
                  <w:color w:val="2E74B5"/>
                  <w:u w:val="single"/>
                </w:rPr>
                <w:t>contract</w:t>
              </w:r>
            </w:hyperlink>
            <w:r>
              <w:rPr>
                <w:rFonts w:ascii="Calibri" w:hAnsi="Calibri" w:cs="Calibri"/>
              </w:rPr>
              <w:t xml:space="preserve">, </w:t>
            </w:r>
            <w:hyperlink r:id="rIdHyperlink25"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AR-03C</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Current-authority validation, route projection/resolution and four preview import cutovers; </w:t>
            </w:r>
            <w:hyperlink r:id="rIdHyperlink26" w:history="1">
              <w:r>
                <w:rPr>
                  <w:rFonts w:ascii="Calibri" w:hAnsi="Calibri" w:cs="Calibri"/>
                  <w:color w:val="2E74B5"/>
                  <w:u w:val="single"/>
                </w:rPr>
                <w:t>contract</w:t>
              </w:r>
            </w:hyperlink>
            <w:r>
              <w:rPr>
                <w:rFonts w:ascii="Calibri" w:hAnsi="Calibri" w:cs="Calibri"/>
              </w:rPr>
              <w:t xml:space="preserve">, </w:t>
            </w:r>
            <w:hyperlink r:id="rIdHyperlink27"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AR-03D</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Design-selection contracts/operations and editor projection with three named consumer cutovers; </w:t>
            </w:r>
            <w:hyperlink r:id="rIdHyperlink28" w:history="1">
              <w:r>
                <w:rPr>
                  <w:rFonts w:ascii="Calibri" w:hAnsi="Calibri" w:cs="Calibri"/>
                  <w:color w:val="2E74B5"/>
                  <w:u w:val="single"/>
                </w:rPr>
                <w:t>contract</w:t>
              </w:r>
            </w:hyperlink>
            <w:r>
              <w:rPr>
                <w:rFonts w:ascii="Calibri" w:hAnsi="Calibri" w:cs="Calibri"/>
              </w:rPr>
              <w:t xml:space="preserve">, </w:t>
            </w:r>
            <w:hyperlink r:id="rIdHyperlink29"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AR-03E</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Legacy migration, distinct transient projections and shared bridge schemas; </w:t>
            </w:r>
            <w:hyperlink r:id="rIdHyperlink30" w:history="1">
              <w:r>
                <w:rPr>
                  <w:rFonts w:ascii="Calibri" w:hAnsi="Calibri" w:cs="Calibri"/>
                  <w:color w:val="2E74B5"/>
                  <w:u w:val="single"/>
                </w:rPr>
                <w:t>contract</w:t>
              </w:r>
            </w:hyperlink>
            <w:r>
              <w:rPr>
                <w:rFonts w:ascii="Calibri" w:hAnsi="Calibri" w:cs="Calibri"/>
              </w:rPr>
              <w:t xml:space="preserve">, </w:t>
            </w:r>
            <w:hyperlink r:id="rIdHyperlink31" w:history="1">
              <w:r>
                <w:rPr>
                  <w:rFonts w:ascii="Calibri" w:hAnsi="Calibri" w:cs="Calibri"/>
                  <w:color w:val="2E74B5"/>
                  <w:u w:val="single"/>
                </w:rPr>
                <w:t>report</w:t>
              </w:r>
            </w:hyperlink>
            <w:r>
              <w:rPr>
                <w:rFonts w:ascii="Calibri" w:hAnsi="Calibri" w:cs="Calibri"/>
              </w:rPr>
              <w:t xml:space="preserve">, </w:t>
            </w:r>
            <w:hyperlink r:id="rIdHyperlink32" w:history="1">
              <w:r>
                <w:rPr>
                  <w:rFonts w:ascii="Calibri" w:hAnsi="Calibri" w:cs="Calibri"/>
                  <w:color w:val="2E74B5"/>
                  <w:u w:val="single"/>
                </w:rPr>
                <w:t>parent acceptance</w:t>
              </w:r>
            </w:hyperlink>
          </w:p>
        </w:tc>
        <w:tc>
          <w:tcPr>
            <w:tcW w:w="8460" w:type="dxa"/>
            <w:vAlign w:val="center"/>
          </w:tcPr>
          <w:p>
            <w:pPr>
              <w:pStyle w:val="TableText"/>
              <w:widowControl/>
            </w:pPr>
            <w:r>
              <w:rPr>
                <w:rFonts w:ascii="Calibri" w:hAnsi="Calibri" w:cs="Calibri"/>
                <w:b/>
                <w:bCs/>
              </w:rPr>
              <w:t>Baseline / closed</w:t>
            </w:r>
          </w:p>
        </w:tc>
      </w:tr>
    </w:tbl>
    <w:p>
      <w:pPr>
        <w:pStyle w:val="Normal"/>
        <w:widowControl/>
      </w:pP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A-10C merges;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3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3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3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3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3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3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4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4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4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4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4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4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4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4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4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4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5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5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5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3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5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5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54" w:history="1">
        <w:r>
          <w:rPr>
            <w:rFonts w:ascii="Calibri" w:hAnsi="Calibri" w:cs="Calibri"/>
            <w:color w:val="2E74B5"/>
            <w:u w:val="single"/>
          </w:rPr>
          <w:t>VESKO_OPENAPI_CONTRACT_AUDIT.md</w:t>
        </w:r>
      </w:hyperlink>
      <w:r>
        <w:rPr>
          <w:rFonts w:ascii="Calibri" w:hAnsi="Calibri" w:cs="Calibri"/>
        </w:rPr>
        <w:t xml:space="preserve"> and </w:t>
      </w:r>
      <w:hyperlink r:id="rIdHyperlink5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governance/task-contracts/AR/AR-02A.json" TargetMode="External"/><Relationship Id="rIdHyperlink4" Type="http://schemas.openxmlformats.org/officeDocument/2006/relationships/hyperlink" Target="AR_02A_IMPLEMENTATION_REPORT.md" TargetMode="External"/><Relationship Id="rIdHyperlink5" Type="http://schemas.openxmlformats.org/officeDocument/2006/relationships/hyperlink" Target="governance/task-contracts/AR/AR-02B.json" TargetMode="External"/><Relationship Id="rIdHyperlink6" Type="http://schemas.openxmlformats.org/officeDocument/2006/relationships/hyperlink" Target="AR_02B_IMPLEMENTATION_REPORT.md" TargetMode="External"/><Relationship Id="rIdHyperlink7" Type="http://schemas.openxmlformats.org/officeDocument/2006/relationships/hyperlink" Target="governance/task-contracts/AR/AR-03A.json" TargetMode="External"/><Relationship Id="rIdHyperlink8" Type="http://schemas.openxmlformats.org/officeDocument/2006/relationships/hyperlink" Target="AR_03A_IMPLEMENTATION_REPORT.md" TargetMode="External"/><Relationship Id="rIdHyperlink9" Type="http://schemas.openxmlformats.org/officeDocument/2006/relationships/hyperlink" Target="governance/task-contracts/AR/AR-02C.json" TargetMode="External"/><Relationship Id="rIdHyperlink10" Type="http://schemas.openxmlformats.org/officeDocument/2006/relationships/hyperlink" Target="AR_02C_IMPLEMENTATION_REPORT.md" TargetMode="External"/><Relationship Id="rIdHyperlink11" Type="http://schemas.openxmlformats.org/officeDocument/2006/relationships/hyperlink" Target="governance/task-contracts/AR/AR-02D.json" TargetMode="External"/><Relationship Id="rIdHyperlink12" Type="http://schemas.openxmlformats.org/officeDocument/2006/relationships/hyperlink" Target="AR_02D_IMPLEMENTATION_REPORT.md" TargetMode="External"/><Relationship Id="rIdHyperlink13" Type="http://schemas.openxmlformats.org/officeDocument/2006/relationships/hyperlink" Target="governance/task-contracts/AR/AR-02E.json" TargetMode="External"/><Relationship Id="rIdHyperlink14" Type="http://schemas.openxmlformats.org/officeDocument/2006/relationships/hyperlink" Target="AR_02E_IMPLEMENTATION_REPORT.md" TargetMode="External"/><Relationship Id="rIdHyperlink15" Type="http://schemas.openxmlformats.org/officeDocument/2006/relationships/hyperlink" Target="governance/task-contracts/AR/AR-02F.json" TargetMode="External"/><Relationship Id="rIdHyperlink16" Type="http://schemas.openxmlformats.org/officeDocument/2006/relationships/hyperlink" Target="AR_02F_IMPLEMENTATION_REPORT.md" TargetMode="External"/><Relationship Id="rIdHyperlink17" Type="http://schemas.openxmlformats.org/officeDocument/2006/relationships/hyperlink" Target="governance/task-contracts/AR/AR-02G.json" TargetMode="External"/><Relationship Id="rIdHyperlink18" Type="http://schemas.openxmlformats.org/officeDocument/2006/relationships/hyperlink" Target="AR_02G_IMPLEMENTATION_REPORT.md" TargetMode="External"/><Relationship Id="rIdHyperlink19" Type="http://schemas.openxmlformats.org/officeDocument/2006/relationships/hyperlink" Target="governance/task-contracts/AR/AR-02H.json" TargetMode="External"/><Relationship Id="rIdHyperlink20" Type="http://schemas.openxmlformats.org/officeDocument/2006/relationships/hyperlink" Target="AR_02H_IMPLEMENTATION_REPORT.md" TargetMode="External"/><Relationship Id="rIdHyperlink21" Type="http://schemas.openxmlformats.org/officeDocument/2006/relationships/hyperlink" Target="governance/task-contracts/AR/AR-02I.json" TargetMode="External"/><Relationship Id="rIdHyperlink22" Type="http://schemas.openxmlformats.org/officeDocument/2006/relationships/hyperlink" Target="AR_02I_IMPLEMENTATION_REPORT.md" TargetMode="External"/><Relationship Id="rIdHyperlink23" Type="http://schemas.openxmlformats.org/officeDocument/2006/relationships/hyperlink" Target="AR_02_BOUNDARY_ACCEPTANCE.md" TargetMode="External"/><Relationship Id="rIdHyperlink24" Type="http://schemas.openxmlformats.org/officeDocument/2006/relationships/hyperlink" Target="governance/task-contracts/AR/AR-03B.json" TargetMode="External"/><Relationship Id="rIdHyperlink25" Type="http://schemas.openxmlformats.org/officeDocument/2006/relationships/hyperlink" Target="AR_03B_IMPLEMENTATION_REPORT.md" TargetMode="External"/><Relationship Id="rIdHyperlink26" Type="http://schemas.openxmlformats.org/officeDocument/2006/relationships/hyperlink" Target="governance/task-contracts/AR/AR-03C.json" TargetMode="External"/><Relationship Id="rIdHyperlink27" Type="http://schemas.openxmlformats.org/officeDocument/2006/relationships/hyperlink" Target="AR_03C_IMPLEMENTATION_REPORT.md" TargetMode="External"/><Relationship Id="rIdHyperlink28" Type="http://schemas.openxmlformats.org/officeDocument/2006/relationships/hyperlink" Target="governance/task-contracts/AR/AR-03D.json" TargetMode="External"/><Relationship Id="rIdHyperlink29" Type="http://schemas.openxmlformats.org/officeDocument/2006/relationships/hyperlink" Target="AR_03D_IMPLEMENTATION_REPORT.md" TargetMode="External"/><Relationship Id="rIdHyperlink30" Type="http://schemas.openxmlformats.org/officeDocument/2006/relationships/hyperlink" Target="governance/task-contracts/AR/AR-03E.json" TargetMode="External"/><Relationship Id="rIdHyperlink31" Type="http://schemas.openxmlformats.org/officeDocument/2006/relationships/hyperlink" Target="AR_03E_IMPLEMENTATION_REPORT.md" TargetMode="External"/><Relationship Id="rIdHyperlink32" Type="http://schemas.openxmlformats.org/officeDocument/2006/relationships/hyperlink" Target="AR_03_BOUNDARY_ACCEPTANCE.md" TargetMode="External"/><Relationship Id="rIdHyperlink33" Type="http://schemas.openxmlformats.org/officeDocument/2006/relationships/hyperlink" Target="P10A_PHASE_CLOSURE.md" TargetMode="External"/><Relationship Id="rIdHyperlink34" Type="http://schemas.openxmlformats.org/officeDocument/2006/relationships/hyperlink" Target="P10B_COMMERCIAL_STOREFRONT_GENERATION_ARCHITECTURE.md" TargetMode="External"/><Relationship Id="rIdHyperlink35" Type="http://schemas.openxmlformats.org/officeDocument/2006/relationships/hyperlink" Target="P10B_16P_04_REAL_STUDIO_DESIGN_INTENT_ACCEPTANCE.md" TargetMode="External"/><Relationship Id="rIdHyperlink36" Type="http://schemas.openxmlformats.org/officeDocument/2006/relationships/hyperlink" Target="P10B_01_COMMERCIAL_DESIGN_GRAMMAR.md" TargetMode="External"/><Relationship Id="rIdHyperlink37" Type="http://schemas.openxmlformats.org/officeDocument/2006/relationships/hyperlink" Target="P10B_02_PARAMETRIC_BRAND_SYSTEM.md" TargetMode="External"/><Relationship Id="rIdHyperlink38" Type="http://schemas.openxmlformats.org/officeDocument/2006/relationships/hyperlink" Target="P10B_03_COMPONENT_ANATOMY_AND_MEANINGFUL_VARIANTS.md" TargetMode="External"/><Relationship Id="rIdHyperlink39" Type="http://schemas.openxmlformats.org/officeDocument/2006/relationships/hyperlink" Target="P10B_04_RESPONSIVE_IMAGE_ART_DIRECTION.md" TargetMode="External"/><Relationship Id="rIdHyperlink40" Type="http://schemas.openxmlformats.org/officeDocument/2006/relationships/hyperlink" Target="P10B_05_SITE_MAP_AND_PAGE_FAMILY_AUTHORITY.md" TargetMode="External"/><Relationship Id="rIdHyperlink41" Type="http://schemas.openxmlformats.org/officeDocument/2006/relationships/hyperlink" Target="P10B_06_COMMERCIAL_SHARED_FRAME_FAMILIES.md" TargetMode="External"/><Relationship Id="rIdHyperlink42" Type="http://schemas.openxmlformats.org/officeDocument/2006/relationships/hyperlink" Target="P10B_07_HERO_EDITORIAL_CAMPAIGN_PROOF_FAMILIES.md" TargetMode="External"/><Relationship Id="rIdHyperlink43" Type="http://schemas.openxmlformats.org/officeDocument/2006/relationships/hyperlink" Target="P10B_08_CANONICAL_PRODUCT_CARD_AND_MERCHANDISING.md" TargetMode="External"/><Relationship Id="rIdHyperlink44" Type="http://schemas.openxmlformats.org/officeDocument/2006/relationships/hyperlink" Target="P10B_09_COMMERCIAL_HOMEPAGE_PROFILE_LIBRARY.md" TargetMode="External"/><Relationship Id="rIdHyperlink45" Type="http://schemas.openxmlformats.org/officeDocument/2006/relationships/hyperlink" Target="P10B_10_COMMERCIAL_COLLECTION_SEARCH_PROFILES.md" TargetMode="External"/><Relationship Id="rIdHyperlink46" Type="http://schemas.openxmlformats.org/officeDocument/2006/relationships/hyperlink" Target="P10B_12_CONTENT_AND_SUPPORT_PAGE_FAMILIES.md" TargetMode="External"/><Relationship Id="rIdHyperlink47" Type="http://schemas.openxmlformats.org/officeDocument/2006/relationships/hyperlink" Target="P10B_13_COMMERCE_UTILITY_PRESENTATION_PAGES.md" TargetMode="External"/><Relationship Id="rIdHyperlink48" Type="http://schemas.openxmlformats.org/officeDocument/2006/relationships/hyperlink" Target="P10B_14_PREMIUM_EDITORIAL_COMPLETE_STOREFRONT_VERTICAL_SLICE.md" TargetMode="External"/><Relationship Id="rIdHyperlink49" Type="http://schemas.openxmlformats.org/officeDocument/2006/relationships/hyperlink" Target="P10B_15_BOUNDED_STOREFRONT_SYNTHESIS_AND_NARRATIVE_ENGINE.md" TargetMode="External"/><Relationship Id="rIdHyperlink50" Type="http://schemas.openxmlformats.org/officeDocument/2006/relationships/hyperlink" Target="P10B_16_COORDINATED_DIRECTIONS_AND_DIVERSITY_CONTROL.md" TargetMode="External"/><Relationship Id="rIdHyperlink51" Type="http://schemas.openxmlformats.org/officeDocument/2006/relationships/hyperlink" Target="P10B_16P_01_DYNAMIC_COMMERCE_ROUTE_ARCHETYPES.md" TargetMode="External"/><Relationship Id="rIdHyperlink52" Type="http://schemas.openxmlformats.org/officeDocument/2006/relationships/hyperlink" Target="P10B_16P_02_PROMPTED_STOREFRONT_DESIGN_PLAN_V2.md" TargetMode="External"/><Relationship Id="rIdHyperlink53" Type="http://schemas.openxmlformats.org/officeDocument/2006/relationships/hyperlink" Target="P10B_18_COMMERCIAL_QUALITY_AUDIT.md" TargetMode="External"/><Relationship Id="rIdHyperlink54" Type="http://schemas.openxmlformats.org/officeDocument/2006/relationships/hyperlink" Target="VESKO_OPENAPI_CONTRACT_AUDIT.md" TargetMode="External"/><Relationship Id="rIdHyperlink5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82afc4cde69b338dae4fd24db7aec41514f501c960a731979e30ad714dc8f1e9</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