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4 September 2026, P10B-19A-10C P10B-19A Closure and Product-Owner Architecture Gate</w:t>
      </w:r>
    </w:p>
    <w:p>
      <w:pPr>
        <w:pStyle w:val="CoverMeta"/>
        <w:jc w:val="center"/>
        <w:widowControl/>
      </w:pPr>
      <w:r>
        <w:rPr>
          <w:rFonts w:ascii="Calibri" w:hAnsi="Calibri" w:cs="Calibri"/>
        </w:rPr>
        <w:t>Effective upon explicit AR-03B acceptance/merge: AR-02A through AR-02H and AR-03A/AR-03B Baseline / closed; AR-02 and AR-03 Partial; AR-23 eligible / unstarted; BATCH-04 complete; AR-03C next only after B merge and safe synchronization</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Candidate status effective upon explicit owner acceptance/merge of AR-03B:</w:t>
      </w:r>
      <w:r>
        <w:rPr>
          <w:rFonts w:ascii="Calibri" w:hAnsi="Calibri" w:cs="Calibri"/>
        </w:rPr>
        <w:t xml:space="preserve"> This projection does not claim that this PR has merged or that owner acceptance has occurred. </w:t>
      </w:r>
      <w:r>
        <w:rPr>
          <w:rFonts w:ascii="Calibri" w:hAnsi="Calibri" w:cs="Calibri"/>
          <w:b/>
          <w:bCs/>
        </w:rPr>
        <w:t>AR-00 current status authority:</w:t>
      </w:r>
      <w:r>
        <w:rPr>
          <w:rFonts w:ascii="Calibri" w:hAnsi="Calibri" w:cs="Calibri"/>
        </w:rPr>
        <w:t xml:space="preserve"> </w:t>
      </w:r>
      <w:r>
        <w:rPr>
          <w:rFonts w:ascii="Calibri" w:hAnsi="Calibri" w:cs="Calibri"/>
          <w:b/>
          <w:bCs/>
        </w:rPr>
        <w:t>Baseline / closed.</w:t>
      </w:r>
      <w:r>
        <w:rPr>
          <w:rFonts w:ascii="Calibri" w:hAnsi="Calibri" w:cs="Calibri"/>
        </w:rPr>
        <w:t xml:space="preserve"> AR-01 is </w:t>
      </w:r>
      <w:r>
        <w:rPr>
          <w:rFonts w:ascii="Calibri" w:hAnsi="Calibri" w:cs="Calibri"/>
          <w:b/>
          <w:bCs/>
        </w:rPr>
        <w:t>Baseline / closed.</w:t>
      </w:r>
      <w:r>
        <w:rPr>
          <w:rFonts w:ascii="Calibri" w:hAnsi="Calibri" w:cs="Calibri"/>
        </w:rPr>
        <w:t xml:space="preserve"> AR-02A is </w:t>
      </w:r>
      <w:r>
        <w:rPr>
          <w:rFonts w:ascii="Calibri" w:hAnsi="Calibri" w:cs="Calibri"/>
          <w:b/>
          <w:bCs/>
        </w:rPr>
        <w:t>Baseline / closed.</w:t>
      </w:r>
      <w:r>
        <w:rPr>
          <w:rFonts w:ascii="Calibri" w:hAnsi="Calibri" w:cs="Calibri"/>
        </w:rPr>
        <w:t xml:space="preserve"> AR-02B is </w:t>
      </w:r>
      <w:r>
        <w:rPr>
          <w:rFonts w:ascii="Calibri" w:hAnsi="Calibri" w:cs="Calibri"/>
          <w:b/>
          <w:bCs/>
        </w:rPr>
        <w:t>Baseline / closed.</w:t>
      </w:r>
      <w:r>
        <w:rPr>
          <w:rFonts w:ascii="Calibri" w:hAnsi="Calibri" w:cs="Calibri"/>
        </w:rPr>
        <w:t xml:space="preserve"> AR-02C is </w:t>
      </w:r>
      <w:r>
        <w:rPr>
          <w:rFonts w:ascii="Calibri" w:hAnsi="Calibri" w:cs="Calibri"/>
          <w:b/>
          <w:bCs/>
        </w:rPr>
        <w:t>Baseline / closed.</w:t>
      </w:r>
      <w:r>
        <w:rPr>
          <w:rFonts w:ascii="Calibri" w:hAnsi="Calibri" w:cs="Calibri"/>
        </w:rPr>
        <w:t xml:space="preserve"> AR-02D is </w:t>
      </w:r>
      <w:r>
        <w:rPr>
          <w:rFonts w:ascii="Calibri" w:hAnsi="Calibri" w:cs="Calibri"/>
          <w:b/>
          <w:bCs/>
        </w:rPr>
        <w:t>Baseline / closed.</w:t>
      </w:r>
      <w:r>
        <w:rPr>
          <w:rFonts w:ascii="Calibri" w:hAnsi="Calibri" w:cs="Calibri"/>
        </w:rPr>
        <w:t xml:space="preserve"> AR-02E is </w:t>
      </w:r>
      <w:r>
        <w:rPr>
          <w:rFonts w:ascii="Calibri" w:hAnsi="Calibri" w:cs="Calibri"/>
          <w:b/>
          <w:bCs/>
        </w:rPr>
        <w:t>Baseline / closed.</w:t>
      </w:r>
      <w:r>
        <w:rPr>
          <w:rFonts w:ascii="Calibri" w:hAnsi="Calibri" w:cs="Calibri"/>
        </w:rPr>
        <w:t xml:space="preserve"> AR-02F is </w:t>
      </w:r>
      <w:r>
        <w:rPr>
          <w:rFonts w:ascii="Calibri" w:hAnsi="Calibri" w:cs="Calibri"/>
          <w:b/>
          <w:bCs/>
        </w:rPr>
        <w:t>Baseline / closed.</w:t>
      </w:r>
      <w:r>
        <w:rPr>
          <w:rFonts w:ascii="Calibri" w:hAnsi="Calibri" w:cs="Calibri"/>
        </w:rPr>
        <w:t xml:space="preserve"> AR-02G is </w:t>
      </w:r>
      <w:r>
        <w:rPr>
          <w:rFonts w:ascii="Calibri" w:hAnsi="Calibri" w:cs="Calibri"/>
          <w:b/>
          <w:bCs/>
        </w:rPr>
        <w:t>Baseline / closed.</w:t>
      </w:r>
      <w:r>
        <w:rPr>
          <w:rFonts w:ascii="Calibri" w:hAnsi="Calibri" w:cs="Calibri"/>
        </w:rPr>
        <w:t xml:space="preserve"> AR-02H is </w:t>
      </w:r>
      <w:r>
        <w:rPr>
          <w:rFonts w:ascii="Calibri" w:hAnsi="Calibri" w:cs="Calibri"/>
          <w:b/>
          <w:bCs/>
        </w:rPr>
        <w:t>Baseline / closed.</w:t>
      </w:r>
      <w:r>
        <w:rPr>
          <w:rFonts w:ascii="Calibri" w:hAnsi="Calibri" w:cs="Calibri"/>
        </w:rPr>
        <w:t xml:space="preserve"> AR-02 is </w:t>
      </w:r>
      <w:r>
        <w:rPr>
          <w:rFonts w:ascii="Calibri" w:hAnsi="Calibri" w:cs="Calibri"/>
          <w:b/>
          <w:bCs/>
        </w:rPr>
        <w:t>Partial</w:t>
      </w:r>
      <w:r>
        <w:rPr>
          <w:rFonts w:ascii="Calibri" w:hAnsi="Calibri" w:cs="Calibri"/>
        </w:rPr>
        <w:t xml:space="preserve">; remaining consumer/materializer isolation remains. AR-03 is </w:t>
      </w:r>
      <w:r>
        <w:rPr>
          <w:rFonts w:ascii="Calibri" w:hAnsi="Calibri" w:cs="Calibri"/>
          <w:b/>
          <w:bCs/>
        </w:rPr>
        <w:t>Partial</w:t>
      </w:r>
      <w:r>
        <w:rPr>
          <w:rFonts w:ascii="Calibri" w:hAnsi="Calibri" w:cs="Calibri"/>
        </w:rPr>
        <w:t xml:space="preserve">; route resolution, editor, migration, and expand/fold isolation remain. AR-03A is </w:t>
      </w:r>
      <w:r>
        <w:rPr>
          <w:rFonts w:ascii="Calibri" w:hAnsi="Calibri" w:cs="Calibri"/>
          <w:b/>
          <w:bCs/>
        </w:rPr>
        <w:t>Baseline / closed.</w:t>
      </w:r>
      <w:r>
        <w:rPr>
          <w:rFonts w:ascii="Calibri" w:hAnsi="Calibri" w:cs="Calibri"/>
        </w:rPr>
        <w:t xml:space="preserve"> AR-03B is </w:t>
      </w:r>
      <w:r>
        <w:rPr>
          <w:rFonts w:ascii="Calibri" w:hAnsi="Calibri" w:cs="Calibri"/>
          <w:b/>
          <w:bCs/>
        </w:rPr>
        <w:t>Baseline / closed upon explicit owner acceptance/merge.</w:t>
      </w:r>
      <w:r>
        <w:rPr>
          <w:rFonts w:ascii="Calibri" w:hAnsi="Calibri" w:cs="Calibri"/>
        </w:rPr>
        <w:t xml:space="preserve"> AR-23 is </w:t>
      </w:r>
      <w:r>
        <w:rPr>
          <w:rFonts w:ascii="Calibri" w:hAnsi="Calibri" w:cs="Calibri"/>
          <w:b/>
          <w:bCs/>
        </w:rPr>
        <w:t>Planned / unstarted</w:t>
      </w:r>
      <w:r>
        <w:rPr>
          <w:rFonts w:ascii="Calibri" w:hAnsi="Calibri" w:cs="Calibri"/>
        </w:rPr>
        <w:t xml:space="preserve">. AR-23 depends on AR-01 and is not serialized behind visual work. BATCH-03 is complete. BATCH-04 is complete. AR-03C is the sole next task after AR-03B acceptance/merge and safe main synchronization. BATCH-05 selects no third task. This tracker owns current status; the roadmap owns dependency order. Retained B01 exact-next, fixed-two-call/mandatory-three-concept, transient-only, and 73-child future-sequence statements are </w:t>
      </w:r>
      <w:r>
        <w:rPr>
          <w:rFonts w:ascii="Calibri" w:hAnsi="Calibri" w:cs="Calibri"/>
          <w:b/>
          <w:bCs/>
        </w:rPr>
        <w:t>historical pre-AR future policy</w:t>
      </w:r>
      <w:r>
        <w:rPr>
          <w:rFonts w:ascii="Calibri" w:hAnsi="Calibri" w:cs="Calibri"/>
        </w:rPr>
        <w:t xml:space="preserve"> superseded by the incorporated addendum; accepted history, functional requirements, and current capability truth remain binding.</w:t>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cantSplit/>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cantSplit/>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4 September 2026, P10B-19A-10C P10B-19A Closure and Product-Owner Architecture Gate</w:t>
            </w:r>
          </w:p>
        </w:tc>
      </w:tr>
      <w:tr>
        <w:trPr>
          <w:cantSplit/>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cantSplit/>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cantSplit/>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cantSplit/>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cantSplit/>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Child</w:t>
            </w:r>
          </w:p>
        </w:tc>
        <w:tc>
          <w:tcPr>
            <w:tcW w:w="1500" w:type="dxa"/>
            <w:vAlign w:val="center"/>
            <w:shd w:val="clear" w:fill="E8EEF5"/>
          </w:tcPr>
          <w:p>
            <w:pPr>
              <w:pStyle w:val="TableHeader"/>
              <w:jc w:val="center"/>
              <w:widowControl/>
            </w:pPr>
            <w:r>
              <w:rPr>
                <w:rFonts w:ascii="Calibri" w:hAnsi="Calibri" w:cs="Calibri"/>
              </w:rPr>
              <w:t>Parent</w:t>
            </w:r>
          </w:p>
        </w:tc>
        <w:tc>
          <w:tcPr>
            <w:tcW w:w="2000" w:type="dxa"/>
            <w:vAlign w:val="center"/>
            <w:shd w:val="clear" w:fill="E8EEF5"/>
          </w:tcPr>
          <w:p>
            <w:pPr>
              <w:pStyle w:val="TableHeader"/>
              <w:jc w:val="center"/>
              <w:widowControl/>
            </w:pPr>
            <w:r>
              <w:rPr>
                <w:rFonts w:ascii="Calibri" w:hAnsi="Calibri" w:cs="Calibri"/>
              </w:rPr>
              <w:t>Bounded outcome and evidence</w:t>
            </w:r>
          </w:p>
        </w:tc>
        <w:tc>
          <w:tcPr>
            <w:tcW w:w="8460" w:type="dxa"/>
            <w:vAlign w:val="center"/>
            <w:shd w:val="clear" w:fill="E8EEF5"/>
          </w:tcPr>
          <w:p>
            <w:pPr>
              <w:pStyle w:val="TableHeader"/>
              <w:jc w:val="center"/>
              <w:widowControl/>
            </w:pPr>
            <w:r>
              <w:rPr>
                <w:rFonts w:ascii="Calibri" w:hAnsi="Calibri" w:cs="Calibri"/>
              </w:rPr>
              <w:t>Status effective on AR-03B acceptance/merge</w:t>
            </w:r>
          </w:p>
        </w:tc>
      </w:tr>
      <w:tr>
        <w:trPr>
          <w:cantSplit/>
        </w:trPr>
        <w:tc>
          <w:tcPr>
            <w:tcW w:w="1000" w:type="dxa"/>
            <w:vAlign w:val="center"/>
          </w:tcPr>
          <w:p>
            <w:pPr>
              <w:pStyle w:val="TableText"/>
              <w:widowControl/>
            </w:pPr>
            <w:r>
              <w:rPr>
                <w:rFonts w:ascii="Calibri" w:hAnsi="Calibri" w:cs="Calibri"/>
              </w:rPr>
              <w:t>AR-02A</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Separate live renderer observation and composition; </w:t>
            </w:r>
            <w:hyperlink r:id="rIdHyperlink3" w:history="1">
              <w:r>
                <w:rPr>
                  <w:rFonts w:ascii="Calibri" w:hAnsi="Calibri" w:cs="Calibri"/>
                  <w:color w:val="2E74B5"/>
                  <w:u w:val="single"/>
                </w:rPr>
                <w:t>contract</w:t>
              </w:r>
            </w:hyperlink>
            <w:r>
              <w:rPr>
                <w:rFonts w:ascii="Calibri" w:hAnsi="Calibri" w:cs="Calibri"/>
              </w:rPr>
              <w:t xml:space="preserve">, </w:t>
            </w:r>
            <w:hyperlink r:id="rIdHyperlink4"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AR-02B</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renderer-free deterministic conformance evaluation; </w:t>
            </w:r>
            <w:hyperlink r:id="rIdHyperlink5" w:history="1">
              <w:r>
                <w:rPr>
                  <w:rFonts w:ascii="Calibri" w:hAnsi="Calibri" w:cs="Calibri"/>
                  <w:color w:val="2E74B5"/>
                  <w:u w:val="single"/>
                </w:rPr>
                <w:t>contract</w:t>
              </w:r>
            </w:hyperlink>
            <w:r>
              <w:rPr>
                <w:rFonts w:ascii="Calibri" w:hAnsi="Calibri" w:cs="Calibri"/>
              </w:rPr>
              <w:t xml:space="preserve">, </w:t>
            </w:r>
            <w:hyperlink r:id="rIdHyperlink6"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AR-03A</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Extract route matching and errors; </w:t>
            </w:r>
            <w:hyperlink r:id="rIdHyperlink7" w:history="1">
              <w:r>
                <w:rPr>
                  <w:rFonts w:ascii="Calibri" w:hAnsi="Calibri" w:cs="Calibri"/>
                  <w:color w:val="2E74B5"/>
                  <w:u w:val="single"/>
                </w:rPr>
                <w:t>contract</w:t>
              </w:r>
            </w:hyperlink>
            <w:r>
              <w:rPr>
                <w:rFonts w:ascii="Calibri" w:hAnsi="Calibri" w:cs="Calibri"/>
              </w:rPr>
              <w:t xml:space="preserve">, </w:t>
            </w:r>
            <w:hyperlink r:id="rIdHyperlink8"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AR-02C</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utility metadata and remove the supported-vocabulary renderer edge; </w:t>
            </w:r>
            <w:hyperlink r:id="rIdHyperlink9" w:history="1">
              <w:r>
                <w:rPr>
                  <w:rFonts w:ascii="Calibri" w:hAnsi="Calibri" w:cs="Calibri"/>
                  <w:color w:val="2E74B5"/>
                  <w:u w:val="single"/>
                </w:rPr>
                <w:t>contract</w:t>
              </w:r>
            </w:hyperlink>
            <w:r>
              <w:rPr>
                <w:rFonts w:ascii="Calibri" w:hAnsi="Calibri" w:cs="Calibri"/>
              </w:rPr>
              <w:t xml:space="preserve">, </w:t>
            </w:r>
            <w:hyperlink r:id="rIdHyperlink10"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AR-02D</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homepage and hero renderer-free metadata; </w:t>
            </w:r>
            <w:hyperlink r:id="rIdHyperlink11" w:history="1">
              <w:r>
                <w:rPr>
                  <w:rFonts w:ascii="Calibri" w:hAnsi="Calibri" w:cs="Calibri"/>
                  <w:color w:val="2E74B5"/>
                  <w:u w:val="single"/>
                </w:rPr>
                <w:t>contract</w:t>
              </w:r>
            </w:hyperlink>
            <w:r>
              <w:rPr>
                <w:rFonts w:ascii="Calibri" w:hAnsi="Calibri" w:cs="Calibri"/>
              </w:rPr>
              <w:t xml:space="preserve">, </w:t>
            </w:r>
            <w:hyperlink r:id="rIdHyperlink12"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AR-02E</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collection and product renderer-free metadata; </w:t>
            </w:r>
            <w:hyperlink r:id="rIdHyperlink13" w:history="1">
              <w:r>
                <w:rPr>
                  <w:rFonts w:ascii="Calibri" w:hAnsi="Calibri" w:cs="Calibri"/>
                  <w:color w:val="2E74B5"/>
                  <w:u w:val="single"/>
                </w:rPr>
                <w:t>contract</w:t>
              </w:r>
            </w:hyperlink>
            <w:r>
              <w:rPr>
                <w:rFonts w:ascii="Calibri" w:hAnsi="Calibri" w:cs="Calibri"/>
              </w:rPr>
              <w:t xml:space="preserve">, </w:t>
            </w:r>
            <w:hyperlink r:id="rIdHyperlink14"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AR-02F</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Adapt V2 definitions from shared renderer-free metadata; </w:t>
            </w:r>
            <w:hyperlink r:id="rIdHyperlink15" w:history="1">
              <w:r>
                <w:rPr>
                  <w:rFonts w:ascii="Calibri" w:hAnsi="Calibri" w:cs="Calibri"/>
                  <w:color w:val="2E74B5"/>
                  <w:u w:val="single"/>
                </w:rPr>
                <w:t>contract</w:t>
              </w:r>
            </w:hyperlink>
            <w:r>
              <w:rPr>
                <w:rFonts w:ascii="Calibri" w:hAnsi="Calibri" w:cs="Calibri"/>
              </w:rPr>
              <w:t xml:space="preserve">, </w:t>
            </w:r>
            <w:hyperlink r:id="rIdHyperlink16"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AR-02G</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template capability boundary and explicit utility historical-source transition; </w:t>
            </w:r>
            <w:hyperlink r:id="rIdHyperlink17" w:history="1">
              <w:r>
                <w:rPr>
                  <w:rFonts w:ascii="Calibri" w:hAnsi="Calibri" w:cs="Calibri"/>
                  <w:color w:val="2E74B5"/>
                  <w:u w:val="single"/>
                </w:rPr>
                <w:t>contract</w:t>
              </w:r>
            </w:hyperlink>
            <w:r>
              <w:rPr>
                <w:rFonts w:ascii="Calibri" w:hAnsi="Calibri" w:cs="Calibri"/>
              </w:rPr>
              <w:t xml:space="preserve">, </w:t>
            </w:r>
            <w:hyperlink r:id="rIdHyperlink18"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AR-02H</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Semantic request boundary and explicit direction historical-source transition; </w:t>
            </w:r>
            <w:hyperlink r:id="rIdHyperlink19" w:history="1">
              <w:r>
                <w:rPr>
                  <w:rFonts w:ascii="Calibri" w:hAnsi="Calibri" w:cs="Calibri"/>
                  <w:color w:val="2E74B5"/>
                  <w:u w:val="single"/>
                </w:rPr>
                <w:t>contract</w:t>
              </w:r>
            </w:hyperlink>
            <w:r>
              <w:rPr>
                <w:rFonts w:ascii="Calibri" w:hAnsi="Calibri" w:cs="Calibri"/>
              </w:rPr>
              <w:t xml:space="preserve">, </w:t>
            </w:r>
            <w:hyperlink r:id="rIdHyperlink20"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AR-03B</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Renderer-free presentation construction and exact historical compatibility; </w:t>
            </w:r>
            <w:hyperlink r:id="rIdHyperlink21" w:history="1">
              <w:r>
                <w:rPr>
                  <w:rFonts w:ascii="Calibri" w:hAnsi="Calibri" w:cs="Calibri"/>
                  <w:color w:val="2E74B5"/>
                  <w:u w:val="single"/>
                </w:rPr>
                <w:t>contract</w:t>
              </w:r>
            </w:hyperlink>
            <w:r>
              <w:rPr>
                <w:rFonts w:ascii="Calibri" w:hAnsi="Calibri" w:cs="Calibri"/>
              </w:rPr>
              <w:t xml:space="preserve">, </w:t>
            </w:r>
            <w:hyperlink r:id="rIdHyperlink22"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r>
              <w:rPr>
                <w:rFonts w:ascii="Calibri" w:hAnsi="Calibri" w:cs="Calibri"/>
              </w:rPr>
              <w:t xml:space="preserve"> upon acceptance/merge</w:t>
            </w:r>
          </w:p>
        </w:tc>
      </w:tr>
    </w:tbl>
    <w:p>
      <w:pPr>
        <w:pStyle w:val="Normal"/>
        <w:widowControl/>
      </w:pP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Accepted structural closure; retained execution; frozen architecture, predecessor and zero-production authority; explicit product-owner acceptance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Exact six-role and seven-kind directed relationship vocabulary, strict immutable value object, deterministic key, duplicate rejection and canonical collection order; zero records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P10B-19A-03</w:t>
            </w:r>
          </w:p>
        </w:tc>
        <w:tc>
          <w:tcPr>
            <w:tcW w:w="2800" w:type="dxa"/>
            <w:vAlign w:val="center"/>
          </w:tcPr>
          <w:p>
            <w:pPr>
              <w:pStyle w:val="CompactTableText"/>
              <w:widowControl/>
            </w:pPr>
            <w:r>
              <w:rPr>
                <w:rFonts w:ascii="Calibri" w:hAnsi="Calibri" w:cs="Calibri"/>
              </w:rPr>
              <w:t>Required page structures and PageBlueprint v2 dispatch</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P10B-19A-02 merged</w:t>
            </w:r>
          </w:p>
        </w:tc>
        <w:tc>
          <w:tcPr>
            <w:tcW w:w="2890" w:type="dxa"/>
            <w:vAlign w:val="center"/>
          </w:tcPr>
          <w:p>
            <w:pPr>
              <w:pStyle w:val="CompactTableText"/>
              <w:widowControl/>
            </w:pPr>
            <w:r>
              <w:rPr>
                <w:rFonts w:ascii="Calibri" w:hAnsi="Calibri" w:cs="Calibri"/>
              </w:rPr>
              <w:t>Explicit v1/v2 contract dispatch, strict inactive v2 regions, minimum roles, bounded graph/order invariants and deterministic canonicalization; zero v2 records, registry, persistence or consumers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P10B-19A-04</w:t>
            </w:r>
          </w:p>
        </w:tc>
        <w:tc>
          <w:tcPr>
            <w:tcW w:w="2800" w:type="dxa"/>
            <w:vAlign w:val="center"/>
          </w:tcPr>
          <w:p>
            <w:pPr>
              <w:pStyle w:val="CompactTableText"/>
              <w:widowControl/>
            </w:pPr>
            <w:r>
              <w:rPr>
                <w:rFonts w:ascii="Calibri" w:hAnsi="Calibri" w:cs="Calibri"/>
              </w:rPr>
              <w:t>Asset-Role Compatibility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P10B-19A-03 merged</w:t>
            </w:r>
          </w:p>
        </w:tc>
        <w:tc>
          <w:tcPr>
            <w:tcW w:w="2890" w:type="dxa"/>
            <w:vAlign w:val="center"/>
          </w:tcPr>
          <w:p>
            <w:pPr>
              <w:pStyle w:val="CompactTableText"/>
              <w:widowControl/>
            </w:pPr>
            <w:r>
              <w:rPr>
                <w:rFonts w:ascii="Calibri" w:hAnsi="Calibri" w:cs="Calibri"/>
              </w:rPr>
              <w:t>Exact ordered nine-role authority, strict blueprint/region binding, bounded per-role cardinality and deterministic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P10B-19A-05</w:t>
            </w:r>
          </w:p>
        </w:tc>
        <w:tc>
          <w:tcPr>
            <w:tcW w:w="2800" w:type="dxa"/>
            <w:vAlign w:val="center"/>
          </w:tcPr>
          <w:p>
            <w:pPr>
              <w:pStyle w:val="CompactTableText"/>
              <w:widowControl/>
            </w:pPr>
            <w:r>
              <w:rPr>
                <w:rFonts w:ascii="Calibri" w:hAnsi="Calibri" w:cs="Calibri"/>
              </w:rPr>
              <w:t>Responsive-Rule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P10B-19A-04 merged</w:t>
            </w:r>
          </w:p>
        </w:tc>
        <w:tc>
          <w:tcPr>
            <w:tcW w:w="2890" w:type="dxa"/>
            <w:vAlign w:val="center"/>
          </w:tcPr>
          <w:p>
            <w:pPr>
              <w:pStyle w:val="CompactTableText"/>
              <w:widowControl/>
            </w:pPr>
            <w:r>
              <w:rPr>
                <w:rFonts w:ascii="Calibri" w:hAnsi="Calibri" w:cs="Calibri"/>
              </w:rPr>
              <w:t>Strict four-breakpoint structural responsive contract, explicit order/region/relationship coverage and deterministic accessible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P10B-19A-06</w:t>
            </w:r>
          </w:p>
        </w:tc>
        <w:tc>
          <w:tcPr>
            <w:tcW w:w="2800" w:type="dxa"/>
            <w:vAlign w:val="center"/>
          </w:tcPr>
          <w:p>
            <w:pPr>
              <w:pStyle w:val="CompactTableText"/>
              <w:widowControl/>
            </w:pPr>
            <w:r>
              <w:rPr>
                <w:rFonts w:ascii="Calibri" w:hAnsi="Calibri" w:cs="Calibri"/>
              </w:rPr>
              <w:t>Omission, Substitution and Fallback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P10B-19A-05 merged</w:t>
            </w:r>
          </w:p>
        </w:tc>
        <w:tc>
          <w:tcPr>
            <w:tcW w:w="2890" w:type="dxa"/>
            <w:vAlign w:val="center"/>
          </w:tcPr>
          <w:p>
            <w:pPr>
              <w:pStyle w:val="CompactTableText"/>
              <w:widowControl/>
            </w:pPr>
            <w:r>
              <w:rPr>
                <w:rFonts w:ascii="Calibri" w:hAnsi="Calibri" w:cs="Calibri"/>
              </w:rPr>
              <w:t>Strict required-asset-role trigger coverage, safe optional omission and ordered whole-blueprint substitution references;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P10B-19A-07</w:t>
            </w:r>
          </w:p>
        </w:tc>
        <w:tc>
          <w:tcPr>
            <w:tcW w:w="2800" w:type="dxa"/>
            <w:vAlign w:val="center"/>
          </w:tcPr>
          <w:p>
            <w:pPr>
              <w:pStyle w:val="CompactTableText"/>
              <w:widowControl/>
            </w:pPr>
            <w:r>
              <w:rPr>
                <w:rFonts w:ascii="Calibri" w:hAnsi="Calibri" w:cs="Calibri"/>
              </w:rPr>
              <w:t>Inactive Family Registry and Candidate Fingerprints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through P10B-19A-06 merged</w:t>
            </w:r>
          </w:p>
        </w:tc>
        <w:tc>
          <w:tcPr>
            <w:tcW w:w="2890" w:type="dxa"/>
            <w:vAlign w:val="center"/>
          </w:tcPr>
          <w:p>
            <w:pPr>
              <w:pStyle w:val="CompactTableText"/>
              <w:widowControl/>
            </w:pPr>
            <w:r>
              <w:rPr>
                <w:rFonts w:ascii="Calibri" w:hAnsi="Calibri" w:cs="Calibri"/>
              </w:rPr>
              <w:t>Exact candidate composition/fingerprints; six A-02 profiles; resolved same-family A-06 targets and acyclic substitutions; sole production registry exactly empty; zero records,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w:t>
            </w:r>
          </w:p>
        </w:tc>
        <w:tc>
          <w:tcPr>
            <w:tcW w:w="2800" w:type="dxa"/>
            <w:vAlign w:val="center"/>
          </w:tcPr>
          <w:p>
            <w:pPr>
              <w:pStyle w:val="CompactTableText"/>
              <w:widowControl/>
            </w:pPr>
            <w:r>
              <w:rPr>
                <w:rFonts w:ascii="Calibri" w:hAnsi="Calibri" w:cs="Calibri"/>
              </w:rPr>
              <w:t>Compatibility, Deterministic Selection and Normalized Topology Identity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Delivery-only A-08A/A-08B/A-08C sequence completes normalized identity, compatibility and deterministic selection with empty production/runtime authority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P10B-19A-08A</w:t>
            </w:r>
          </w:p>
        </w:tc>
        <w:tc>
          <w:tcPr>
            <w:tcW w:w="2800" w:type="dxa"/>
            <w:vAlign w:val="center"/>
          </w:tcPr>
          <w:p>
            <w:pPr>
              <w:pStyle w:val="CompactTableText"/>
              <w:widowControl/>
            </w:pPr>
            <w:r>
              <w:rPr>
                <w:rFonts w:ascii="Calibri" w:hAnsi="Calibri" w:cs="Calibri"/>
              </w:rPr>
              <w:t>Normalized Topology Identity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Strict normalized page/family topology identity and pure inactive duplicate index; zero production records, compatibility,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P10B-19A-08B</w:t>
            </w:r>
          </w:p>
        </w:tc>
        <w:tc>
          <w:tcPr>
            <w:tcW w:w="2800" w:type="dxa"/>
            <w:vAlign w:val="center"/>
          </w:tcPr>
          <w:p>
            <w:pPr>
              <w:pStyle w:val="CompactTableText"/>
              <w:widowControl/>
            </w:pPr>
            <w:r>
              <w:rPr>
                <w:rFonts w:ascii="Calibri" w:hAnsi="Calibri" w:cs="Calibri"/>
              </w:rPr>
              <w:t>Candidate Compatibility Contract and Evaluation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P10B-19A-08A merged</w:t>
            </w:r>
          </w:p>
        </w:tc>
        <w:tc>
          <w:tcPr>
            <w:tcW w:w="2890" w:type="dxa"/>
            <w:vAlign w:val="center"/>
          </w:tcPr>
          <w:p>
            <w:pPr>
              <w:pStyle w:val="CompactTableText"/>
              <w:widowControl/>
            </w:pPr>
            <w:r>
              <w:rPr>
                <w:rFonts w:ascii="Calibri" w:hAnsi="Calibri" w:cs="Calibri"/>
              </w:rPr>
              <w:t>Strict transient context/profile contracts and deterministic PageBlueprint/family compatibility evaluation; empty production authority and no selection or runtime reach</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P10B-19A-08C</w:t>
            </w:r>
          </w:p>
        </w:tc>
        <w:tc>
          <w:tcPr>
            <w:tcW w:w="2800" w:type="dxa"/>
            <w:vAlign w:val="center"/>
          </w:tcPr>
          <w:p>
            <w:pPr>
              <w:pStyle w:val="CompactTableText"/>
              <w:widowControl/>
            </w:pPr>
            <w:r>
              <w:rPr>
                <w:rFonts w:ascii="Calibri" w:hAnsi="Calibri" w:cs="Calibri"/>
              </w:rPr>
              <w:t>Deterministic Candidate Selection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P10B-19A-08B merged</w:t>
            </w:r>
          </w:p>
        </w:tc>
        <w:tc>
          <w:tcPr>
            <w:tcW w:w="2890" w:type="dxa"/>
            <w:vAlign w:val="center"/>
          </w:tcPr>
          <w:p>
            <w:pPr>
              <w:pStyle w:val="CompactTableText"/>
              <w:widowControl/>
            </w:pPr>
            <w:r>
              <w:rPr>
                <w:rFonts w:ascii="Calibri" w:hAnsi="Calibri" w:cs="Calibri"/>
              </w:rPr>
              <w:t>Strict scoring-free six-page selection, bounded topology exclusions, immutable replayed receipts and zero production/runtime reach</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w:t>
            </w:r>
          </w:p>
        </w:tc>
        <w:tc>
          <w:tcPr>
            <w:tcW w:w="2800" w:type="dxa"/>
            <w:vAlign w:val="center"/>
          </w:tcPr>
          <w:p>
            <w:pPr>
              <w:pStyle w:val="CompactTableText"/>
              <w:widowControl/>
            </w:pPr>
            <w:r>
              <w:rPr>
                <w:rFonts w:ascii="Calibri" w:hAnsi="Calibri" w:cs="Calibri"/>
              </w:rPr>
              <w:t>v1 read/render/migration/publication compatibility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A-09A identity, A-09B read/render replay and A-09C publication replay complete the accepted v1 compatibility outcome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P10B-19A-09A</w:t>
            </w:r>
          </w:p>
        </w:tc>
        <w:tc>
          <w:tcPr>
            <w:tcW w:w="2800" w:type="dxa"/>
            <w:vAlign w:val="center"/>
          </w:tcPr>
          <w:p>
            <w:pPr>
              <w:pStyle w:val="CompactTableText"/>
              <w:widowControl/>
            </w:pPr>
            <w:r>
              <w:rPr>
                <w:rFonts w:ascii="Calibri" w:hAnsi="Calibri" w:cs="Calibri"/>
              </w:rPr>
              <w:t>Legacy v1 Replay Alias and Compatibility Reference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Exact three opaque aliases, current 1.1.0 direction binding, strict v1 narrowing replay identity, selectionId exclusion and fail-closed stale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P10B-19A-09B</w:t>
            </w:r>
          </w:p>
        </w:tc>
        <w:tc>
          <w:tcPr>
            <w:tcW w:w="2800" w:type="dxa"/>
            <w:vAlign w:val="center"/>
          </w:tcPr>
          <w:p>
            <w:pPr>
              <w:pStyle w:val="CompactTableText"/>
              <w:widowControl/>
            </w:pPr>
            <w:r>
              <w:rPr>
                <w:rFonts w:ascii="Calibri" w:hAnsi="Calibri" w:cs="Calibri"/>
              </w:rPr>
              <w:t>Historical v1 Snapshot Read and Render Replay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P10B-19A-09A merged</w:t>
            </w:r>
          </w:p>
        </w:tc>
        <w:tc>
          <w:tcPr>
            <w:tcW w:w="2890" w:type="dxa"/>
            <w:vAlign w:val="center"/>
          </w:tcPr>
          <w:p>
            <w:pPr>
              <w:pStyle w:val="CompactTableText"/>
              <w:widowControl/>
            </w:pPr>
            <w:r>
              <w:rPr>
                <w:rFonts w:ascii="Calibri" w:hAnsi="Calibri" w:cs="Calibri"/>
              </w:rPr>
              <w:t>Strict read-only canonical validation, exact-bound or readable-unattributed receipts, seven verified/seven unverified fields and 36/36 current-renderer replay with zero writes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P10B-19A-09C</w:t>
            </w:r>
          </w:p>
        </w:tc>
        <w:tc>
          <w:tcPr>
            <w:tcW w:w="2800" w:type="dxa"/>
            <w:vAlign w:val="center"/>
          </w:tcPr>
          <w:p>
            <w:pPr>
              <w:pStyle w:val="CompactTableText"/>
              <w:widowControl/>
            </w:pPr>
            <w:r>
              <w:rPr>
                <w:rFonts w:ascii="Calibri" w:hAnsi="Calibri" w:cs="Calibri"/>
              </w:rPr>
              <w:t>Publication Replay and A-09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P10B-19A-09B merged</w:t>
            </w:r>
          </w:p>
        </w:tc>
        <w:tc>
          <w:tcPr>
            <w:tcW w:w="2890" w:type="dxa"/>
            <w:vAlign w:val="center"/>
          </w:tcPr>
          <w:p>
            <w:pPr>
              <w:pStyle w:val="CompactTableText"/>
              <w:widowControl/>
            </w:pPr>
            <w:r>
              <w:rPr>
                <w:rFonts w:ascii="Calibri" w:hAnsi="Calibri" w:cs="Calibri"/>
              </w:rPr>
              <w:t>Current compiler/manual-source replay, A-09B binding, three atomic confirmations, active-version integrity, and 36/36 published plus 36/36 normalized Preview parity observations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w:t>
            </w:r>
          </w:p>
        </w:tc>
        <w:tc>
          <w:tcPr>
            <w:tcW w:w="2800" w:type="dxa"/>
            <w:vAlign w:val="center"/>
          </w:tcPr>
          <w:p>
            <w:pPr>
              <w:pStyle w:val="CompactTableText"/>
              <w:widowControl/>
            </w:pPr>
            <w:r>
              <w:rPr>
                <w:rFonts w:ascii="Calibri" w:hAnsi="Calibri" w:cs="Calibri"/>
              </w:rPr>
              <w:t>Retained matrices, integration and P10B-19A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A-10A inventory, A-10B positive/fail-closed integration and A-10C retained execution/product-owner architecture closure complete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P10B-19A-10A</w:t>
            </w:r>
          </w:p>
        </w:tc>
        <w:tc>
          <w:tcPr>
            <w:tcW w:w="2800" w:type="dxa"/>
            <w:vAlign w:val="center"/>
          </w:tcPr>
          <w:p>
            <w:pPr>
              <w:pStyle w:val="CompactTableText"/>
              <w:widowControl/>
            </w:pPr>
            <w:r>
              <w:rPr>
                <w:rFonts w:ascii="Calibri" w:hAnsi="Calibri" w:cs="Calibri"/>
              </w:rPr>
              <w:t>Retained Matrix Inventory and Frozen Baseline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24 explicit gates, exact 126/72 and A-09 metrics, 76 protected hashes, nine inactivity zeroes and dynamic CI discovery; zero production changes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w:t>
            </w:r>
          </w:p>
        </w:tc>
        <w:tc>
          <w:tcPr>
            <w:tcW w:w="2800" w:type="dxa"/>
            <w:vAlign w:val="center"/>
          </w:tcPr>
          <w:p>
            <w:pPr>
              <w:pStyle w:val="CompactTableText"/>
              <w:widowControl/>
            </w:pPr>
            <w:r>
              <w:rPr>
                <w:rFonts w:ascii="Calibri" w:hAnsi="Calibri" w:cs="Calibri"/>
              </w:rPr>
              <w:t>Cross-Authority Integration and Failure Matrix</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A-10B1 positive integration and A-10B2 exact 36-case fail-closed matrix complete;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P10B-19A-10B1</w:t>
            </w:r>
          </w:p>
        </w:tc>
        <w:tc>
          <w:tcPr>
            <w:tcW w:w="2800" w:type="dxa"/>
            <w:vAlign w:val="center"/>
          </w:tcPr>
          <w:p>
            <w:pPr>
              <w:pStyle w:val="CompactTableText"/>
              <w:widowControl/>
            </w:pPr>
            <w:r>
              <w:rPr>
                <w:rFonts w:ascii="Calibri" w:hAnsi="Calibri" w:cs="Calibri"/>
              </w:rPr>
              <w:t>Positive Cross-Authority Integration Matrix</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8 PageBlueprint candidates; 6 family candidates; 6 profiles; 3 contexts; 3 topology groups × 2 identities; 6 direct and 3 sequential receipts; A-09/A-10A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P10B-19A-10B2</w:t>
            </w:r>
          </w:p>
        </w:tc>
        <w:tc>
          <w:tcPr>
            <w:tcW w:w="2800" w:type="dxa"/>
            <w:vAlign w:val="center"/>
          </w:tcPr>
          <w:p>
            <w:pPr>
              <w:pStyle w:val="CompactTableText"/>
              <w:widowControl/>
            </w:pPr>
            <w:r>
              <w:rPr>
                <w:rFonts w:ascii="Calibri" w:hAnsi="Calibri" w:cs="Calibri"/>
              </w:rPr>
              <w:t>Fail-Closed Cross-Authority Failure Matrix and A-10B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P10B-19A-10B1 merged</w:t>
            </w:r>
          </w:p>
        </w:tc>
        <w:tc>
          <w:tcPr>
            <w:tcW w:w="2890" w:type="dxa"/>
            <w:vAlign w:val="center"/>
          </w:tcPr>
          <w:p>
            <w:pPr>
              <w:pStyle w:val="CompactTableText"/>
              <w:widowControl/>
            </w:pPr>
            <w:r>
              <w:rPr>
                <w:rFonts w:ascii="Calibri" w:hAnsi="Calibri" w:cs="Calibri"/>
              </w:rPr>
              <w:t>36 exact ordered failures; owner/phase isolation; no partial output or source mutation; four strict legacy/v2 rejections; A-10A/B1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P10B-19A-10C</w:t>
            </w:r>
          </w:p>
        </w:tc>
        <w:tc>
          <w:tcPr>
            <w:tcW w:w="2800" w:type="dxa"/>
            <w:vAlign w:val="center"/>
          </w:tcPr>
          <w:p>
            <w:pPr>
              <w:pStyle w:val="CompactTableText"/>
              <w:widowControl/>
            </w:pPr>
            <w:r>
              <w:rPr>
                <w:rFonts w:ascii="Calibri" w:hAnsi="Calibri" w:cs="Calibri"/>
              </w:rPr>
              <w:t>P10B-19A Closure and Product-Owner Architecture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P10B-19A-10B2 merged</w:t>
            </w:r>
          </w:p>
        </w:tc>
        <w:tc>
          <w:tcPr>
            <w:tcW w:w="2890" w:type="dxa"/>
            <w:vAlign w:val="center"/>
          </w:tcPr>
          <w:p>
            <w:pPr>
              <w:pStyle w:val="CompactTableText"/>
              <w:widowControl/>
            </w:pPr>
            <w:r>
              <w:rPr>
                <w:rFonts w:ascii="Calibri" w:hAnsi="Calibri" w:cs="Calibri"/>
              </w:rPr>
              <w:t>Accepted closure manifest; retained 26-file execution/discovery authority; frozen predecessors/architecture and explicit product-owner decision;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P10B-19B-01</w:t>
            </w:r>
          </w:p>
        </w:tc>
        <w:tc>
          <w:tcPr>
            <w:tcW w:w="2800" w:type="dxa"/>
            <w:vAlign w:val="center"/>
          </w:tcPr>
          <w:p>
            <w:pPr>
              <w:pStyle w:val="CompactTableText"/>
              <w:widowControl/>
            </w:pPr>
            <w:r>
              <w:rPr>
                <w:rFonts w:ascii="Calibri" w:hAnsi="Calibri" w:cs="Calibri"/>
              </w:rPr>
              <w:t>VisualRecipeIntentV1 Safe Schema and Capability Projection</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P10B-19A-10C merged</w:t>
            </w:r>
          </w:p>
        </w:tc>
        <w:tc>
          <w:tcPr>
            <w:tcW w:w="2890" w:type="dxa"/>
            <w:vAlign w:val="center"/>
          </w:tcPr>
          <w:p>
            <w:pPr>
              <w:pStyle w:val="CompactTableText"/>
              <w:widowControl/>
            </w:pPr>
            <w:r>
              <w:rPr>
                <w:rFonts w:ascii="Calibri" w:hAnsi="Calibri" w:cs="Calibri"/>
              </w:rPr>
              <w:t>Begin only after A-10C merges; B-01 has not begun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cantSplit/>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cantSplit/>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cantSplit/>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cantSplit/>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cantSplit/>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cantSplit/>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cantSplit/>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cantSplit/>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DEVX-01A through DEVX-01G are Baseline, and DEVX-01 is Baseline / closed. P10B-19A-01 through P10B-19A-07, P10B-19A-08A through P10B-19A-08C, P10B-19A-09A through P10B-19A-09C, P10B-19A-10A, P10B-19A-10B1, P10B-19A-10B2 and P10B-19A-10C are Baseline; parents P10B-19A-08, P10B-19A-09, P10B-19A-10B, P10B-19A-10 and P10B-19A are Baseline / closed. P10B-19B-01 is the exact next implementation task and is Planned / exact next; it has not begun. P10B-19 and P10B remain Partial.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900"/>
        <w:gridCol w:w="7600"/>
        <w:gridCol w:w="4460"/>
      </w:tblGrid>
      <w:tr>
        <w:trPr>
          <w:tblHeader/>
          <w:cantSplit/>
        </w:trPr>
        <w:tc>
          <w:tcPr>
            <w:tcW w:w="900" w:type="dxa"/>
            <w:vAlign w:val="center"/>
            <w:shd w:val="clear" w:fill="E8EEF5"/>
          </w:tcPr>
          <w:p>
            <w:pPr>
              <w:pStyle w:val="TableHeader"/>
              <w:jc w:val="center"/>
              <w:widowControl/>
            </w:pPr>
            <w:r>
              <w:rPr>
                <w:rFonts w:ascii="Calibri" w:hAnsi="Calibri" w:cs="Calibri"/>
              </w:rPr>
              <w:t>Order</w:t>
            </w:r>
          </w:p>
        </w:tc>
        <w:tc>
          <w:tcPr>
            <w:tcW w:w="7600" w:type="dxa"/>
            <w:vAlign w:val="center"/>
            <w:shd w:val="clear" w:fill="E8EEF5"/>
          </w:tcPr>
          <w:p>
            <w:pPr>
              <w:pStyle w:val="TableHeader"/>
              <w:jc w:val="center"/>
              <w:widowControl/>
            </w:pPr>
            <w:r>
              <w:rPr>
                <w:rFonts w:ascii="Calibri" w:hAnsi="Calibri" w:cs="Calibri"/>
              </w:rPr>
              <w:t>Child task</w:t>
            </w:r>
          </w:p>
        </w:tc>
        <w:tc>
          <w:tcPr>
            <w:tcW w:w="4460" w:type="dxa"/>
            <w:vAlign w:val="center"/>
            <w:shd w:val="clear" w:fill="E8EEF5"/>
          </w:tcPr>
          <w:p>
            <w:pPr>
              <w:pStyle w:val="TableHeader"/>
              <w:jc w:val="center"/>
              <w:widowControl/>
            </w:pPr>
            <w:r>
              <w:rPr>
                <w:rFonts w:ascii="Calibri" w:hAnsi="Calibri" w:cs="Calibri"/>
              </w:rPr>
              <w:t>Merge eligibility</w:t>
            </w:r>
          </w:p>
        </w:tc>
      </w:tr>
      <w:tr>
        <w:trPr>
          <w:cantSplit/>
        </w:trPr>
        <w:tc>
          <w:tcPr>
            <w:tcW w:w="900" w:type="dxa"/>
            <w:vAlign w:val="center"/>
          </w:tcPr>
          <w:p>
            <w:pPr>
              <w:pStyle w:val="TableText"/>
              <w:widowControl/>
            </w:pPr>
            <w:r>
              <w:rPr>
                <w:rFonts w:ascii="Calibri" w:hAnsi="Calibri" w:cs="Calibri"/>
              </w:rPr>
              <w:t>1</w:t>
            </w:r>
          </w:p>
        </w:tc>
        <w:tc>
          <w:tcPr>
            <w:tcW w:w="7600" w:type="dxa"/>
            <w:vAlign w:val="center"/>
          </w:tcPr>
          <w:p>
            <w:pPr>
              <w:pStyle w:val="TableText"/>
              <w:widowControl/>
            </w:pPr>
            <w:r>
              <w:rPr>
                <w:rFonts w:ascii="Calibri" w:hAnsi="Calibri" w:cs="Calibri"/>
              </w:rPr>
              <w:t>P10B-19A-01 - Structural family identity, versions, lifecycle states and invariants</w:t>
            </w:r>
          </w:p>
        </w:tc>
        <w:tc>
          <w:tcPr>
            <w:tcW w:w="4460" w:type="dxa"/>
            <w:vAlign w:val="center"/>
          </w:tcPr>
          <w:p>
            <w:pPr>
              <w:pStyle w:val="TableText"/>
              <w:widowControl/>
            </w:pPr>
            <w:r>
              <w:rPr>
                <w:rFonts w:ascii="Calibri" w:hAnsi="Calibri" w:cs="Calibri"/>
              </w:rPr>
              <w:t>DEVX-01 closed</w:t>
            </w:r>
          </w:p>
        </w:tc>
      </w:tr>
      <w:tr>
        <w:trPr>
          <w:cantSplit/>
        </w:trPr>
        <w:tc>
          <w:tcPr>
            <w:tcW w:w="900" w:type="dxa"/>
            <w:vAlign w:val="center"/>
          </w:tcPr>
          <w:p>
            <w:pPr>
              <w:pStyle w:val="TableText"/>
              <w:widowControl/>
            </w:pPr>
            <w:r>
              <w:rPr>
                <w:rFonts w:ascii="Calibri" w:hAnsi="Calibri" w:cs="Calibri"/>
              </w:rPr>
              <w:t>2</w:t>
            </w:r>
          </w:p>
        </w:tc>
        <w:tc>
          <w:tcPr>
            <w:tcW w:w="7600" w:type="dxa"/>
            <w:vAlign w:val="center"/>
          </w:tcPr>
          <w:p>
            <w:pPr>
              <w:pStyle w:val="TableText"/>
              <w:widowControl/>
            </w:pPr>
            <w:r>
              <w:rPr>
                <w:rFonts w:ascii="Calibri" w:hAnsi="Calibri" w:cs="Calibri"/>
              </w:rPr>
              <w:t>P10B-19A-02 - Cross-page structural relationship contract</w:t>
            </w:r>
          </w:p>
        </w:tc>
        <w:tc>
          <w:tcPr>
            <w:tcW w:w="4460" w:type="dxa"/>
            <w:vAlign w:val="center"/>
          </w:tcPr>
          <w:p>
            <w:pPr>
              <w:pStyle w:val="TableText"/>
              <w:widowControl/>
            </w:pPr>
            <w:r>
              <w:rPr>
                <w:rFonts w:ascii="Calibri" w:hAnsi="Calibri" w:cs="Calibri"/>
              </w:rPr>
              <w:t>A-01 merged</w:t>
            </w:r>
          </w:p>
        </w:tc>
      </w:tr>
      <w:tr>
        <w:trPr>
          <w:cantSplit/>
        </w:trPr>
        <w:tc>
          <w:tcPr>
            <w:tcW w:w="900" w:type="dxa"/>
            <w:vAlign w:val="center"/>
          </w:tcPr>
          <w:p>
            <w:pPr>
              <w:pStyle w:val="TableText"/>
              <w:widowControl/>
            </w:pPr>
            <w:r>
              <w:rPr>
                <w:rFonts w:ascii="Calibri" w:hAnsi="Calibri" w:cs="Calibri"/>
              </w:rPr>
              <w:t>3</w:t>
            </w:r>
          </w:p>
        </w:tc>
        <w:tc>
          <w:tcPr>
            <w:tcW w:w="7600" w:type="dxa"/>
            <w:vAlign w:val="center"/>
          </w:tcPr>
          <w:p>
            <w:pPr>
              <w:pStyle w:val="TableText"/>
              <w:widowControl/>
            </w:pPr>
            <w:r>
              <w:rPr>
                <w:rFonts w:ascii="Calibri" w:hAnsi="Calibri" w:cs="Calibri"/>
              </w:rPr>
              <w:t>P10B-19A-03 - Required page structures, region graph and PageBlueprint v2 dispatch</w:t>
            </w:r>
          </w:p>
        </w:tc>
        <w:tc>
          <w:tcPr>
            <w:tcW w:w="4460" w:type="dxa"/>
            <w:vAlign w:val="center"/>
          </w:tcPr>
          <w:p>
            <w:pPr>
              <w:pStyle w:val="TableText"/>
              <w:widowControl/>
            </w:pPr>
            <w:r>
              <w:rPr>
                <w:rFonts w:ascii="Calibri" w:hAnsi="Calibri" w:cs="Calibri"/>
              </w:rPr>
              <w:t>A-02 merged</w:t>
            </w:r>
          </w:p>
        </w:tc>
      </w:tr>
      <w:tr>
        <w:trPr>
          <w:cantSplit/>
        </w:trPr>
        <w:tc>
          <w:tcPr>
            <w:tcW w:w="900" w:type="dxa"/>
            <w:vAlign w:val="center"/>
          </w:tcPr>
          <w:p>
            <w:pPr>
              <w:pStyle w:val="TableText"/>
              <w:widowControl/>
            </w:pPr>
            <w:r>
              <w:rPr>
                <w:rFonts w:ascii="Calibri" w:hAnsi="Calibri" w:cs="Calibri"/>
              </w:rPr>
              <w:t>4</w:t>
            </w:r>
          </w:p>
        </w:tc>
        <w:tc>
          <w:tcPr>
            <w:tcW w:w="7600" w:type="dxa"/>
            <w:vAlign w:val="center"/>
          </w:tcPr>
          <w:p>
            <w:pPr>
              <w:pStyle w:val="TableText"/>
              <w:widowControl/>
            </w:pPr>
            <w:r>
              <w:rPr>
                <w:rFonts w:ascii="Calibri" w:hAnsi="Calibri" w:cs="Calibri"/>
              </w:rPr>
              <w:t>P10B-19A-04 - Asset-role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5</w:t>
            </w:r>
          </w:p>
        </w:tc>
        <w:tc>
          <w:tcPr>
            <w:tcW w:w="7600" w:type="dxa"/>
            <w:vAlign w:val="center"/>
          </w:tcPr>
          <w:p>
            <w:pPr>
              <w:pStyle w:val="TableText"/>
              <w:widowControl/>
            </w:pPr>
            <w:r>
              <w:rPr>
                <w:rFonts w:ascii="Calibri" w:hAnsi="Calibri" w:cs="Calibri"/>
              </w:rPr>
              <w:t>P10B-19A-05 - Responsive-rule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6</w:t>
            </w:r>
          </w:p>
        </w:tc>
        <w:tc>
          <w:tcPr>
            <w:tcW w:w="7600" w:type="dxa"/>
            <w:vAlign w:val="center"/>
          </w:tcPr>
          <w:p>
            <w:pPr>
              <w:pStyle w:val="TableText"/>
              <w:widowControl/>
            </w:pPr>
            <w:r>
              <w:rPr>
                <w:rFonts w:ascii="Calibri" w:hAnsi="Calibri" w:cs="Calibri"/>
              </w:rPr>
              <w:t>P10B-19A-06 - Omission, substitution and fallback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7</w:t>
            </w:r>
          </w:p>
        </w:tc>
        <w:tc>
          <w:tcPr>
            <w:tcW w:w="7600" w:type="dxa"/>
            <w:vAlign w:val="center"/>
          </w:tcPr>
          <w:p>
            <w:pPr>
              <w:pStyle w:val="TableText"/>
              <w:widowControl/>
            </w:pPr>
            <w:r>
              <w:rPr>
                <w:rFonts w:ascii="Calibri" w:hAnsi="Calibri" w:cs="Calibri"/>
              </w:rPr>
              <w:t>P10B-19A-07 - Inactive family registry and candidate fingerprints</w:t>
            </w:r>
          </w:p>
        </w:tc>
        <w:tc>
          <w:tcPr>
            <w:tcW w:w="4460" w:type="dxa"/>
            <w:vAlign w:val="center"/>
          </w:tcPr>
          <w:p>
            <w:pPr>
              <w:pStyle w:val="TableText"/>
              <w:widowControl/>
            </w:pPr>
            <w:r>
              <w:rPr>
                <w:rFonts w:ascii="Calibri" w:hAnsi="Calibri" w:cs="Calibri"/>
              </w:rPr>
              <w:t>A-01 through A-06 authority merged</w:t>
            </w:r>
          </w:p>
        </w:tc>
      </w:tr>
      <w:tr>
        <w:trPr>
          <w:cantSplit/>
        </w:trPr>
        <w:tc>
          <w:tcPr>
            <w:tcW w:w="900" w:type="dxa"/>
            <w:vAlign w:val="center"/>
          </w:tcPr>
          <w:p>
            <w:pPr>
              <w:pStyle w:val="TableText"/>
              <w:widowControl/>
            </w:pPr>
            <w:r>
              <w:rPr>
                <w:rFonts w:ascii="Calibri" w:hAnsi="Calibri" w:cs="Calibri"/>
              </w:rPr>
              <w:t>8</w:t>
            </w:r>
          </w:p>
        </w:tc>
        <w:tc>
          <w:tcPr>
            <w:tcW w:w="7600" w:type="dxa"/>
            <w:vAlign w:val="center"/>
          </w:tcPr>
          <w:p>
            <w:pPr>
              <w:pStyle w:val="TableText"/>
              <w:widowControl/>
            </w:pPr>
            <w:r>
              <w:rPr>
                <w:rFonts w:ascii="Calibri" w:hAnsi="Calibri" w:cs="Calibri"/>
              </w:rPr>
              <w:t>P10B-19A-08 - Compatibility, deterministic selection and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8A</w:t>
            </w:r>
          </w:p>
        </w:tc>
        <w:tc>
          <w:tcPr>
            <w:tcW w:w="7600" w:type="dxa"/>
            <w:vAlign w:val="center"/>
          </w:tcPr>
          <w:p>
            <w:pPr>
              <w:pStyle w:val="TableText"/>
              <w:widowControl/>
            </w:pPr>
            <w:r>
              <w:rPr>
                <w:rFonts w:ascii="Calibri" w:hAnsi="Calibri" w:cs="Calibri"/>
              </w:rPr>
              <w:t>P10B-19A-08A -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8B</w:t>
            </w:r>
          </w:p>
        </w:tc>
        <w:tc>
          <w:tcPr>
            <w:tcW w:w="7600" w:type="dxa"/>
            <w:vAlign w:val="center"/>
          </w:tcPr>
          <w:p>
            <w:pPr>
              <w:pStyle w:val="TableText"/>
              <w:widowControl/>
            </w:pPr>
            <w:r>
              <w:rPr>
                <w:rFonts w:ascii="Calibri" w:hAnsi="Calibri" w:cs="Calibri"/>
              </w:rPr>
              <w:t>P10B-19A-08B - Candidate Compatibility Contract and Evaluation</w:t>
            </w:r>
          </w:p>
        </w:tc>
        <w:tc>
          <w:tcPr>
            <w:tcW w:w="4460" w:type="dxa"/>
            <w:vAlign w:val="center"/>
          </w:tcPr>
          <w:p>
            <w:pPr>
              <w:pStyle w:val="TableText"/>
              <w:widowControl/>
            </w:pPr>
            <w:r>
              <w:rPr>
                <w:rFonts w:ascii="Calibri" w:hAnsi="Calibri" w:cs="Calibri"/>
              </w:rPr>
              <w:t>A-08A merged</w:t>
            </w:r>
          </w:p>
        </w:tc>
      </w:tr>
      <w:tr>
        <w:trPr>
          <w:cantSplit/>
        </w:trPr>
        <w:tc>
          <w:tcPr>
            <w:tcW w:w="900" w:type="dxa"/>
            <w:vAlign w:val="center"/>
          </w:tcPr>
          <w:p>
            <w:pPr>
              <w:pStyle w:val="TableText"/>
              <w:widowControl/>
            </w:pPr>
            <w:r>
              <w:rPr>
                <w:rFonts w:ascii="Calibri" w:hAnsi="Calibri" w:cs="Calibri"/>
              </w:rPr>
              <w:t>8C</w:t>
            </w:r>
          </w:p>
        </w:tc>
        <w:tc>
          <w:tcPr>
            <w:tcW w:w="7600" w:type="dxa"/>
            <w:vAlign w:val="center"/>
          </w:tcPr>
          <w:p>
            <w:pPr>
              <w:pStyle w:val="TableText"/>
              <w:widowControl/>
            </w:pPr>
            <w:r>
              <w:rPr>
                <w:rFonts w:ascii="Calibri" w:hAnsi="Calibri" w:cs="Calibri"/>
              </w:rPr>
              <w:t>P10B-19A-08C - Deterministic Candidate Selection</w:t>
            </w:r>
          </w:p>
        </w:tc>
        <w:tc>
          <w:tcPr>
            <w:tcW w:w="4460" w:type="dxa"/>
            <w:vAlign w:val="center"/>
          </w:tcPr>
          <w:p>
            <w:pPr>
              <w:pStyle w:val="TableText"/>
              <w:widowControl/>
            </w:pPr>
            <w:r>
              <w:rPr>
                <w:rFonts w:ascii="Calibri" w:hAnsi="Calibri" w:cs="Calibri"/>
              </w:rPr>
              <w:t>A-08B merged</w:t>
            </w:r>
          </w:p>
        </w:tc>
      </w:tr>
      <w:tr>
        <w:trPr>
          <w:cantSplit/>
        </w:trPr>
        <w:tc>
          <w:tcPr>
            <w:tcW w:w="900" w:type="dxa"/>
            <w:vAlign w:val="center"/>
          </w:tcPr>
          <w:p>
            <w:pPr>
              <w:pStyle w:val="TableText"/>
              <w:widowControl/>
            </w:pPr>
            <w:r>
              <w:rPr>
                <w:rFonts w:ascii="Calibri" w:hAnsi="Calibri" w:cs="Calibri"/>
              </w:rPr>
              <w:t>9</w:t>
            </w:r>
          </w:p>
        </w:tc>
        <w:tc>
          <w:tcPr>
            <w:tcW w:w="7600" w:type="dxa"/>
            <w:vAlign w:val="center"/>
          </w:tcPr>
          <w:p>
            <w:pPr>
              <w:pStyle w:val="TableText"/>
              <w:widowControl/>
            </w:pPr>
            <w:r>
              <w:rPr>
                <w:rFonts w:ascii="Calibri" w:hAnsi="Calibri" w:cs="Calibri"/>
              </w:rPr>
              <w:t>P10B-19A-09 - v1 read/render/migration/publication compatibility</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9A</w:t>
            </w:r>
          </w:p>
        </w:tc>
        <w:tc>
          <w:tcPr>
            <w:tcW w:w="7600" w:type="dxa"/>
            <w:vAlign w:val="center"/>
          </w:tcPr>
          <w:p>
            <w:pPr>
              <w:pStyle w:val="TableText"/>
              <w:widowControl/>
            </w:pPr>
            <w:r>
              <w:rPr>
                <w:rFonts w:ascii="Calibri" w:hAnsi="Calibri" w:cs="Calibri"/>
              </w:rPr>
              <w:t>P10B-19A-09A - Legacy v1 Replay Alias and Compatibility Reference</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9B</w:t>
            </w:r>
          </w:p>
        </w:tc>
        <w:tc>
          <w:tcPr>
            <w:tcW w:w="7600" w:type="dxa"/>
            <w:vAlign w:val="center"/>
          </w:tcPr>
          <w:p>
            <w:pPr>
              <w:pStyle w:val="TableText"/>
              <w:widowControl/>
            </w:pPr>
            <w:r>
              <w:rPr>
                <w:rFonts w:ascii="Calibri" w:hAnsi="Calibri" w:cs="Calibri"/>
              </w:rPr>
              <w:t>P10B-19A-09B - Historical v1 Snapshot Read and Render Replay</w:t>
            </w:r>
          </w:p>
        </w:tc>
        <w:tc>
          <w:tcPr>
            <w:tcW w:w="4460" w:type="dxa"/>
            <w:vAlign w:val="center"/>
          </w:tcPr>
          <w:p>
            <w:pPr>
              <w:pStyle w:val="TableText"/>
              <w:widowControl/>
            </w:pPr>
            <w:r>
              <w:rPr>
                <w:rFonts w:ascii="Calibri" w:hAnsi="Calibri" w:cs="Calibri"/>
              </w:rPr>
              <w:t>A-09A merged</w:t>
            </w:r>
          </w:p>
        </w:tc>
      </w:tr>
      <w:tr>
        <w:trPr>
          <w:cantSplit/>
        </w:trPr>
        <w:tc>
          <w:tcPr>
            <w:tcW w:w="900" w:type="dxa"/>
            <w:vAlign w:val="center"/>
          </w:tcPr>
          <w:p>
            <w:pPr>
              <w:pStyle w:val="TableText"/>
              <w:widowControl/>
            </w:pPr>
            <w:r>
              <w:rPr>
                <w:rFonts w:ascii="Calibri" w:hAnsi="Calibri" w:cs="Calibri"/>
              </w:rPr>
              <w:t>9C</w:t>
            </w:r>
          </w:p>
        </w:tc>
        <w:tc>
          <w:tcPr>
            <w:tcW w:w="7600" w:type="dxa"/>
            <w:vAlign w:val="center"/>
          </w:tcPr>
          <w:p>
            <w:pPr>
              <w:pStyle w:val="TableText"/>
              <w:widowControl/>
            </w:pPr>
            <w:r>
              <w:rPr>
                <w:rFonts w:ascii="Calibri" w:hAnsi="Calibri" w:cs="Calibri"/>
              </w:rPr>
              <w:t>P10B-19A-09C - Publication Replay and A-09 Closure</w:t>
            </w:r>
          </w:p>
        </w:tc>
        <w:tc>
          <w:tcPr>
            <w:tcW w:w="4460" w:type="dxa"/>
            <w:vAlign w:val="center"/>
          </w:tcPr>
          <w:p>
            <w:pPr>
              <w:pStyle w:val="TableText"/>
              <w:widowControl/>
            </w:pPr>
            <w:r>
              <w:rPr>
                <w:rFonts w:ascii="Calibri" w:hAnsi="Calibri" w:cs="Calibri"/>
              </w:rPr>
              <w:t>A-09B merged</w:t>
            </w:r>
          </w:p>
        </w:tc>
      </w:tr>
      <w:tr>
        <w:trPr>
          <w:cantSplit/>
        </w:trPr>
        <w:tc>
          <w:tcPr>
            <w:tcW w:w="900" w:type="dxa"/>
            <w:vAlign w:val="center"/>
          </w:tcPr>
          <w:p>
            <w:pPr>
              <w:pStyle w:val="TableText"/>
              <w:widowControl/>
            </w:pPr>
            <w:r>
              <w:rPr>
                <w:rFonts w:ascii="Calibri" w:hAnsi="Calibri" w:cs="Calibri"/>
              </w:rPr>
              <w:t>10</w:t>
            </w:r>
          </w:p>
        </w:tc>
        <w:tc>
          <w:tcPr>
            <w:tcW w:w="7600" w:type="dxa"/>
            <w:vAlign w:val="center"/>
          </w:tcPr>
          <w:p>
            <w:pPr>
              <w:pStyle w:val="TableText"/>
              <w:widowControl/>
            </w:pPr>
            <w:r>
              <w:rPr>
                <w:rFonts w:ascii="Calibri" w:hAnsi="Calibri" w:cs="Calibri"/>
              </w:rPr>
              <w:t>P10B-19A-10 - Retained matrices, integration and P10B-19A closure</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10A</w:t>
            </w:r>
          </w:p>
        </w:tc>
        <w:tc>
          <w:tcPr>
            <w:tcW w:w="7600" w:type="dxa"/>
            <w:vAlign w:val="center"/>
          </w:tcPr>
          <w:p>
            <w:pPr>
              <w:pStyle w:val="TableText"/>
              <w:widowControl/>
            </w:pPr>
            <w:r>
              <w:rPr>
                <w:rFonts w:ascii="Calibri" w:hAnsi="Calibri" w:cs="Calibri"/>
              </w:rPr>
              <w:t>P10B-19A-10A - Retained Matrix Inventory and Frozen Baseline Lock</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10B</w:t>
            </w:r>
          </w:p>
        </w:tc>
        <w:tc>
          <w:tcPr>
            <w:tcW w:w="7600" w:type="dxa"/>
            <w:vAlign w:val="center"/>
          </w:tcPr>
          <w:p>
            <w:pPr>
              <w:pStyle w:val="TableText"/>
              <w:widowControl/>
            </w:pPr>
            <w:r>
              <w:rPr>
                <w:rFonts w:ascii="Calibri" w:hAnsi="Calibri" w:cs="Calibri"/>
              </w:rPr>
              <w:t>P10B-19A-10B - Cross-Authority Integration and Failure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10B1</w:t>
            </w:r>
          </w:p>
        </w:tc>
        <w:tc>
          <w:tcPr>
            <w:tcW w:w="7600" w:type="dxa"/>
            <w:vAlign w:val="center"/>
          </w:tcPr>
          <w:p>
            <w:pPr>
              <w:pStyle w:val="TableText"/>
              <w:widowControl/>
            </w:pPr>
            <w:r>
              <w:rPr>
                <w:rFonts w:ascii="Calibri" w:hAnsi="Calibri" w:cs="Calibri"/>
              </w:rPr>
              <w:t>P10B-19A-10B1 - Positive Cross-Authority Integration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10B2</w:t>
            </w:r>
          </w:p>
        </w:tc>
        <w:tc>
          <w:tcPr>
            <w:tcW w:w="7600" w:type="dxa"/>
            <w:vAlign w:val="center"/>
          </w:tcPr>
          <w:p>
            <w:pPr>
              <w:pStyle w:val="TableText"/>
              <w:widowControl/>
            </w:pPr>
            <w:r>
              <w:rPr>
                <w:rFonts w:ascii="Calibri" w:hAnsi="Calibri" w:cs="Calibri"/>
              </w:rPr>
              <w:t>P10B-19A-10B2 - Fail-Closed Cross-Authority Failure Matrix and A-10B Closure</w:t>
            </w:r>
          </w:p>
        </w:tc>
        <w:tc>
          <w:tcPr>
            <w:tcW w:w="4460" w:type="dxa"/>
            <w:vAlign w:val="center"/>
          </w:tcPr>
          <w:p>
            <w:pPr>
              <w:pStyle w:val="TableText"/>
              <w:widowControl/>
            </w:pPr>
            <w:r>
              <w:rPr>
                <w:rFonts w:ascii="Calibri" w:hAnsi="Calibri" w:cs="Calibri"/>
              </w:rPr>
              <w:t>A-10B1 merged</w:t>
            </w:r>
          </w:p>
        </w:tc>
      </w:tr>
      <w:tr>
        <w:trPr>
          <w:cantSplit/>
        </w:trPr>
        <w:tc>
          <w:tcPr>
            <w:tcW w:w="900" w:type="dxa"/>
            <w:vAlign w:val="center"/>
          </w:tcPr>
          <w:p>
            <w:pPr>
              <w:pStyle w:val="TableText"/>
              <w:widowControl/>
            </w:pPr>
            <w:r>
              <w:rPr>
                <w:rFonts w:ascii="Calibri" w:hAnsi="Calibri" w:cs="Calibri"/>
              </w:rPr>
              <w:t>10C</w:t>
            </w:r>
          </w:p>
        </w:tc>
        <w:tc>
          <w:tcPr>
            <w:tcW w:w="7600" w:type="dxa"/>
            <w:vAlign w:val="center"/>
          </w:tcPr>
          <w:p>
            <w:pPr>
              <w:pStyle w:val="TableText"/>
              <w:widowControl/>
            </w:pPr>
            <w:r>
              <w:rPr>
                <w:rFonts w:ascii="Calibri" w:hAnsi="Calibri" w:cs="Calibri"/>
              </w:rPr>
              <w:t>P10B-19A-10C - P10B-19A Closure and Product-Owner Architecture Gate</w:t>
            </w:r>
          </w:p>
        </w:tc>
        <w:tc>
          <w:tcPr>
            <w:tcW w:w="4460" w:type="dxa"/>
            <w:vAlign w:val="center"/>
          </w:tcPr>
          <w:p>
            <w:pPr>
              <w:pStyle w:val="TableText"/>
              <w:widowControl/>
            </w:pPr>
            <w:r>
              <w:rPr>
                <w:rFonts w:ascii="Calibri" w:hAnsi="Calibri" w:cs="Calibri"/>
              </w:rPr>
              <w:t>A-10B2 merged</w:t>
            </w:r>
          </w:p>
        </w:tc>
      </w:tr>
    </w:tbl>
    <w:p>
      <w:pPr>
        <w:pStyle w:val="Normal"/>
        <w:widowControl/>
      </w:pPr>
    </w:p>
    <w:p>
      <w:pPr>
        <w:pStyle w:val="Normal"/>
        <w:widowControl/>
      </w:pPr>
      <w:r>
        <w:rPr>
          <w:rFonts w:ascii="Calibri" w:hAnsi="Calibri" w:cs="Calibri"/>
        </w:rPr>
        <w:t xml:space="preserve">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and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w:t>
      </w:r>
      <w:r>
        <w:rPr>
          <w:rFonts w:ascii="Calibri" w:hAnsi="Calibri" w:cs="Calibri"/>
          <w:b/>
          <w:bCs/>
        </w:rPr>
        <w:t>exact next implementation task</w:t>
      </w:r>
      <w:r>
        <w:rPr>
          <w:rFonts w:ascii="Calibri" w:hAnsi="Calibri" w:cs="Calibri"/>
        </w:rPr>
        <w:t xml:space="preserve">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w:t>
      </w:r>
    </w:p>
    <w:p>
      <w:pPr>
        <w:pStyle w:val="Normal"/>
        <w:widowControl/>
      </w:pPr>
      <w:r>
        <w:rPr>
          <w:rFonts w:ascii="Calibri" w:hAnsi="Calibri" w:cs="Calibri"/>
        </w:rPr>
        <w:t xml:space="preserve">P10B-19A-08A establishes strict normalized PageBlueprint v2 and Structural Storefront Family topology projections at schema version </w:t>
      </w:r>
      <w:r>
        <w:rPr>
          <w:rFonts w:ascii="Consolas" w:hAnsi="Consolas" w:cs="Consolas"/>
          <w:sz w:val="19"/>
          <w:szCs w:val="19"/>
        </w:rPr>
        <w:t>1.0.0</w:t>
      </w:r>
      <w:r>
        <w:rPr>
          <w:rFonts w:ascii="Calibri" w:hAnsi="Calibri" w:cs="Calibri"/>
        </w:rPr>
        <w:t xml:space="preserve">. Deterministic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tokens follow the A-03 default reading order. Page topology includes A-03 structural relationships and A-05 responsive rules and excludes A-04 asset-role and A-06 fallback authority. Page fingerprints use </w:t>
      </w:r>
      <w:r>
        <w:rPr>
          <w:rFonts w:ascii="Consolas" w:hAnsi="Consolas" w:cs="Consolas"/>
          <w:sz w:val="19"/>
          <w:szCs w:val="19"/>
        </w:rPr>
        <w:t>page-blueprint-v2-normalized-topology-v1_&lt;canonical-length&gt;_&lt;sha256&gt;</w:t>
      </w:r>
      <w:r>
        <w:rPr>
          <w:rFonts w:ascii="Calibri" w:hAnsi="Calibri" w:cs="Calibri"/>
        </w:rPr>
        <w:t xml:space="preserve">. Family topology covers all six canonical A-02 page-family roles plus A-02 relationships; family fingerprints use </w:t>
      </w:r>
      <w:r>
        <w:rPr>
          <w:rFonts w:ascii="Consolas" w:hAnsi="Consolas" w:cs="Consolas"/>
          <w:sz w:val="19"/>
          <w:szCs w:val="19"/>
        </w:rPr>
        <w:t>structural-storefront-family-normalized-topology-v1_&lt;canonical-length&gt;_&lt;sha256&gt;</w:t>
      </w:r>
      <w:r>
        <w:rPr>
          <w:rFonts w:ascii="Calibri" w:hAnsi="Calibri" w:cs="Calibri"/>
        </w:rPr>
        <w:t>. The pure, non-persisted inactive normalized-topology index groups duplicate PageBlueprint and family identities but does not reject, evaluate compatibility, select, activate, persist or expose runtime records. Production PageBlueprint v2, Structural Storefront Family and normalized-topology index record counts remain exactly zero.</w:t>
      </w:r>
    </w:p>
    <w:p>
      <w:pPr>
        <w:pStyle w:val="Normal"/>
        <w:widowControl/>
      </w:pPr>
      <w:r>
        <w:rPr>
          <w:rFonts w:ascii="Calibri" w:hAnsi="Calibri" w:cs="Calibri"/>
        </w:rPr>
        <w:t xml:space="preserve">P10B-19A-08B establishes strict schema-version </w:t>
      </w:r>
      <w:r>
        <w:rPr>
          <w:rFonts w:ascii="Consolas" w:hAnsi="Consolas" w:cs="Consolas"/>
          <w:sz w:val="19"/>
          <w:szCs w:val="19"/>
        </w:rPr>
        <w:t>1.0.0</w:t>
      </w:r>
      <w:r>
        <w:rPr>
          <w:rFonts w:ascii="Calibri" w:hAnsi="Calibri" w:cs="Calibri"/>
        </w:rPr>
        <w:t xml:space="preserve"> compatibility contracts and deterministic evaluation. The transient context uses the ordered catalogue-cardinality, fact-depth, product-complexity, navigation-depth and canonical </w:t>
      </w:r>
      <w:r>
        <w:rPr>
          <w:rFonts w:ascii="Consolas" w:hAnsi="Consolas" w:cs="Consolas"/>
          <w:sz w:val="19"/>
          <w:szCs w:val="19"/>
        </w:rPr>
        <w:t>en</w:t>
      </w:r>
      <w:r>
        <w:rPr>
          <w:rFonts w:ascii="Calibri" w:hAnsi="Calibri" w:cs="Calibri"/>
        </w:rPr>
        <w:t>/</w:t>
      </w:r>
      <w:r>
        <w:rPr>
          <w:rFonts w:ascii="Consolas" w:hAnsi="Consolas" w:cs="Consolas"/>
          <w:sz w:val="19"/>
          <w:szCs w:val="19"/>
        </w:rPr>
        <w:t>fi</w:t>
      </w:r>
      <w:r>
        <w:rPr>
          <w:rFonts w:ascii="Calibri" w:hAnsi="Calibri" w:cs="Calibri"/>
        </w:rPr>
        <w:t xml:space="preserve"> locale dimensions, and carries exact candidate-scoped capacity for every required A-04 region/role through maximum 32. Family profiles bind exact A-07 candidate fingerprints and explicitly partition all five vocabularies; the sole production profile catalogue is empty. Memoized A-06 DAG evaluation retains every compatible substitution target in declared order without choosing one. PageBlueprint statuses are directly-compatible, substitution-compatible, omission-compatible and incompatible; family statuses are directly-compatible, conditionally-compatible and incompatible. A-08A topology is provenance only. Stale-checked context, profile and evaluation fingerprints introduce no score, rank, winner, selected receipt, activation, persistence or runtime wiring. Production candidates, profiles, contexts, evaluations, active/selectable/selected records and current-generation consumers remain zero.</w:t>
      </w:r>
    </w:p>
    <w:p>
      <w:pPr>
        <w:pStyle w:val="Normal"/>
        <w:widowControl/>
      </w:pPr>
      <w:r>
        <w:rPr>
          <w:rFonts w:ascii="Calibri" w:hAnsi="Calibri" w:cs="Calibri"/>
        </w:rPr>
        <w:t xml:space="preserve">P10B-19A-08C establishes strict schema-version </w:t>
      </w:r>
      <w:r>
        <w:rPr>
          <w:rFonts w:ascii="Consolas" w:hAnsi="Consolas" w:cs="Consolas"/>
          <w:sz w:val="19"/>
          <w:szCs w:val="19"/>
        </w:rPr>
        <w:t>1.0.0</w:t>
      </w:r>
      <w:r>
        <w:rPr>
          <w:rFonts w:ascii="Calibri" w:hAnsi="Calibri" w:cs="Calibri"/>
        </w:rPr>
        <w:t xml:space="preserve"> deterministic selection requests and immutable receipts over exact A-07/A-08A/A-08B authority. Scoring-free family and PageBlueprint precedence uses case-bound canonical-fingerprint tie-breaks; selection covers all six page families, follows A-06 recursive substitution priority and retains safe omission declarations without executing them. Complete-store combinations share one global 4,096 evaluation bound and yield an identity-free complete topology, while receipt parsing replays selection to reject stale or contradictory authority. Production registry, profile, request, receipt and current-generation runtime counts remain zero; visual behavior, runtime wiring, providers, persistence and publication are unchanged. Parent P10B-19A-08 is Baseline / closed.</w:t>
      </w:r>
    </w:p>
    <w:p>
      <w:pPr>
        <w:pStyle w:val="Normal"/>
        <w:widowControl/>
      </w:pPr>
      <w:r>
        <w:rPr>
          <w:rFonts w:ascii="Calibri" w:hAnsi="Calibri" w:cs="Calibri"/>
        </w:rPr>
        <w:t xml:space="preserve">P10B-19A-09A establishes one immutable populated registry for exactly </w:t>
      </w:r>
      <w:r>
        <w:rPr>
          <w:rFonts w:ascii="Consolas" w:hAnsi="Consolas" w:cs="Consolas"/>
          <w:sz w:val="19"/>
          <w:szCs w:val="19"/>
        </w:rPr>
        <w:t>legacy-v1:premium-editorial</w:t>
      </w:r>
      <w:r>
        <w:rPr>
          <w:rFonts w:ascii="Calibri" w:hAnsi="Calibri" w:cs="Calibri"/>
        </w:rPr>
        <w:t xml:space="preserve">, </w:t>
      </w:r>
      <w:r>
        <w:rPr>
          <w:rFonts w:ascii="Consolas" w:hAnsi="Consolas" w:cs="Consolas"/>
          <w:sz w:val="19"/>
          <w:szCs w:val="19"/>
        </w:rPr>
        <w:t>legacy-v1:modern-technical</w:t>
      </w:r>
      <w:r>
        <w:rPr>
          <w:rFonts w:ascii="Calibri" w:hAnsi="Calibri" w:cs="Calibri"/>
        </w:rPr>
        <w:t xml:space="preserve">, and </w:t>
      </w:r>
      <w:r>
        <w:rPr>
          <w:rFonts w:ascii="Consolas" w:hAnsi="Consolas" w:cs="Consolas"/>
          <w:sz w:val="19"/>
          <w:szCs w:val="19"/>
        </w:rPr>
        <w:t>legacy-v1:minimal-commerce</w:t>
      </w:r>
      <w:r>
        <w:rPr>
          <w:rFonts w:ascii="Calibri" w:hAnsi="Calibri" w:cs="Calibri"/>
        </w:rPr>
        <w:t xml:space="preserve">, bound in order to the existing coordinated directions, current authority version </w:t>
      </w:r>
      <w:r>
        <w:rPr>
          <w:rFonts w:ascii="Consolas" w:hAnsi="Consolas" w:cs="Consolas"/>
          <w:sz w:val="19"/>
          <w:szCs w:val="19"/>
        </w:rPr>
        <w:t>1.1.0</w:t>
      </w:r>
      <w:r>
        <w:rPr>
          <w:rFonts w:ascii="Calibri" w:hAnsi="Calibri" w:cs="Calibri"/>
        </w:rPr>
        <w:t xml:space="preserve">, and their exact package fingerprints. Its strict replay reference retains and validates the complete current v1 selection narrowing, derives executable authority through the existing exact projection, and excludes incidental </w:t>
      </w:r>
      <w:r>
        <w:rPr>
          <w:rFonts w:ascii="Consolas" w:hAnsi="Consolas" w:cs="Consolas"/>
          <w:sz w:val="19"/>
          <w:szCs w:val="19"/>
        </w:rPr>
        <w:t>selectionId</w:t>
      </w:r>
      <w:r>
        <w:rPr>
          <w:rFonts w:ascii="Calibri" w:hAnsi="Calibri" w:cs="Calibri"/>
        </w:rPr>
        <w:t xml:space="preserve"> from replay fingerprint identity. It performs no snapshot, appearance, profile or topology inference, creates no v2 identity, and does not read, write, render or publish historical state. Historical snapshot read/render replay is owned by A-09B; publication replay and parent A-09 closure are owned by A-09C. Current generation and merchant-visible behavior are unchanged.</w:t>
      </w:r>
    </w:p>
    <w:p>
      <w:pPr>
        <w:pStyle w:val="Normal"/>
        <w:widowControl/>
      </w:pPr>
      <w:r>
        <w:rPr>
          <w:rFonts w:ascii="Calibri" w:hAnsi="Calibri" w:cs="Calibri"/>
        </w:rPr>
        <w:t xml:space="preserve">P10B-19A-09B adds a strict read-only historical-v1 adapter over current canonical snapshot, registered component, PageBlueprint-profile, shared-frame, navigation, dynamic-commerce and catalogue validation. A supplied A-09A replay reference must bind exactly; otherwise the adapter fails closed. Without a reference, it reports </w:t>
      </w:r>
      <w:r>
        <w:rPr>
          <w:rFonts w:ascii="Consolas" w:hAnsi="Consolas" w:cs="Consolas"/>
          <w:sz w:val="19"/>
          <w:szCs w:val="19"/>
        </w:rPr>
        <w:t>readable-unattributed</w:t>
      </w:r>
      <w:r>
        <w:rPr>
          <w:rFonts w:ascii="Calibri" w:hAnsi="Calibri" w:cs="Calibri"/>
        </w:rPr>
        <w:t xml:space="preserve"> and never infers lineage. The deterministic deeply immutable receipt records seven present persisted selection fields as verified, seven absent fields as unverified,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fingerprint form </w:t>
      </w:r>
      <w:r>
        <w:rPr>
          <w:rFonts w:ascii="Consolas" w:hAnsi="Consolas" w:cs="Consolas"/>
          <w:sz w:val="19"/>
          <w:szCs w:val="19"/>
        </w:rPr>
        <w:t>legacy-v1-historical-snapshot-read-v1_&lt;canonical-length&gt;_&lt;sha256&gt;</w:t>
      </w:r>
      <w:r>
        <w:rPr>
          <w:rFonts w:ascii="Calibri" w:hAnsi="Calibri" w:cs="Calibri"/>
        </w:rPr>
        <w:t>. Frozen exact-base evidence matches 36 of 36 bounded current-renderer observations for the three representatives across EN/FI, with zero snapshot mutation, repository write, commerce change, media change, or route/profile/frame mismatch. This is not raw HTML equality, original-lineage recovery, migration, publication replay, v2 authority, or merchant-visible change.</w:t>
      </w:r>
    </w:p>
    <w:p>
      <w:pPr>
        <w:pStyle w:val="Normal"/>
        <w:widowControl/>
      </w:pPr>
      <w:r>
        <w:rPr>
          <w:rFonts w:ascii="Calibri" w:hAnsi="Calibri" w:cs="Calibri"/>
        </w:rPr>
        <w:t xml:space="preserve">P10B-19A-09C consumes the exact A-09B result and receipt, projects the historical snapshot only as a detached transient draft, and reuses the current canonical publication compiler with truthful </w:t>
      </w:r>
      <w:r>
        <w:rPr>
          <w:rFonts w:ascii="Consolas" w:hAnsi="Consolas" w:cs="Consolas"/>
          <w:sz w:val="19"/>
          <w:szCs w:val="19"/>
        </w:rPr>
        <w:t>manual</w:t>
      </w:r>
      <w:r>
        <w:rPr>
          <w:rFonts w:ascii="Calibri" w:hAnsi="Calibri" w:cs="Calibri"/>
        </w:rPr>
        <w:t xml:space="preserve"> source authority. It requires current migration status without write-back and returns one strict immutable replay receipt bound to A-09B and compiler fingerprints. Frozen exact-base evidence matches three direct compilations, three preparations and exactly three isolated atomic publication confirmations, including exact active compiled-artifact and added-version integrity. All 36 of 36 published renderer observations and all 36 of 36 normalized Preview/published structural observations match. Source aggregates and snapshots remain unchanged; provider, Vesko and external-publication calls are zero. No production/runtime consumer, v2 activation or merchant-visible change is added. Parent P10B-19A-09 is Baseline / closed.</w:t>
      </w:r>
    </w:p>
    <w:p>
      <w:pPr>
        <w:pStyle w:val="Normal"/>
        <w:widowControl/>
      </w:pPr>
      <w:r>
        <w:rPr>
          <w:rFonts w:ascii="Calibri" w:hAnsi="Calibri" w:cs="Calibri"/>
        </w:rPr>
        <w:t>P10B-19A-10A records the A-10A/A-10B/A-10C delivery decomposition without changing accepted architecture. Its checked, fresh-clone-safe inventory freezes 24 explicit retained matrices, commands and semantic outcomes; exact 126-case/frozen-72 and A-09 metrics; 76 task-base production-source hashes; nine v2 production-inactivity zeroes; and dynamic DEVX-01 discovery under one canonical fingerprint. It adds zero production files and no runtime consumer.</w:t>
      </w:r>
    </w:p>
    <w:p>
      <w:pPr>
        <w:pStyle w:val="Normal"/>
        <w:widowControl/>
      </w:pPr>
      <w:r>
        <w:rPr>
          <w:rFonts w:ascii="Calibri" w:hAnsi="Calibri" w:cs="Calibri"/>
        </w:rPr>
        <w:t xml:space="preserve">A-10B is delivered through two nested delivery-only children: A-10B1 owns the positive cross-authority integration matrix, while A-10B2 owns fail-closed negative coverage and parent A-10B closure. A-10B1 proves the exact 8/6/6/3 candidate/profile/context authority, three two-identity normalized topology groups, two-hop product-detail substitution, optional content/support omission, six family-constrained receipts and three sequential topology-distinct receipts. It preserves A-09 coexistence and frozen A-10A without production or runtime reach. A-10B2 binds 36 ordered fail-closed cases to the exact A-03 through A-09C owner and terminal phase. Each starts from fresh A-10B1 authority, applies one atomic corruption, completes no downstream phase, produces no partial output, preserves source fingerprints and records zero repair, fallback, default, repository-write, provider, Vesko or external-publication activity. Cases 17/18/20 alone permit native </w:t>
      </w:r>
      <w:r>
        <w:rPr>
          <w:rFonts w:ascii="Consolas" w:hAnsi="Consolas" w:cs="Consolas"/>
          <w:sz w:val="19"/>
          <w:szCs w:val="19"/>
        </w:rPr>
        <w:t>Error</w:t>
      </w:r>
      <w:r>
        <w:rPr>
          <w:rFonts w:ascii="Calibri" w:hAnsi="Calibri" w:cs="Calibri"/>
        </w:rPr>
        <w:t xml:space="preserve"> with null code; case 25 binds to </w:t>
      </w:r>
      <w:r>
        <w:rPr>
          <w:rFonts w:ascii="Consolas" w:hAnsi="Consolas" w:cs="Consolas"/>
          <w:sz w:val="19"/>
          <w:szCs w:val="19"/>
        </w:rPr>
        <w:t>stale-selection-authority</w:t>
      </w:r>
      <w:r>
        <w:rPr>
          <w:rFonts w:ascii="Calibri" w:hAnsi="Calibri" w:cs="Calibri"/>
        </w:rPr>
        <w:t xml:space="preserve">; case 28 is one coherent production-empty root replacement; and four legacy/v2 substitutions fail without coercion. The checked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the fixture SHA-256 is </w:t>
      </w:r>
      <w:r>
        <w:rPr>
          <w:rFonts w:ascii="Consolas" w:hAnsi="Consolas" w:cs="Consolas"/>
          <w:sz w:val="19"/>
          <w:szCs w:val="19"/>
        </w:rPr>
        <w:t>8708a2282749796c9d27d2dcd382384989c7738a5eb0b2f72f87c1ad73cb6a64</w:t>
      </w:r>
      <w:r>
        <w:rPr>
          <w:rFonts w:ascii="Calibri" w:hAnsi="Calibri" w:cs="Calibri"/>
        </w:rPr>
        <w:t>. A-10A and A-10B1 remain byte-identical, accepted 24/76/9 and 126/72/A-09 authority remains unchanged, and all nine production-v2 authority counts remain zero. A-10A, A-10B1 and A-10B2 are Baseline; parent A-10B is Baseline / closed.</w:t>
      </w:r>
    </w:p>
    <w:p>
      <w:pPr>
        <w:pStyle w:val="Normal"/>
        <w:widowControl/>
      </w:pPr>
      <w:r>
        <w:rPr>
          <w:rFonts w:ascii="Calibri" w:hAnsi="Calibri" w:cs="Calibri"/>
        </w:rPr>
        <w:t xml:space="preserve">P10B-19A-10C closes A-10 and P10B-19A through the checked </w:t>
      </w:r>
      <w:r>
        <w:rPr>
          <w:rFonts w:ascii="Consolas" w:hAnsi="Consolas" w:cs="Consolas"/>
          <w:sz w:val="19"/>
          <w:szCs w:val="19"/>
        </w:rPr>
        <w:t>tests/fixtures/p10b-19a-10c-architecture-closure-manifest.v1.json</w:t>
      </w:r>
      <w:r>
        <w:rPr>
          <w:rFonts w:ascii="Calibri" w:hAnsi="Calibri" w:cs="Calibri"/>
        </w:rPr>
        <w:t xml:space="preserve"> authority at base </w:t>
      </w:r>
      <w:r>
        <w:rPr>
          <w:rFonts w:ascii="Consolas" w:hAnsi="Consolas" w:cs="Consolas"/>
          <w:sz w:val="19"/>
          <w:szCs w:val="19"/>
        </w:rPr>
        <w:t>f9af2b2f007ff1bcb0f20a046edf33bc1f10ea37</w:t>
      </w:r>
      <w:r>
        <w:rPr>
          <w:rFonts w:ascii="Calibri" w:hAnsi="Calibri" w:cs="Calibri"/>
        </w:rPr>
        <w:t xml:space="preserve">. Product-owner decision </w:t>
      </w:r>
      <w:r>
        <w:rPr>
          <w:rFonts w:ascii="Consolas" w:hAnsi="Consolas" w:cs="Consolas"/>
          <w:sz w:val="19"/>
          <w:szCs w:val="19"/>
        </w:rPr>
        <w:t>ACCEPT P10B-19A STRUCTURAL ARCHITECTURE CLOSURE</w:t>
      </w:r>
      <w:r>
        <w:rPr>
          <w:rFonts w:ascii="Calibri" w:hAnsi="Calibri" w:cs="Calibri"/>
        </w:rPr>
        <w:t xml:space="preserve"> accepts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under decision fingerprint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 xml:space="preserve">The closure preserves all 11 frozen A-10A/A-10B1/A-10B2 predecessor files, the sorted 26-file retained plan, the 24-entry/76-hash/9-inactivity inventory, accepted 126/72 and A-09 metrics, and exact CI discovery/sharding authority. The architecture lock remains SHA-256 </w:t>
      </w:r>
      <w:r>
        <w:rPr>
          <w:rFonts w:ascii="Consolas" w:hAnsi="Consolas" w:cs="Consolas"/>
          <w:sz w:val="19"/>
          <w:szCs w:val="19"/>
        </w:rPr>
        <w:t>5292792dae97273411702eeaf468575172c0cf46b026103216423de29eaf47fd</w:t>
      </w:r>
      <w:r>
        <w:rPr>
          <w:rFonts w:ascii="Calibri" w:hAnsi="Calibri" w:cs="Calibri"/>
        </w:rPr>
        <w:t xml:space="preserve"> with 21 numbered sections, four Mermaid diagrams, 73 accepted children and zero nested-delivery child delta. Production files, active/selectable v2 families, current-generation consumers, client-runtime consumers, merchant-visible changes, provider/Vesko/external-publication/image-generation calls and secret-file access all remain zero. Architecture acceptance is not merge authority; A-10C has no screenshot gate, and B-01 has not begun.</w:t>
      </w:r>
    </w:p>
    <w:p>
      <w:pPr>
        <w:pStyle w:val="Normal"/>
        <w:widowControl/>
      </w:pPr>
      <w:r>
        <w:rPr>
          <w:rFonts w:ascii="Calibri" w:hAnsi="Calibri" w:cs="Calibri"/>
        </w:rPr>
        <w:t>The accepted limitations remain, in order:</w:t>
      </w:r>
    </w:p>
    <w:p>
      <w:pPr>
        <w:pStyle w:val="Normal"/>
        <w:numPr>
          <w:ilvl w:val="0"/>
          <w:numId w:val="2"/>
        </w:numPr>
        <w:widowControl/>
      </w:pPr>
      <w:r>
        <w:rPr>
          <w:rFonts w:ascii="Consolas" w:hAnsi="Consolas" w:cs="Consolas"/>
          <w:sz w:val="19"/>
          <w:szCs w:val="19"/>
        </w:rPr>
        <w:t>no-active-v2-family</w:t>
      </w:r>
    </w:p>
    <w:p>
      <w:pPr>
        <w:pStyle w:val="Normal"/>
        <w:numPr>
          <w:ilvl w:val="0"/>
          <w:numId w:val="2"/>
        </w:numPr>
        <w:widowControl/>
      </w:pPr>
      <w:r>
        <w:rPr>
          <w:rFonts w:ascii="Consolas" w:hAnsi="Consolas" w:cs="Consolas"/>
          <w:sz w:val="19"/>
          <w:szCs w:val="19"/>
        </w:rPr>
        <w:t>no-v2-rendered-storefront</w:t>
      </w:r>
    </w:p>
    <w:p>
      <w:pPr>
        <w:pStyle w:val="Normal"/>
        <w:numPr>
          <w:ilvl w:val="0"/>
          <w:numId w:val="2"/>
        </w:numPr>
        <w:widowControl/>
      </w:pPr>
      <w:r>
        <w:rPr>
          <w:rFonts w:ascii="Consolas" w:hAnsi="Consolas" w:cs="Consolas"/>
          <w:sz w:val="19"/>
          <w:szCs w:val="19"/>
        </w:rPr>
        <w:t>no-visual-recipe</w:t>
      </w:r>
    </w:p>
    <w:p>
      <w:pPr>
        <w:pStyle w:val="Normal"/>
        <w:numPr>
          <w:ilvl w:val="0"/>
          <w:numId w:val="2"/>
        </w:numPr>
        <w:widowControl/>
      </w:pPr>
      <w:r>
        <w:rPr>
          <w:rFonts w:ascii="Consolas" w:hAnsi="Consolas" w:cs="Consolas"/>
          <w:sz w:val="19"/>
          <w:szCs w:val="19"/>
        </w:rPr>
        <w:t>no-design-dna-v2</w:t>
      </w:r>
    </w:p>
    <w:p>
      <w:pPr>
        <w:pStyle w:val="Normal"/>
        <w:numPr>
          <w:ilvl w:val="0"/>
          <w:numId w:val="2"/>
        </w:numPr>
        <w:widowControl/>
      </w:pPr>
      <w:r>
        <w:rPr>
          <w:rFonts w:ascii="Consolas" w:hAnsi="Consolas" w:cs="Consolas"/>
          <w:sz w:val="19"/>
          <w:szCs w:val="19"/>
        </w:rPr>
        <w:t>no-v2-frame-family</w:t>
      </w:r>
    </w:p>
    <w:p>
      <w:pPr>
        <w:pStyle w:val="Normal"/>
        <w:numPr>
          <w:ilvl w:val="0"/>
          <w:numId w:val="2"/>
        </w:numPr>
        <w:widowControl/>
      </w:pPr>
      <w:r>
        <w:rPr>
          <w:rFonts w:ascii="Consolas" w:hAnsi="Consolas" w:cs="Consolas"/>
          <w:sz w:val="19"/>
          <w:szCs w:val="19"/>
        </w:rPr>
        <w:t>no-v2-page-family-realization</w:t>
      </w:r>
    </w:p>
    <w:p>
      <w:pPr>
        <w:pStyle w:val="Normal"/>
        <w:numPr>
          <w:ilvl w:val="0"/>
          <w:numId w:val="2"/>
        </w:numPr>
        <w:widowControl/>
      </w:pPr>
      <w:r>
        <w:rPr>
          <w:rFonts w:ascii="Consolas" w:hAnsi="Consolas" w:cs="Consolas"/>
          <w:sz w:val="19"/>
          <w:szCs w:val="19"/>
        </w:rPr>
        <w:t>no-ai-design-director</w:t>
      </w:r>
    </w:p>
    <w:p>
      <w:pPr>
        <w:pStyle w:val="Normal"/>
        <w:numPr>
          <w:ilvl w:val="0"/>
          <w:numId w:val="2"/>
        </w:numPr>
        <w:widowControl/>
      </w:pPr>
      <w:r>
        <w:rPr>
          <w:rFonts w:ascii="Consolas" w:hAnsi="Consolas" w:cs="Consolas"/>
          <w:sz w:val="19"/>
          <w:szCs w:val="19"/>
        </w:rPr>
        <w:t>no-screenshot-critic</w:t>
      </w:r>
    </w:p>
    <w:p>
      <w:pPr>
        <w:pStyle w:val="Normal"/>
        <w:numPr>
          <w:ilvl w:val="0"/>
          <w:numId w:val="2"/>
        </w:numPr>
        <w:widowControl/>
      </w:pPr>
      <w:r>
        <w:rPr>
          <w:rFonts w:ascii="Consolas" w:hAnsi="Consolas" w:cs="Consolas"/>
          <w:sz w:val="19"/>
          <w:szCs w:val="19"/>
        </w:rPr>
        <w:t>no-live-ai-quality-evidence</w:t>
      </w:r>
    </w:p>
    <w:p>
      <w:pPr>
        <w:pStyle w:val="Normal"/>
        <w:numPr>
          <w:ilvl w:val="0"/>
          <w:numId w:val="2"/>
        </w:numPr>
        <w:widowControl/>
      </w:pPr>
      <w:r>
        <w:rPr>
          <w:rFonts w:ascii="Consolas" w:hAnsi="Consolas" w:cs="Consolas"/>
          <w:sz w:val="19"/>
          <w:szCs w:val="19"/>
        </w:rPr>
        <w:t>no-v2-commercial-quality-claim</w:t>
      </w:r>
    </w:p>
    <w:p>
      <w:pPr>
        <w:pStyle w:val="Normal"/>
        <w:widowControl/>
      </w:pPr>
      <w:r>
        <w:rPr>
          <w:rFonts w:ascii="Calibri" w:hAnsi="Calibri" w:cs="Calibri"/>
        </w:rPr>
        <w:t>P10B-19A-10C is Baseline; P10B-19A-10 and P10B-19A are Baseline / closed. P10B-19B-01 is the exact next implementation task and is Planned / exact next; it has not begun. P10B-19 and P10B remain Partial.</w:t>
      </w:r>
    </w:p>
    <w:p>
      <w:pPr>
        <w:pStyle w:val="Normal"/>
        <w:widowControl/>
      </w:pPr>
      <w:r>
        <w:rPr>
          <w:rFonts w:ascii="Calibri" w:hAnsi="Calibri" w:cs="Calibri"/>
        </w:rPr>
        <w:t>The A-08A/A-08B/A-08C, A-09A/A-09B/A-09C and A-10A/A-10B/A-10C rows, including A-10B1/A-10B2 beneath A-10B, are nested delivery-only decompositions of their accepted parent tasks. They do not renumber or expand the accepted 73-child architecture.</w:t>
      </w:r>
    </w:p>
    <w:p>
      <w:pPr>
        <w:pStyle w:val="Normal"/>
        <w:widowControl/>
      </w:pPr>
      <w:r>
        <w:rPr>
          <w:rFonts w:ascii="Calibri" w:hAnsi="Calibri" w:cs="Calibri"/>
        </w:rPr>
        <w:t xml:space="preserve">P10B-19A-07 adds strict, deeply readonly PageBlueprint v2 and Structural Storefront Family candidate authorities at candidate schema version </w:t>
      </w:r>
      <w:r>
        <w:rPr>
          <w:rFonts w:ascii="Consolas" w:hAnsi="Consolas" w:cs="Consolas"/>
          <w:sz w:val="19"/>
          <w:szCs w:val="19"/>
        </w:rPr>
        <w:t>1.0.0</w:t>
      </w:r>
      <w:r>
        <w:rPr>
          <w:rFonts w:ascii="Calibri" w:hAnsi="Calibri" w:cs="Calibri"/>
        </w:rPr>
        <w:t xml:space="preserve">. PageBlueprint candidates compose exact A-03/A-04/A-05/A-06 authority and use stale-checked </w:t>
      </w:r>
      <w:r>
        <w:rPr>
          <w:rFonts w:ascii="Consolas" w:hAnsi="Consolas" w:cs="Consolas"/>
          <w:sz w:val="19"/>
          <w:szCs w:val="19"/>
        </w:rPr>
        <w:t>page-blueprint-v2-candidate-v1_&lt;canonical-length&gt;_&lt;sha256&gt;</w:t>
      </w:r>
      <w:r>
        <w:rPr>
          <w:rFonts w:ascii="Calibri" w:hAnsi="Calibri" w:cs="Calibri"/>
        </w:rPr>
        <w:t xml:space="preserve"> exact-content fingerprints. Family candidates keep exact A-01 identity and lifecycle </w:t>
      </w:r>
      <w:r>
        <w:rPr>
          <w:rFonts w:ascii="Consolas" w:hAnsi="Consolas" w:cs="Consolas"/>
          <w:sz w:val="19"/>
          <w:szCs w:val="19"/>
        </w:rPr>
        <w:t>candidate</w:t>
      </w:r>
      <w:r>
        <w:rPr>
          <w:rFonts w:ascii="Calibri" w:hAnsi="Calibri" w:cs="Calibri"/>
        </w:rPr>
        <w:t xml:space="preserve">, cover all six A-02 page-family roles with nonempty profile references and canonical A-02 relationships, and use stale-checked </w:t>
      </w:r>
      <w:r>
        <w:rPr>
          <w:rFonts w:ascii="Consolas" w:hAnsi="Consolas" w:cs="Consolas"/>
          <w:sz w:val="19"/>
          <w:szCs w:val="19"/>
        </w:rPr>
        <w:t>structural-storefront-family-candidate-v1_&lt;canonical-length&gt;_&lt;sha256&gt;</w:t>
      </w:r>
      <w:r>
        <w:rPr>
          <w:rFonts w:ascii="Calibri" w:hAnsi="Calibri" w:cs="Calibri"/>
        </w:rPr>
        <w:t xml:space="preserve"> fingerprints that exclude lifecycle. The inactive registry rejects duplicate identities, unresolved or page-family-mismatched A-06 targets, and direct, indirect, or cross-version substitution cycles while preserving target priority. Its sole production value has two exactly empty candidate arrays. These fingerprints are content integrity, not normalized topology; active or candidate records, selection, activation, persistence, publication, and runtime consumers remain zero. A-01 through A-06 and v1 remain unchanged; A-08 owns compatibility, deterministic selection, and normalized topology. P10B-19A-06 adds one strict, deeply readonly PageBlueprint v2 omission, substitution and fallback companion at schema version </w:t>
      </w:r>
      <w:r>
        <w:rPr>
          <w:rFonts w:ascii="Consolas" w:hAnsi="Consolas" w:cs="Consolas"/>
          <w:sz w:val="19"/>
          <w:szCs w:val="19"/>
        </w:rPr>
        <w:t>1.0.0</w:t>
      </w:r>
      <w:r>
        <w:rPr>
          <w:rFonts w:ascii="Calibri" w:hAnsi="Calibri" w:cs="Calibri"/>
        </w:rPr>
        <w:t xml:space="preserve">. It composes the exact A-03 structural, A-04 asset-role and A-05 responsive identity; owns only </w:t>
      </w:r>
      <w:r>
        <w:rPr>
          <w:rFonts w:ascii="Consolas" w:hAnsi="Consolas" w:cs="Consolas"/>
          <w:sz w:val="19"/>
          <w:szCs w:val="19"/>
        </w:rPr>
        <w:t>required-asset-role-cardinality-unsatisfied</w:t>
      </w:r>
      <w:r>
        <w:rPr>
          <w:rFonts w:ascii="Calibri" w:hAnsi="Calibri" w:cs="Calibri"/>
        </w:rPr>
        <w:t xml:space="preserve">; covers every and only required-role region with one explicit </w:t>
      </w:r>
      <w:r>
        <w:rPr>
          <w:rFonts w:ascii="Consolas" w:hAnsi="Consolas" w:cs="Consolas"/>
          <w:sz w:val="19"/>
          <w:szCs w:val="19"/>
        </w:rPr>
        <w:t>omit-region</w:t>
      </w:r>
      <w:r>
        <w:rPr>
          <w:rFonts w:ascii="Calibri" w:hAnsi="Calibri" w:cs="Calibri"/>
        </w:rPr>
        <w:t xml:space="preserve"> or </w:t>
      </w:r>
      <w:r>
        <w:rPr>
          <w:rFonts w:ascii="Consolas" w:hAnsi="Consolas" w:cs="Consolas"/>
          <w:sz w:val="19"/>
          <w:szCs w:val="19"/>
        </w:rPr>
        <w:t>fail-closed</w:t>
      </w:r>
      <w:r>
        <w:rPr>
          <w:rFonts w:ascii="Calibri" w:hAnsi="Calibri" w:cs="Calibri"/>
        </w:rPr>
        <w:t xml:space="preserve"> terminal rule; and preserves up to eight whole-blueprint substitution references in declared priority order. Required regions cannot be omitted, and a bounded internal A-03 projection revalidates the maximum simultaneous optional omission without export, persistence or fingerprinting. It adds no availability, target lookup, compatibility, selection, execution, records, registry, persistence, rendering or current- generation consumer. P10B-19A-05 retains the strict responsive-rule companion; P10B-19A-04 adds one strict, deeply readonly PageBlueprint v2 asset-role compatibility companion. It reuses the canonical ordered nine-role vocabulary; binds exact blueprint ID/version and known regions; validates explicit required/optional role cardinality through maximum 32; and canonicalizes only valid authority by structural default reading order and canonical role order. It adds no exact asset, availability, reuse, responsive/fallback, record, registry, persistence, selector, renderer or current-generation authority. P10B-19A-03 adds the strict inactive PageBlueprint v2 structural contract and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w:t>
      </w:r>
      <w:r>
        <w:rPr>
          <w:rFonts w:ascii="Consolas" w:hAnsi="Consolas" w:cs="Consolas"/>
          <w:sz w:val="19"/>
          <w:szCs w:val="19"/>
        </w:rPr>
        <w:t>contractSchemaVersion</w:t>
      </w:r>
      <w:r>
        <w:rPr>
          <w:rFonts w:ascii="Calibri" w:hAnsi="Calibri" w:cs="Calibri"/>
        </w:rPr>
        <w:t xml:space="preserve"> dispatch under </w:t>
      </w:r>
      <w:r>
        <w:rPr>
          <w:rFonts w:ascii="Consolas" w:hAnsi="Consolas" w:cs="Consolas"/>
          <w:sz w:val="19"/>
          <w:szCs w:val="19"/>
        </w:rPr>
        <w:t>src/application/storefront-templates</w:t>
      </w:r>
      <w:r>
        <w:rPr>
          <w:rFonts w:ascii="Calibri" w:hAnsi="Calibri" w:cs="Calibri"/>
        </w:rPr>
        <w:t xml:space="preserve">. It reuses canonical page-family, narrative-role and visual-weight authority; locks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validates required-role minimums, bounded graph invariants and complete accessible order alternatives; and canonicalizes only valid authority. Existing v1 profiles are unchanged. Active-family, candidate-family-registry, v2-record, v2-registry, persisted-v2 and current-generation-v2-consumer counts remain zero. A-03 itself added no responsive or fallback authority. P10B-19A-02 adds the strict six-role and seven-kind directed relationship value object, deterministic key, bounded duplicate evidence and canonical collection ordering. It adds zero active family records, candidate registry records, persisted relationships, production-selected relationships or current-generation consumers.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A-01 itself added no registry, fingerprint, selection, PageBlueprint v2, rendering, or current-generation wiring.</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2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24"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exact next implementation task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 xml:space="preserve">. P10B-16P-04 acceptance evidence is retained in </w:t>
      </w:r>
      <w:hyperlink r:id="rIdHyperlink2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P10B-19A-10B2 and P10B-19A-10C are Baseline; parents P10B-19A-10B,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2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2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2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2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3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3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3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3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3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3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3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3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3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3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4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4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4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2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P10B-18B-04, P10B-18B-05, parent P10B-18B and P10B-18C are Baseline; P10B-18D is a rejected-quality diagnostic Baseline.</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4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4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P10B-19A-01 through P10B-19A-07 and P10B-19A-08A through P10B-19A-08C are Baseline; parent P10B-19A-08 is Baseline / closed. P10B-19A-09A, P10B-19A-09B and P10B-19A-09C are Baseline; </w:t>
      </w:r>
      <w:r>
        <w:rPr>
          <w:rFonts w:ascii="Consolas" w:hAnsi="Consolas" w:cs="Consolas"/>
          <w:sz w:val="19"/>
          <w:szCs w:val="19"/>
        </w:rPr>
        <w:t>P10B-19A-09 - v1 read/render/migration/publication compatibility</w:t>
      </w:r>
      <w:r>
        <w:rPr>
          <w:rFonts w:ascii="Calibri" w:hAnsi="Calibri" w:cs="Calibri"/>
        </w:rPr>
        <w:t xml:space="preserve"> is Baseline / closed, while </w:t>
      </w:r>
      <w:r>
        <w:rPr>
          <w:rFonts w:ascii="Consolas" w:hAnsi="Consolas" w:cs="Consolas"/>
          <w:sz w:val="19"/>
          <w:szCs w:val="19"/>
        </w:rPr>
        <w:t>P10B-19A - Structural Storefront Family Contract</w:t>
      </w:r>
      <w:r>
        <w:rPr>
          <w:rFonts w:ascii="Calibri" w:hAnsi="Calibri" w:cs="Calibri"/>
        </w:rPr>
        <w:t xml:space="preserve"> is Baseline / closed. P10B-19A-10A, P10B-19A-10B1, P10B-19A-10B2 and P10B-19A-10C are Baseline; parents P10B-19A-10B and P10B-19A-10 are Baseline / closed. P10B-19B-01 is the exact next implementation task and is Planned / exact next; it has not begun. P10B-19 and P10B remain Partial, and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44" w:history="1">
        <w:r>
          <w:rPr>
            <w:rFonts w:ascii="Calibri" w:hAnsi="Calibri" w:cs="Calibri"/>
            <w:color w:val="2E74B5"/>
            <w:u w:val="single"/>
          </w:rPr>
          <w:t>VESKO_OPENAPI_CONTRACT_AUDIT.md</w:t>
        </w:r>
      </w:hyperlink>
      <w:r>
        <w:rPr>
          <w:rFonts w:ascii="Calibri" w:hAnsi="Calibri" w:cs="Calibri"/>
        </w:rPr>
        <w:t xml:space="preserve"> and </w:t>
      </w:r>
      <w:hyperlink r:id="rIdHyperlink4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keepLines/>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ageBreakBefore/>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w:t>
      </w:r>
    </w:p>
    <w:p>
      <w:pPr>
        <w:pageBreakBefore/>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cantSplit/>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Accepted structural closure preserves frozen architecture, predecessors and zero-production boundary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A-08A normalized topology, A-08B compatibility and A-08C deterministic selection complete the accepted parent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Structural family identity, version and lifecycle authority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Cross-page Structural Storefront Family relationship contract</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P10B-19A-03</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Required page structures, region graph and explicit PageBlueprint v1/v2 dispatch; zero v2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P10B-19A-04</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Asset-role compatibility contract bound to exact PageBlueprint v2 identity and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P10B-19A-05</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Responsive-rule contract bound to four breakpoints and complete structural coverage;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P10B-19A-06</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Omission, substitution and fallback contract bound to required asset-role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P10B-19A-07</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candidate fingerprints and six-profile inactive family registry authority; sole production registry value remains exactly empty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Normalized PageBlueprint v2/family topology identity and pure duplicate index; all production record counts remain zero</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Candidate compatibility contracts and deterministic evaluation; empty production profile catalogue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Scoring-free deterministic selection, identity-free complete topology, immutable replay receipt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A-09A identity, A-09B historical read/render replay and A-09C publication replay complete the accepted v1 compatibility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three legacy-v1 aliases and strict stale-checked v1 selection replay reference; no snapshot/render/publication execution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Strict read-only current-canonical validation, exact-bound or readable-unattributed receipt, and 36/36 current-renderer replay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A-09B/compiler binding, manual-source replay, three atomic confirmations, active-version integrity and 36/36 published/parity proof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A-10A retained inventory, A-10B integration/failure matrix and A-10C accepted closure complete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Checked 24-entry inventory; exact 126/72 and A-09 metrics; 76 hashes; nine inactivity zeroes; dynamic CI discovery; zero production diff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Positive B1 and exact 36-case fail-closed B2 complete;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fixed-count positive matrix; A-09/A-10A unchanged;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36-case owner/phase matrix; no downstream work, partial output, source mutation or production change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Product-owner-accepted closure manifest; exact retained plan/discovery; frozen architecture/predecessors; zero production</w:t>
            </w:r>
          </w:p>
        </w:tc>
      </w:tr>
      <w:tr>
        <w:trPr>
          <w:cantSplit/>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P10B-19B-01</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VisualRecipeIntentV1 safe schema and capability projection; has not begun</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architecture remains the 73-child granular plan. The A-10A/A-10B/A-10C rows, including A-10B1/A-10B2 beneath A-10B, are nested delivery micro-PRs within accepted parent A-10 and do not renumber or expand that architecture count.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P10B-19A-02 = Baseline</w:t>
      </w:r>
    </w:p>
    <w:p>
      <w:pPr>
        <w:pStyle w:val="Normal"/>
        <w:numPr>
          <w:ilvl w:val="0"/>
          <w:numId w:val="1"/>
        </w:numPr>
        <w:widowControl/>
      </w:pPr>
      <w:r>
        <w:rPr>
          <w:rFonts w:ascii="Calibri" w:hAnsi="Calibri" w:cs="Calibri"/>
        </w:rPr>
        <w:t>P10B-19A-03 = Baseline</w:t>
      </w:r>
    </w:p>
    <w:p>
      <w:pPr>
        <w:pStyle w:val="Normal"/>
        <w:numPr>
          <w:ilvl w:val="0"/>
          <w:numId w:val="1"/>
        </w:numPr>
        <w:widowControl/>
      </w:pPr>
      <w:r>
        <w:rPr>
          <w:rFonts w:ascii="Calibri" w:hAnsi="Calibri" w:cs="Calibri"/>
        </w:rPr>
        <w:t>P10B-19A-04 = Baseline</w:t>
      </w:r>
    </w:p>
    <w:p>
      <w:pPr>
        <w:pStyle w:val="Normal"/>
        <w:numPr>
          <w:ilvl w:val="0"/>
          <w:numId w:val="1"/>
        </w:numPr>
        <w:widowControl/>
      </w:pPr>
      <w:r>
        <w:rPr>
          <w:rFonts w:ascii="Calibri" w:hAnsi="Calibri" w:cs="Calibri"/>
        </w:rPr>
        <w:t>P10B-19A-05 = Baseline</w:t>
      </w:r>
    </w:p>
    <w:p>
      <w:pPr>
        <w:pStyle w:val="Normal"/>
        <w:numPr>
          <w:ilvl w:val="0"/>
          <w:numId w:val="1"/>
        </w:numPr>
        <w:widowControl/>
      </w:pPr>
      <w:r>
        <w:rPr>
          <w:rFonts w:ascii="Calibri" w:hAnsi="Calibri" w:cs="Calibri"/>
        </w:rPr>
        <w:t>P10B-19A-06 = Baseline</w:t>
      </w:r>
    </w:p>
    <w:p>
      <w:pPr>
        <w:pStyle w:val="Normal"/>
        <w:numPr>
          <w:ilvl w:val="0"/>
          <w:numId w:val="1"/>
        </w:numPr>
        <w:widowControl/>
      </w:pPr>
      <w:r>
        <w:rPr>
          <w:rFonts w:ascii="Calibri" w:hAnsi="Calibri" w:cs="Calibri"/>
        </w:rPr>
        <w:t>P10B-19A-07 = Baseline</w:t>
      </w:r>
    </w:p>
    <w:p>
      <w:pPr>
        <w:pStyle w:val="Normal"/>
        <w:numPr>
          <w:ilvl w:val="0"/>
          <w:numId w:val="1"/>
        </w:numPr>
        <w:widowControl/>
      </w:pPr>
      <w:r>
        <w:rPr>
          <w:rFonts w:ascii="Calibri" w:hAnsi="Calibri" w:cs="Calibri"/>
        </w:rPr>
        <w:t>P10B-19A-08A = Baseline</w:t>
      </w:r>
    </w:p>
    <w:p>
      <w:pPr>
        <w:pStyle w:val="Normal"/>
        <w:numPr>
          <w:ilvl w:val="0"/>
          <w:numId w:val="1"/>
        </w:numPr>
        <w:widowControl/>
      </w:pPr>
      <w:r>
        <w:rPr>
          <w:rFonts w:ascii="Calibri" w:hAnsi="Calibri" w:cs="Calibri"/>
        </w:rPr>
        <w:t>P10B-19A-08B = Baseline</w:t>
      </w:r>
    </w:p>
    <w:p>
      <w:pPr>
        <w:pStyle w:val="Normal"/>
        <w:numPr>
          <w:ilvl w:val="0"/>
          <w:numId w:val="1"/>
        </w:numPr>
        <w:widowControl/>
      </w:pPr>
      <w:r>
        <w:rPr>
          <w:rFonts w:ascii="Calibri" w:hAnsi="Calibri" w:cs="Calibri"/>
        </w:rPr>
        <w:t>P10B-19A-08C = Baseline</w:t>
      </w:r>
    </w:p>
    <w:p>
      <w:pPr>
        <w:pStyle w:val="Normal"/>
        <w:numPr>
          <w:ilvl w:val="0"/>
          <w:numId w:val="1"/>
        </w:numPr>
        <w:widowControl/>
      </w:pPr>
      <w:r>
        <w:rPr>
          <w:rFonts w:ascii="Calibri" w:hAnsi="Calibri" w:cs="Calibri"/>
        </w:rPr>
        <w:t>P10B-19A-08 = Baseline / closed</w:t>
      </w:r>
    </w:p>
    <w:p>
      <w:pPr>
        <w:pStyle w:val="Normal"/>
        <w:numPr>
          <w:ilvl w:val="0"/>
          <w:numId w:val="1"/>
        </w:numPr>
        <w:widowControl/>
      </w:pPr>
      <w:r>
        <w:rPr>
          <w:rFonts w:ascii="Calibri" w:hAnsi="Calibri" w:cs="Calibri"/>
        </w:rPr>
        <w:t>P10B-19A-09A = Baseline</w:t>
      </w:r>
    </w:p>
    <w:p>
      <w:pPr>
        <w:pStyle w:val="Normal"/>
        <w:numPr>
          <w:ilvl w:val="0"/>
          <w:numId w:val="1"/>
        </w:numPr>
        <w:widowControl/>
      </w:pPr>
      <w:r>
        <w:rPr>
          <w:rFonts w:ascii="Calibri" w:hAnsi="Calibri" w:cs="Calibri"/>
        </w:rPr>
        <w:t>P10B-19A-09B = Baseline</w:t>
      </w:r>
    </w:p>
    <w:p>
      <w:pPr>
        <w:pStyle w:val="Normal"/>
        <w:numPr>
          <w:ilvl w:val="0"/>
          <w:numId w:val="1"/>
        </w:numPr>
        <w:widowControl/>
      </w:pPr>
      <w:r>
        <w:rPr>
          <w:rFonts w:ascii="Calibri" w:hAnsi="Calibri" w:cs="Calibri"/>
        </w:rPr>
        <w:t>P10B-19A-09C = Baseline</w:t>
      </w:r>
    </w:p>
    <w:p>
      <w:pPr>
        <w:pStyle w:val="Normal"/>
        <w:numPr>
          <w:ilvl w:val="0"/>
          <w:numId w:val="1"/>
        </w:numPr>
        <w:widowControl/>
      </w:pPr>
      <w:r>
        <w:rPr>
          <w:rFonts w:ascii="Calibri" w:hAnsi="Calibri" w:cs="Calibri"/>
        </w:rPr>
        <w:t>P10B-19A-09 = Baseline / closed</w:t>
      </w:r>
    </w:p>
    <w:p>
      <w:pPr>
        <w:pStyle w:val="Normal"/>
        <w:numPr>
          <w:ilvl w:val="0"/>
          <w:numId w:val="1"/>
        </w:numPr>
        <w:widowControl/>
      </w:pPr>
      <w:r>
        <w:rPr>
          <w:rFonts w:ascii="Calibri" w:hAnsi="Calibri" w:cs="Calibri"/>
        </w:rPr>
        <w:t>P10B-19A-10A = Baseline</w:t>
      </w:r>
    </w:p>
    <w:p>
      <w:pPr>
        <w:pStyle w:val="Normal"/>
        <w:numPr>
          <w:ilvl w:val="0"/>
          <w:numId w:val="1"/>
        </w:numPr>
        <w:widowControl/>
      </w:pPr>
      <w:r>
        <w:rPr>
          <w:rFonts w:ascii="Calibri" w:hAnsi="Calibri" w:cs="Calibri"/>
        </w:rPr>
        <w:t>P10B-19A-10B1 = Baseline</w:t>
      </w:r>
    </w:p>
    <w:p>
      <w:pPr>
        <w:pStyle w:val="Normal"/>
        <w:numPr>
          <w:ilvl w:val="0"/>
          <w:numId w:val="1"/>
        </w:numPr>
        <w:widowControl/>
      </w:pPr>
      <w:r>
        <w:rPr>
          <w:rFonts w:ascii="Calibri" w:hAnsi="Calibri" w:cs="Calibri"/>
        </w:rPr>
        <w:t>P10B-19A-10B = Baseline / closed</w:t>
      </w:r>
    </w:p>
    <w:p>
      <w:pPr>
        <w:pStyle w:val="Normal"/>
        <w:numPr>
          <w:ilvl w:val="0"/>
          <w:numId w:val="1"/>
        </w:numPr>
        <w:widowControl/>
      </w:pPr>
      <w:r>
        <w:rPr>
          <w:rFonts w:ascii="Calibri" w:hAnsi="Calibri" w:cs="Calibri"/>
        </w:rPr>
        <w:t>P10B-19A-10 = Baseline / closed</w:t>
      </w:r>
    </w:p>
    <w:p>
      <w:pPr>
        <w:pStyle w:val="Normal"/>
        <w:numPr>
          <w:ilvl w:val="0"/>
          <w:numId w:val="1"/>
        </w:numPr>
        <w:widowControl/>
      </w:pPr>
      <w:r>
        <w:rPr>
          <w:rFonts w:ascii="Calibri" w:hAnsi="Calibri" w:cs="Calibri"/>
        </w:rPr>
        <w:t>P10B-19A-10B2 = Baseline</w:t>
      </w:r>
    </w:p>
    <w:p>
      <w:pPr>
        <w:pStyle w:val="Normal"/>
        <w:numPr>
          <w:ilvl w:val="0"/>
          <w:numId w:val="1"/>
        </w:numPr>
        <w:widowControl/>
      </w:pPr>
      <w:r>
        <w:rPr>
          <w:rFonts w:ascii="Calibri" w:hAnsi="Calibri" w:cs="Calibri"/>
        </w:rPr>
        <w:t>P10B-19A-10C = Baseline</w:t>
      </w:r>
    </w:p>
    <w:p>
      <w:pPr>
        <w:pStyle w:val="Normal"/>
        <w:numPr>
          <w:ilvl w:val="0"/>
          <w:numId w:val="1"/>
        </w:numPr>
        <w:widowControl/>
      </w:pPr>
      <w:r>
        <w:rPr>
          <w:rFonts w:ascii="Calibri" w:hAnsi="Calibri" w:cs="Calibri"/>
        </w:rPr>
        <w:t>P10B-19B-01 = exact next implementation task</w:t>
      </w:r>
    </w:p>
    <w:p>
      <w:pPr>
        <w:pStyle w:val="Normal"/>
        <w:numPr>
          <w:ilvl w:val="0"/>
          <w:numId w:val="1"/>
        </w:numPr>
        <w:widowControl/>
      </w:pPr>
      <w:r>
        <w:rPr>
          <w:rFonts w:ascii="Calibri" w:hAnsi="Calibri" w:cs="Calibri"/>
        </w:rPr>
        <w:t>P10B-19A = Baseline / closed</w:t>
      </w:r>
    </w:p>
    <w:p>
      <w:pPr>
        <w:pStyle w:val="Normal"/>
        <w:numPr>
          <w:ilvl w:val="0"/>
          <w:numId w:val="1"/>
        </w:numPr>
        <w:widowControl/>
      </w:pPr>
      <w:r>
        <w:rPr>
          <w:rFonts w:ascii="Calibri" w:hAnsi="Calibri" w:cs="Calibri"/>
        </w:rPr>
        <w:t>P10B-19 = Partial</w:t>
      </w:r>
    </w:p>
    <w:p>
      <w:pPr>
        <w:pStyle w:val="Normal"/>
        <w:numPr>
          <w:ilvl w:val="0"/>
          <w:numId w:val="1"/>
        </w:numPr>
        <w:widowControl/>
      </w:pPr>
      <w:r>
        <w:rPr>
          <w:rFonts w:ascii="Calibri" w:hAnsi="Calibri" w:cs="Calibri"/>
        </w:rPr>
        <w:t>P10B = Partial</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governance/task-contracts/AR/AR-02A.json" TargetMode="External"/><Relationship Id="rIdHyperlink4" Type="http://schemas.openxmlformats.org/officeDocument/2006/relationships/hyperlink" Target="AR_02A_IMPLEMENTATION_REPORT.md" TargetMode="External"/><Relationship Id="rIdHyperlink5" Type="http://schemas.openxmlformats.org/officeDocument/2006/relationships/hyperlink" Target="governance/task-contracts/AR/AR-02B.json" TargetMode="External"/><Relationship Id="rIdHyperlink6" Type="http://schemas.openxmlformats.org/officeDocument/2006/relationships/hyperlink" Target="AR_02B_IMPLEMENTATION_REPORT.md" TargetMode="External"/><Relationship Id="rIdHyperlink7" Type="http://schemas.openxmlformats.org/officeDocument/2006/relationships/hyperlink" Target="governance/task-contracts/AR/AR-03A.json" TargetMode="External"/><Relationship Id="rIdHyperlink8" Type="http://schemas.openxmlformats.org/officeDocument/2006/relationships/hyperlink" Target="AR_03A_IMPLEMENTATION_REPORT.md" TargetMode="External"/><Relationship Id="rIdHyperlink9" Type="http://schemas.openxmlformats.org/officeDocument/2006/relationships/hyperlink" Target="governance/task-contracts/AR/AR-02C.json" TargetMode="External"/><Relationship Id="rIdHyperlink10" Type="http://schemas.openxmlformats.org/officeDocument/2006/relationships/hyperlink" Target="AR_02C_IMPLEMENTATION_REPORT.md" TargetMode="External"/><Relationship Id="rIdHyperlink11" Type="http://schemas.openxmlformats.org/officeDocument/2006/relationships/hyperlink" Target="governance/task-contracts/AR/AR-02D.json" TargetMode="External"/><Relationship Id="rIdHyperlink12" Type="http://schemas.openxmlformats.org/officeDocument/2006/relationships/hyperlink" Target="AR_02D_IMPLEMENTATION_REPORT.md" TargetMode="External"/><Relationship Id="rIdHyperlink13" Type="http://schemas.openxmlformats.org/officeDocument/2006/relationships/hyperlink" Target="governance/task-contracts/AR/AR-02E.json" TargetMode="External"/><Relationship Id="rIdHyperlink14" Type="http://schemas.openxmlformats.org/officeDocument/2006/relationships/hyperlink" Target="AR_02E_IMPLEMENTATION_REPORT.md" TargetMode="External"/><Relationship Id="rIdHyperlink15" Type="http://schemas.openxmlformats.org/officeDocument/2006/relationships/hyperlink" Target="governance/task-contracts/AR/AR-02F.json" TargetMode="External"/><Relationship Id="rIdHyperlink16" Type="http://schemas.openxmlformats.org/officeDocument/2006/relationships/hyperlink" Target="AR_02F_IMPLEMENTATION_REPORT.md" TargetMode="External"/><Relationship Id="rIdHyperlink17" Type="http://schemas.openxmlformats.org/officeDocument/2006/relationships/hyperlink" Target="governance/task-contracts/AR/AR-02G.json" TargetMode="External"/><Relationship Id="rIdHyperlink18" Type="http://schemas.openxmlformats.org/officeDocument/2006/relationships/hyperlink" Target="AR_02G_IMPLEMENTATION_REPORT.md" TargetMode="External"/><Relationship Id="rIdHyperlink19" Type="http://schemas.openxmlformats.org/officeDocument/2006/relationships/hyperlink" Target="governance/task-contracts/AR/AR-02H.json" TargetMode="External"/><Relationship Id="rIdHyperlink20" Type="http://schemas.openxmlformats.org/officeDocument/2006/relationships/hyperlink" Target="AR_02H_IMPLEMENTATION_REPORT.md" TargetMode="External"/><Relationship Id="rIdHyperlink21" Type="http://schemas.openxmlformats.org/officeDocument/2006/relationships/hyperlink" Target="governance/task-contracts/AR/AR-03B.json" TargetMode="External"/><Relationship Id="rIdHyperlink22" Type="http://schemas.openxmlformats.org/officeDocument/2006/relationships/hyperlink" Target="AR_03B_IMPLEMENTATION_REPORT.md" TargetMode="External"/><Relationship Id="rIdHyperlink23" Type="http://schemas.openxmlformats.org/officeDocument/2006/relationships/hyperlink" Target="P10A_PHASE_CLOSURE.md" TargetMode="External"/><Relationship Id="rIdHyperlink24" Type="http://schemas.openxmlformats.org/officeDocument/2006/relationships/hyperlink" Target="P10B_COMMERCIAL_STOREFRONT_GENERATION_ARCHITECTURE.md" TargetMode="External"/><Relationship Id="rIdHyperlink25" Type="http://schemas.openxmlformats.org/officeDocument/2006/relationships/hyperlink" Target="P10B_16P_04_REAL_STUDIO_DESIGN_INTENT_ACCEPTANCE.md" TargetMode="External"/><Relationship Id="rIdHyperlink26" Type="http://schemas.openxmlformats.org/officeDocument/2006/relationships/hyperlink" Target="P10B_01_COMMERCIAL_DESIGN_GRAMMAR.md" TargetMode="External"/><Relationship Id="rIdHyperlink27" Type="http://schemas.openxmlformats.org/officeDocument/2006/relationships/hyperlink" Target="P10B_02_PARAMETRIC_BRAND_SYSTEM.md" TargetMode="External"/><Relationship Id="rIdHyperlink28" Type="http://schemas.openxmlformats.org/officeDocument/2006/relationships/hyperlink" Target="P10B_03_COMPONENT_ANATOMY_AND_MEANINGFUL_VARIANTS.md" TargetMode="External"/><Relationship Id="rIdHyperlink29" Type="http://schemas.openxmlformats.org/officeDocument/2006/relationships/hyperlink" Target="P10B_04_RESPONSIVE_IMAGE_ART_DIRECTION.md" TargetMode="External"/><Relationship Id="rIdHyperlink30" Type="http://schemas.openxmlformats.org/officeDocument/2006/relationships/hyperlink" Target="P10B_05_SITE_MAP_AND_PAGE_FAMILY_AUTHORITY.md" TargetMode="External"/><Relationship Id="rIdHyperlink31" Type="http://schemas.openxmlformats.org/officeDocument/2006/relationships/hyperlink" Target="P10B_06_COMMERCIAL_SHARED_FRAME_FAMILIES.md" TargetMode="External"/><Relationship Id="rIdHyperlink32" Type="http://schemas.openxmlformats.org/officeDocument/2006/relationships/hyperlink" Target="P10B_07_HERO_EDITORIAL_CAMPAIGN_PROOF_FAMILIES.md" TargetMode="External"/><Relationship Id="rIdHyperlink33" Type="http://schemas.openxmlformats.org/officeDocument/2006/relationships/hyperlink" Target="P10B_08_CANONICAL_PRODUCT_CARD_AND_MERCHANDISING.md" TargetMode="External"/><Relationship Id="rIdHyperlink34" Type="http://schemas.openxmlformats.org/officeDocument/2006/relationships/hyperlink" Target="P10B_09_COMMERCIAL_HOMEPAGE_PROFILE_LIBRARY.md" TargetMode="External"/><Relationship Id="rIdHyperlink35" Type="http://schemas.openxmlformats.org/officeDocument/2006/relationships/hyperlink" Target="P10B_10_COMMERCIAL_COLLECTION_SEARCH_PROFILES.md" TargetMode="External"/><Relationship Id="rIdHyperlink36" Type="http://schemas.openxmlformats.org/officeDocument/2006/relationships/hyperlink" Target="P10B_12_CONTENT_AND_SUPPORT_PAGE_FAMILIES.md" TargetMode="External"/><Relationship Id="rIdHyperlink37" Type="http://schemas.openxmlformats.org/officeDocument/2006/relationships/hyperlink" Target="P10B_13_COMMERCE_UTILITY_PRESENTATION_PAGES.md" TargetMode="External"/><Relationship Id="rIdHyperlink38" Type="http://schemas.openxmlformats.org/officeDocument/2006/relationships/hyperlink" Target="P10B_14_PREMIUM_EDITORIAL_COMPLETE_STOREFRONT_VERTICAL_SLICE.md" TargetMode="External"/><Relationship Id="rIdHyperlink39" Type="http://schemas.openxmlformats.org/officeDocument/2006/relationships/hyperlink" Target="P10B_15_BOUNDED_STOREFRONT_SYNTHESIS_AND_NARRATIVE_ENGINE.md" TargetMode="External"/><Relationship Id="rIdHyperlink40" Type="http://schemas.openxmlformats.org/officeDocument/2006/relationships/hyperlink" Target="P10B_16_COORDINATED_DIRECTIONS_AND_DIVERSITY_CONTROL.md" TargetMode="External"/><Relationship Id="rIdHyperlink41" Type="http://schemas.openxmlformats.org/officeDocument/2006/relationships/hyperlink" Target="P10B_16P_01_DYNAMIC_COMMERCE_ROUTE_ARCHETYPES.md" TargetMode="External"/><Relationship Id="rIdHyperlink42" Type="http://schemas.openxmlformats.org/officeDocument/2006/relationships/hyperlink" Target="P10B_16P_02_PROMPTED_STOREFRONT_DESIGN_PLAN_V2.md" TargetMode="External"/><Relationship Id="rIdHyperlink43" Type="http://schemas.openxmlformats.org/officeDocument/2006/relationships/hyperlink" Target="P10B_18_COMMERCIAL_QUALITY_AUDIT.md" TargetMode="External"/><Relationship Id="rIdHyperlink44" Type="http://schemas.openxmlformats.org/officeDocument/2006/relationships/hyperlink" Target="VESKO_OPENAPI_CONTRACT_AUDIT.md" TargetMode="External"/><Relationship Id="rIdHyperlink4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6acb0a29d286dfb7ae3b793a77b925c733723cb1f53cebd34045803751f1dbda</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