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11 August 2026, P10B-16P-02A prompted Storefront Design Intent V2 authority</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11 August 2026, P10B-16P-02A prompted Storefront Design Intent V2 authority</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24-view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9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990" w:type="dxa"/>
            <w:vAlign w:val="center"/>
          </w:tcPr>
          <w:p>
            <w:pPr>
              <w:pStyle w:val="CompactTableText"/>
              <w:widowControl/>
            </w:pPr>
            <w:r>
              <w:rPr>
                <w:rFonts w:ascii="Calibri" w:hAnsi="Calibri" w:cs="Calibri"/>
              </w:rPr>
              <w:t>Part A strict intent/mock evidence plus Part B deterministic compiler and no-partial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9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990" w:type="dxa"/>
            <w:vAlign w:val="center"/>
          </w:tcPr>
          <w:p>
            <w:pPr>
              <w:pStyle w:val="CompactTableText"/>
              <w:widowControl/>
            </w:pPr>
            <w:r>
              <w:rPr>
                <w:rFonts w:ascii="Calibri" w:hAnsi="Calibri" w:cs="Calibri"/>
              </w:rPr>
              <w:t>Exact refreshed-authority resolution, deterministic compilation, stale/incompatible/no-partial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990" w:type="dxa"/>
            <w:vAlign w:val="center"/>
          </w:tcPr>
          <w:p>
            <w:pPr>
              <w:pStyle w:val="CompactTableText"/>
              <w:widowControl/>
            </w:pPr>
            <w:r>
              <w:rPr>
                <w:rFonts w:ascii="Calibri" w:hAnsi="Calibri" w:cs="Calibri"/>
              </w:rPr>
              <w:t>Merchant-language integration, proposal lifecycle, browser/E2E and save/publish boundary evidence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990" w:type="dxa"/>
            <w:vAlign w:val="center"/>
          </w:tcPr>
          <w:p>
            <w:pPr>
              <w:pStyle w:val="CompactTableText"/>
              <w:widowControl/>
            </w:pPr>
            <w:r>
              <w:rPr>
                <w:rFonts w:ascii="Calibri" w:hAnsi="Calibri" w:cs="Calibri"/>
              </w:rPr>
              <w:t>Separately authorized real-provider V2 evidence and explicit P10B-16L bridge disposition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P10B-16P-04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P10B-16, P10B-16P-01, and P10B-16P-02A are </w:t>
      </w:r>
      <w:r>
        <w:rPr>
          <w:rFonts w:ascii="Calibri" w:hAnsi="Calibri" w:cs="Calibri"/>
          <w:b/>
          <w:bCs/>
        </w:rPr>
        <w:t>Baseline</w:t>
      </w:r>
      <w:r>
        <w:rPr>
          <w:rFonts w:ascii="Calibri" w:hAnsi="Calibri" w:cs="Calibri"/>
        </w:rPr>
        <w:t xml:space="preserve">. P10B-16P-02 is </w:t>
      </w:r>
      <w:r>
        <w:rPr>
          <w:rFonts w:ascii="Calibri" w:hAnsi="Calibri" w:cs="Calibri"/>
          <w:b/>
          <w:bCs/>
        </w:rPr>
        <w:t>Partial</w:t>
      </w:r>
      <w:r>
        <w:rPr>
          <w:rFonts w:ascii="Calibri" w:hAnsi="Calibri" w:cs="Calibri"/>
        </w:rPr>
        <w:t xml:space="preserve">. P10B-16P-02B, P10B-16P-03, P10B-16P-04, P10B-17, and P10B-18 remain </w:t>
      </w:r>
      <w:r>
        <w:rPr>
          <w:rFonts w:ascii="Calibri" w:hAnsi="Calibri" w:cs="Calibri"/>
          <w:b/>
          <w:bCs/>
        </w:rPr>
        <w:t>Planned</w:t>
      </w:r>
      <w:r>
        <w:rPr>
          <w:rFonts w:ascii="Calibri" w:hAnsi="Calibri" w:cs="Calibri"/>
        </w:rPr>
        <w:t>. The remaining Done conditions are implementation gates, not claims about the current repository. The P10B-16P sequence is a mandatory convergence package between P10B-16 and P10B-17; it supplements rather than renumbers the locked P10B-01 through P10B-18 plan.</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1"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2"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3"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4"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5"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6"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7"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8"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19"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0"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but runtime search materialization requires exact transient query/results from a first-class canonical adapter. Until P11 supplies that seam, missing search context fails closed and never substitutes a collection.</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Part A is Baseline and Part B remains Planned.</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1"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 when:</w:t>
      </w:r>
      <w:r>
        <w:rPr>
          <w:rFonts w:ascii="Calibri" w:hAnsi="Calibri" w:cs="Calibri"/>
        </w:rPr>
        <w:t xml:space="preserve"> Hard constraints are exact, soft/optional preferences are resolved predictably, unavailable/stale/incompatible authority creates no partial result, and the compiled result preserves protected commerce, </w:t>
      </w:r>
      <w:r>
        <w:rPr>
          <w:rFonts w:ascii="Consolas" w:hAnsi="Consolas" w:cs="Consolas"/>
          <w:sz w:val="19"/>
          <w:szCs w:val="19"/>
        </w:rPr>
        <w:t>StorefrontSnapshot</w:t>
      </w:r>
      <w:r>
        <w:rPr>
          <w:rFonts w:ascii="Calibri" w:hAnsi="Calibri" w:cs="Calibri"/>
        </w:rPr>
        <w:t>, proposal, lifecycle and fingerprints.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 when:</w:t>
      </w:r>
      <w:r>
        <w:rPr>
          <w:rFonts w:ascii="Calibri" w:hAnsi="Calibri" w:cs="Calibri"/>
        </w:rPr>
        <w:t xml:space="preserve"> Storefront Studio invokes current plan authority, presents bounded review, preserves accept/reject/undo/redo and save/publish separation, and passes browser/E2E and retained review without another snapshot or bypass.</w:t>
      </w:r>
    </w:p>
    <w:p>
      <w:pPr>
        <w:pStyle w:val="Normal"/>
        <w:numPr>
          <w:ilvl w:val="0"/>
          <w:numId w:val="1"/>
        </w:numPr>
        <w:widowControl/>
      </w:pPr>
      <w:r>
        <w:rPr>
          <w:rFonts w:ascii="Calibri" w:hAnsi="Calibri" w:cs="Calibri"/>
          <w:b/>
          <w:bCs/>
        </w:rPr>
        <w:t>Non-goal:</w:t>
      </w:r>
      <w:r>
        <w:rPr>
          <w:rFonts w:ascii="Calibri" w:hAnsi="Calibri" w:cs="Calibri"/>
        </w:rPr>
        <w:t xml:space="preserve"> P10C general manual/scoped editing implementation.</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retire, migrate or retain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 when:</w:t>
      </w:r>
      <w:r>
        <w:rPr>
          <w:rFonts w:ascii="Calibri" w:hAnsi="Calibri" w:cs="Calibri"/>
        </w:rPr>
        <w:t xml:space="preserve"> The provider receives capability knowledge before any complete-store execution, returns a strict intent, current authority compiles it through normal Studio proposal review, and safe retained evidence proves call/retry limits, lifecycle, protection and bridge disposition.</w:t>
      </w:r>
    </w:p>
    <w:p>
      <w:pPr>
        <w:pStyle w:val="Normal"/>
        <w:numPr>
          <w:ilvl w:val="0"/>
          <w:numId w:val="1"/>
        </w:numPr>
        <w:widowControl/>
      </w:pPr>
      <w:r>
        <w:rPr>
          <w:rFonts w:ascii="Calibri" w:hAnsi="Calibri" w:cs="Calibri"/>
          <w:b/>
          <w:bCs/>
        </w:rPr>
        <w:t>Non-goal:</w:t>
      </w:r>
      <w:r>
        <w:rPr>
          <w:rFonts w:ascii="Calibri" w:hAnsi="Calibri" w:cs="Calibri"/>
        </w:rPr>
        <w:t xml:space="preserve"> Treating another preset-selection run as V2 evidence or automatic provider calls.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P10B-16P-04 and implemented commercial families/profiles/directions.</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2" w:history="1">
        <w:r>
          <w:rPr>
            <w:rFonts w:ascii="Calibri" w:hAnsi="Calibri" w:cs="Calibri"/>
            <w:color w:val="2E74B5"/>
            <w:u w:val="single"/>
          </w:rPr>
          <w:t>VESKO_OPENAPI_CONTRACT_AUDIT.md</w:t>
        </w:r>
      </w:hyperlink>
      <w:r>
        <w:rPr>
          <w:rFonts w:ascii="Calibri" w:hAnsi="Calibri" w:cs="Calibri"/>
        </w:rPr>
        <w:t xml:space="preserve"> and </w:t>
      </w:r>
      <w:hyperlink r:id="rIdHyperlink23"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152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7_HERO_EDITORIAL_CAMPAIGN_PROOF_FAMILIES.md" TargetMode="External"/><Relationship Id="rIdHyperlink12" Type="http://schemas.openxmlformats.org/officeDocument/2006/relationships/hyperlink" Target="P10B_08_CANONICAL_PRODUCT_CARD_AND_MERCHANDISING.md" TargetMode="External"/><Relationship Id="rIdHyperlink13" Type="http://schemas.openxmlformats.org/officeDocument/2006/relationships/hyperlink" Target="P10B_09_COMMERCIAL_HOMEPAGE_PROFILE_LIBRARY.md" TargetMode="External"/><Relationship Id="rIdHyperlink14" Type="http://schemas.openxmlformats.org/officeDocument/2006/relationships/hyperlink" Target="P10B_10_COMMERCIAL_COLLECTION_SEARCH_PROFILES.md" TargetMode="External"/><Relationship Id="rIdHyperlink15" Type="http://schemas.openxmlformats.org/officeDocument/2006/relationships/hyperlink" Target="P10B_12_CONTENT_AND_SUPPORT_PAGE_FAMILIES.md" TargetMode="External"/><Relationship Id="rIdHyperlink16" Type="http://schemas.openxmlformats.org/officeDocument/2006/relationships/hyperlink" Target="P10B_13_COMMERCE_UTILITY_PRESENTATION_PAGES.md" TargetMode="External"/><Relationship Id="rIdHyperlink17" Type="http://schemas.openxmlformats.org/officeDocument/2006/relationships/hyperlink" Target="P10B_14_PREMIUM_EDITORIAL_COMPLETE_STOREFRONT_VERTICAL_SLICE.md" TargetMode="External"/><Relationship Id="rIdHyperlink18" Type="http://schemas.openxmlformats.org/officeDocument/2006/relationships/hyperlink" Target="P10B_15_BOUNDED_STOREFRONT_SYNTHESIS_AND_NARRATIVE_ENGINE.md" TargetMode="External"/><Relationship Id="rIdHyperlink19" Type="http://schemas.openxmlformats.org/officeDocument/2006/relationships/hyperlink" Target="P10B_16_COORDINATED_DIRECTIONS_AND_DIVERSITY_CONTROL.md" TargetMode="External"/><Relationship Id="rIdHyperlink20" Type="http://schemas.openxmlformats.org/officeDocument/2006/relationships/hyperlink" Target="P10B_16P_01_DYNAMIC_COMMERCE_ROUTE_ARCHETYPES.md" TargetMode="External"/><Relationship Id="rIdHyperlink21" Type="http://schemas.openxmlformats.org/officeDocument/2006/relationships/hyperlink" Target="P10B_16P_02_PROMPTED_STOREFRONT_DESIGN_PLAN_V2.md" TargetMode="External"/><Relationship Id="rIdHyperlink22" Type="http://schemas.openxmlformats.org/officeDocument/2006/relationships/hyperlink" Target="VESKO_OPENAPI_CONTRACT_AUDIT.md" TargetMode="External"/><Relationship Id="rIdHyperlink23"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3e7f1633e621deae2c6f144ed65b1b405e3fdbf45899d2646ada6d48c5a0d925</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