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Lock structural-intelligence ownership and the P10B-19A-J sequence before implementation, grounded in the live diagnostic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P10B-19A-J</w:t>
            </w:r>
          </w:p>
        </w:tc>
        <w:tc>
          <w:tcPr>
            <w:tcW w:w="2800" w:type="dxa"/>
            <w:vAlign w:val="center"/>
          </w:tcPr>
          <w:p>
            <w:pPr>
              <w:pStyle w:val="CompactTableText"/>
              <w:widowControl/>
            </w:pPr>
            <w:r>
              <w:rPr>
                <w:rFonts w:ascii="Calibri" w:hAnsi="Calibri" w:cs="Calibri"/>
              </w:rPr>
              <w:t>Structural Design Intelligence implementation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Ten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the exact next product task, followed by planned P10B-19A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the exact next task, followed by planned P10B-19A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the exact next task; P10B-19A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the exact next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69b306b35794e973add506fb88afaed1caa749202c3759adfa11660b7b569f74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