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19 August 2026</w:t>
      </w:r>
    </w:p>
    <w:p>
      <w:pPr>
        <w:pStyle w:val="CoverMeta"/>
        <w:jc w:val="center"/>
        <w:widowControl/>
      </w:pPr>
      <w:r>
        <w:rPr>
          <w:rFonts w:ascii="Calibri" w:hAnsi="Calibri" w:cs="Calibri"/>
        </w:rPr>
        <w:t>Accepted P10B-18B-04 PDP quality upgrade</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24 August 2026, P10B-18D diagnostic complete; live commercial quality rejected</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cantSplit/>
        </w:trPr>
        <w:tc>
          <w:tcPr>
            <w:tcW w:w="1000" w:type="dxa"/>
            <w:vAlign w:val="center"/>
          </w:tcPr>
          <w:p>
            <w:pPr>
              <w:pStyle w:val="TableText"/>
              <w:jc w:val="center"/>
              <w:widowControl/>
            </w:pPr>
            <w:r>
              <w:rPr>
                <w:rFonts w:ascii="Calibri" w:hAnsi="Calibri" w:cs="Calibri"/>
              </w:rPr>
              <w:t>1.3.0 P10B-18D</w:t>
            </w:r>
          </w:p>
        </w:tc>
        <w:tc>
          <w:tcPr>
            <w:tcW w:w="1500" w:type="dxa"/>
            <w:vAlign w:val="center"/>
          </w:tcPr>
          <w:p>
            <w:pPr>
              <w:pStyle w:val="TableText"/>
              <w:jc w:val="center"/>
              <w:widowControl/>
            </w:pPr>
            <w:r>
              <w:rPr>
                <w:rFonts w:ascii="Calibri" w:hAnsi="Calibri" w:cs="Calibri"/>
              </w:rPr>
              <w:t>24 August 2026</w:t>
            </w:r>
          </w:p>
        </w:tc>
        <w:tc>
          <w:tcPr>
            <w:tcW w:w="2000" w:type="dxa"/>
            <w:vAlign w:val="center"/>
          </w:tcPr>
          <w:p>
            <w:pPr>
              <w:pStyle w:val="TableText"/>
              <w:widowControl/>
            </w:pPr>
            <w:r>
              <w:rPr>
                <w:rFonts w:ascii="Calibri" w:hAnsi="Calibri" w:cs="Calibri"/>
              </w:rPr>
              <w:t>P10B-18D diagnostic baseline; live quality rejected</w:t>
            </w:r>
          </w:p>
        </w:tc>
        <w:tc>
          <w:tcPr>
            <w:tcW w:w="4860" w:type="dxa"/>
            <w:vAlign w:val="center"/>
          </w:tcPr>
          <w:p>
            <w:pPr>
              <w:pStyle w:val="TableText"/>
              <w:widowControl/>
            </w:pPr>
            <w:r>
              <w:rPr>
                <w:rFonts w:ascii="Calibri" w:hAnsi="Calibri" w:cs="Calibri"/>
              </w:rPr>
              <w:t>Accept the bounded six-call live-AI experiment and safe evidence while rejecting current commercial quality; record exact Concept 2/6 authority collapse, prompt-fidelity failures, evidence limitations and P10B-19 PRE as the next architecture lock without changing production behavior, provider contracts, retry/fallback policy, commerce/media authority or thresholds.</w:t>
            </w:r>
          </w:p>
        </w:tc>
      </w:tr>
      <w:tr>
        <w:trPr>
          <w:cantSplit/>
        </w:trPr>
        <w:tc>
          <w:tcPr>
            <w:tcW w:w="1000" w:type="dxa"/>
            <w:vAlign w:val="center"/>
          </w:tcPr>
          <w:p>
            <w:pPr>
              <w:pStyle w:val="TableText"/>
              <w:jc w:val="center"/>
              <w:widowControl/>
            </w:pPr>
            <w:r>
              <w:rPr>
                <w:rFonts w:ascii="Calibri" w:hAnsi="Calibri" w:cs="Calibri"/>
              </w:rPr>
              <w:t>1.3.0 P10B-16P-05B</w:t>
            </w:r>
          </w:p>
        </w:tc>
        <w:tc>
          <w:tcPr>
            <w:tcW w:w="1500" w:type="dxa"/>
            <w:vAlign w:val="center"/>
          </w:tcPr>
          <w:p>
            <w:pPr>
              <w:pStyle w:val="TableText"/>
              <w:jc w:val="center"/>
              <w:widowControl/>
            </w:pPr>
            <w:r>
              <w:rPr>
                <w:rFonts w:ascii="Calibri" w:hAnsi="Calibri" w:cs="Calibri"/>
              </w:rPr>
              <w:t>23 August 2026</w:t>
            </w:r>
          </w:p>
        </w:tc>
        <w:tc>
          <w:tcPr>
            <w:tcW w:w="2000" w:type="dxa"/>
            <w:vAlign w:val="center"/>
          </w:tcPr>
          <w:p>
            <w:pPr>
              <w:pStyle w:val="TableText"/>
              <w:widowControl/>
            </w:pPr>
            <w:r>
              <w:rPr>
                <w:rFonts w:ascii="Calibri" w:hAnsi="Calibri" w:cs="Calibri"/>
              </w:rPr>
              <w:t>P10B-16P-05B accepted cleanup</w:t>
            </w:r>
          </w:p>
        </w:tc>
        <w:tc>
          <w:tcPr>
            <w:tcW w:w="4860" w:type="dxa"/>
            <w:vAlign w:val="center"/>
          </w:tcPr>
          <w:p>
            <w:pPr>
              <w:pStyle w:val="TableText"/>
              <w:widowControl/>
            </w:pPr>
            <w:r>
              <w:rPr>
                <w:rFonts w:ascii="Calibri" w:hAnsi="Calibri" w:cs="Calibri"/>
              </w:rPr>
              <w:t>Remove consumer-proven one-time acceptance infrastructure, restore unconditional production fail-closed P04 authority, retain one lean token-protected mock/live P10B-18D seam, and preserve active generation, migration, deterministic quality and protected commerce/media without changing storefront output.</w:t>
            </w:r>
          </w:p>
        </w:tc>
      </w:tr>
      <w:tr>
        <w:trPr>
          <w:cantSplit/>
        </w:trPr>
        <w:tc>
          <w:tcPr>
            <w:tcW w:w="1000" w:type="dxa"/>
            <w:vAlign w:val="center"/>
          </w:tcPr>
          <w:p>
            <w:pPr>
              <w:pStyle w:val="TableText"/>
              <w:jc w:val="center"/>
              <w:widowControl/>
            </w:pPr>
            <w:r>
              <w:rPr>
                <w:rFonts w:ascii="Calibri" w:hAnsi="Calibri" w:cs="Calibri"/>
              </w:rPr>
              <w:t>1.3.0 P10B-18C</w:t>
            </w:r>
          </w:p>
        </w:tc>
        <w:tc>
          <w:tcPr>
            <w:tcW w:w="1500" w:type="dxa"/>
            <w:vAlign w:val="center"/>
          </w:tcPr>
          <w:p>
            <w:pPr>
              <w:pStyle w:val="TableText"/>
              <w:jc w:val="center"/>
              <w:widowControl/>
            </w:pPr>
            <w:r>
              <w:rPr>
                <w:rFonts w:ascii="Calibri" w:hAnsi="Calibri" w:cs="Calibri"/>
              </w:rPr>
              <w:t>22 August 2026</w:t>
            </w:r>
          </w:p>
        </w:tc>
        <w:tc>
          <w:tcPr>
            <w:tcW w:w="2000" w:type="dxa"/>
            <w:vAlign w:val="center"/>
          </w:tcPr>
          <w:p>
            <w:pPr>
              <w:pStyle w:val="TableText"/>
              <w:widowControl/>
            </w:pPr>
            <w:r>
              <w:rPr>
                <w:rFonts w:ascii="Calibri" w:hAnsi="Calibri" w:cs="Calibri"/>
              </w:rPr>
              <w:t>P10B-18C accepted implementation and evidence</w:t>
            </w:r>
          </w:p>
        </w:tc>
        <w:tc>
          <w:tcPr>
            <w:tcW w:w="4860" w:type="dxa"/>
            <w:vAlign w:val="center"/>
          </w:tcPr>
          <w:p>
            <w:pPr>
              <w:pStyle w:val="TableText"/>
              <w:widowControl/>
            </w:pPr>
            <w:r>
              <w:rPr>
                <w:rFonts w:ascii="Calibri" w:hAnsi="Calibri" w:cs="Calibri"/>
              </w:rPr>
              <w:t>Accept the deterministic 9 x 14 complete-store matrix, 126/126 replay and protected-state result, 54 material topologies, deterministic 28-store selector, final 280-entry four-width EN/FI review and canonical lifecycle as the current commercial-quality baseline; preserve first-run failures and frozen P10B-18A/P10B-18B evidence while leaving live-AI acceptance to P10B-18D.</w:t>
            </w:r>
          </w:p>
        </w:tc>
      </w:tr>
      <w:tr>
        <w:trPr>
          <w:cantSplit/>
        </w:trPr>
        <w:tc>
          <w:tcPr>
            <w:tcW w:w="1000" w:type="dxa"/>
            <w:vAlign w:val="center"/>
          </w:tcPr>
          <w:p>
            <w:pPr>
              <w:pStyle w:val="TableText"/>
              <w:jc w:val="center"/>
              <w:widowControl/>
            </w:pPr>
            <w:r>
              <w:rPr>
                <w:rFonts w:ascii="Calibri" w:hAnsi="Calibri" w:cs="Calibri"/>
              </w:rPr>
              <w:t>1.3.0 P10B-18B-04</w:t>
            </w:r>
          </w:p>
        </w:tc>
        <w:tc>
          <w:tcPr>
            <w:tcW w:w="1500" w:type="dxa"/>
            <w:vAlign w:val="center"/>
          </w:tcPr>
          <w:p>
            <w:pPr>
              <w:pStyle w:val="TableText"/>
              <w:jc w:val="center"/>
              <w:widowControl/>
            </w:pPr>
            <w:r>
              <w:rPr>
                <w:rFonts w:ascii="Calibri" w:hAnsi="Calibri" w:cs="Calibri"/>
              </w:rPr>
              <w:t>19 August 2026</w:t>
            </w:r>
          </w:p>
        </w:tc>
        <w:tc>
          <w:tcPr>
            <w:tcW w:w="2000" w:type="dxa"/>
            <w:vAlign w:val="center"/>
          </w:tcPr>
          <w:p>
            <w:pPr>
              <w:pStyle w:val="TableText"/>
              <w:widowControl/>
            </w:pPr>
            <w:r>
              <w:rPr>
                <w:rFonts w:ascii="Calibri" w:hAnsi="Calibri" w:cs="Calibri"/>
              </w:rPr>
              <w:t>P10B-18B-04 accepted implementation</w:t>
            </w:r>
          </w:p>
        </w:tc>
        <w:tc>
          <w:tcPr>
            <w:tcW w:w="4860" w:type="dxa"/>
            <w:vAlign w:val="center"/>
          </w:tcPr>
          <w:p>
            <w:pPr>
              <w:pStyle w:val="TableText"/>
              <w:widowControl/>
            </w:pPr>
            <w:r>
              <w:rPr>
                <w:rFonts w:ascii="Calibri" w:hAnsi="Calibri" w:cs="Calibri"/>
              </w:rPr>
              <w:t>Add bounded exact-product PDP matching, four purposeful compositions, stronger purchase/configuration hierarchy, bounded canonical galleries, resolver-safe failure behavior and cardinality-aware related merchandising; retain protected variants/options/prices/media, canonical lifecycle/publication authority and 20 reviewed captures without accepting content/utility or complete-storefront commercial quality.</w:t>
            </w:r>
          </w:p>
        </w:tc>
      </w:tr>
      <w:tr>
        <w:trPr>
          <w:cantSplit/>
        </w:trPr>
        <w:tc>
          <w:tcPr>
            <w:tcW w:w="1000" w:type="dxa"/>
            <w:vAlign w:val="center"/>
          </w:tcPr>
          <w:p>
            <w:pPr>
              <w:pStyle w:val="TableText"/>
              <w:jc w:val="center"/>
              <w:widowControl/>
            </w:pPr>
            <w:r>
              <w:rPr>
                <w:rFonts w:ascii="Calibri" w:hAnsi="Calibri" w:cs="Calibri"/>
              </w:rPr>
              <w:t>1.3.0 P10B-18B-03</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P10B-18B-03 accepted implementation</w:t>
            </w:r>
          </w:p>
        </w:tc>
        <w:tc>
          <w:tcPr>
            <w:tcW w:w="4860" w:type="dxa"/>
            <w:vAlign w:val="center"/>
          </w:tcPr>
          <w:p>
            <w:pPr>
              <w:pStyle w:val="TableText"/>
              <w:widowControl/>
            </w:pPr>
            <w:r>
              <w:rPr>
                <w:rFonts w:ascii="Calibri" w:hAnsi="Calibri" w:cs="Calibri"/>
              </w:rPr>
              <w:t>Strengthen the four existing collection/search profiles and five canonical card anatomies with bounded cardinality, useful facet/filter hierarchy, proportional orientation/grid composition, distinct executable comparison/dense search, truthful semantic discovery causality and synchronized provider-facing canonical-search capability; retain protected commerce/media, lifecycle and publication authority and 21 reviewed captures without accepting complete-storefront quality.</w:t>
            </w:r>
          </w:p>
        </w:tc>
      </w:tr>
      <w:tr>
        <w:trPr>
          <w:cantSplit/>
        </w:trPr>
        <w:tc>
          <w:tcPr>
            <w:tcW w:w="1000" w:type="dxa"/>
            <w:vAlign w:val="center"/>
          </w:tcPr>
          <w:p>
            <w:pPr>
              <w:pStyle w:val="TableText"/>
              <w:jc w:val="center"/>
              <w:widowControl/>
            </w:pPr>
            <w:r>
              <w:rPr>
                <w:rFonts w:ascii="Calibri" w:hAnsi="Calibri" w:cs="Calibri"/>
              </w:rPr>
              <w:t>1.3.0 P10B-18B-02</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P10B-18B-02 accepted implementation</w:t>
            </w:r>
          </w:p>
        </w:tc>
        <w:tc>
          <w:tcPr>
            <w:tcW w:w="4860" w:type="dxa"/>
            <w:vAlign w:val="center"/>
          </w:tcPr>
          <w:p>
            <w:pPr>
              <w:pStyle w:val="TableText"/>
              <w:widowControl/>
            </w:pPr>
            <w:r>
              <w:rPr>
                <w:rFonts w:ascii="Calibri" w:hAnsi="Calibri" w:cs="Calibri"/>
              </w:rPr>
              <w:t>Strengthen the six existing homepage profiles and shared hero/editorial/campaign/proof renderer with explicit transition authority, truthful story/catalogue semantic causality, asset-aware rich/sparse progression and observable hierarchy; retain 72-case structural accounting and 14 reviewed captures while preserving protected commerce/media, snapshot/lifecycle and publication authority and leaving later page-family and P10B-18C quality gates incomplete.</w:t>
            </w:r>
          </w:p>
        </w:tc>
      </w:tr>
      <w:tr>
        <w:trPr>
          <w:cantSplit/>
        </w:trPr>
        <w:tc>
          <w:tcPr>
            <w:tcW w:w="1000" w:type="dxa"/>
            <w:vAlign w:val="center"/>
          </w:tcPr>
          <w:p>
            <w:pPr>
              <w:pStyle w:val="TableText"/>
              <w:jc w:val="center"/>
              <w:widowControl/>
            </w:pPr>
            <w:r>
              <w:rPr>
                <w:rFonts w:ascii="Calibri" w:hAnsi="Calibri" w:cs="Calibri"/>
              </w:rPr>
              <w:t>1.3.0 P10B-18B-06</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P10B-18B-06 accepted implementation</w:t>
            </w:r>
          </w:p>
        </w:tc>
        <w:tc>
          <w:tcPr>
            <w:tcW w:w="4860" w:type="dxa"/>
            <w:vAlign w:val="center"/>
          </w:tcPr>
          <w:p>
            <w:pPr>
              <w:pStyle w:val="TableText"/>
              <w:widowControl/>
            </w:pPr>
            <w:r>
              <w:rPr>
                <w:rFonts w:ascii="Calibri" w:hAnsi="Calibri" w:cs="Calibri"/>
              </w:rPr>
              <w:t>Select approved presentation assets by exact purpose affinity, enforce bounded reuse, pair approved responsive sources/crops, consume an approved shared-frame logo and material art direction, preserve historical responsive-image and protected product-media authority, and retain an accepted 13-capture checkpoint without accepting complete-storefront commercial visual quality.</w:t>
            </w:r>
          </w:p>
        </w:tc>
      </w:tr>
      <w:tr>
        <w:trPr>
          <w:cantSplit/>
        </w:trPr>
        <w:tc>
          <w:tcPr>
            <w:tcW w:w="1000" w:type="dxa"/>
            <w:vAlign w:val="center"/>
          </w:tcPr>
          <w:p>
            <w:pPr>
              <w:pStyle w:val="TableText"/>
              <w:jc w:val="center"/>
              <w:widowControl/>
            </w:pPr>
            <w:r>
              <w:rPr>
                <w:rFonts w:ascii="Calibri" w:hAnsi="Calibri" w:cs="Calibri"/>
              </w:rPr>
              <w:t>1.3.0 P10B-18B-01</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P10B-18B-01 accepted implementation</w:t>
            </w:r>
          </w:p>
        </w:tc>
        <w:tc>
          <w:tcPr>
            <w:tcW w:w="4860" w:type="dxa"/>
            <w:vAlign w:val="center"/>
          </w:tcPr>
          <w:p>
            <w:pPr>
              <w:pStyle w:val="TableText"/>
              <w:widowControl/>
            </w:pPr>
            <w:r>
              <w:rPr>
                <w:rFonts w:ascii="Calibri" w:hAnsi="Calibri" w:cs="Calibri"/>
              </w:rPr>
              <w:t>Materialize bounded within-direction Design DNA density, correct semantic influence claims, make the existing compact-technical frame truthfully complete-store reachable, refine all four shared frames, preserve protected commerce/media and lifecycle authority, and retain a focused accepted 17-capture checkpoint while leaving parent P10B-18B/P10B-18/P10B Partial and P10B-18C unproved.</w:t>
            </w:r>
          </w:p>
        </w:tc>
      </w:tr>
      <w:tr>
        <w:trPr>
          <w:cantSplit/>
        </w:trPr>
        <w:tc>
          <w:tcPr>
            <w:tcW w:w="1000" w:type="dxa"/>
            <w:vAlign w:val="center"/>
          </w:tcPr>
          <w:p>
            <w:pPr>
              <w:pStyle w:val="TableText"/>
              <w:jc w:val="center"/>
              <w:widowControl/>
            </w:pPr>
            <w:r>
              <w:rPr>
                <w:rFonts w:ascii="Calibri" w:hAnsi="Calibri" w:cs="Calibri"/>
              </w:rPr>
              <w:t>1.3.0 P10B-18A</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P10B-18A accepted audit</w:t>
            </w:r>
          </w:p>
        </w:tc>
        <w:tc>
          <w:tcPr>
            <w:tcW w:w="4860" w:type="dxa"/>
            <w:vAlign w:val="center"/>
          </w:tcPr>
          <w:p>
            <w:pPr>
              <w:pStyle w:val="TableText"/>
              <w:widowControl/>
            </w:pPr>
            <w:r>
              <w:rPr>
                <w:rFonts w:ascii="Calibri" w:hAnsi="Calibri" w:cs="Calibri"/>
              </w:rPr>
              <w:t>Accept the deterministic 72-case commercial-authority audit and retained 18-store/108-capture human review as the current ceiling diagnosis; freeze six conditional P10B-18B source-authority packages while leaving parent P10B-18 Partial, P10B-18B/P10B-18C Planned, and the 100+ quality gate unproved.</w:t>
            </w:r>
          </w:p>
        </w:tc>
      </w:tr>
      <w:tr>
        <w:trPr>
          <w:cantSplit/>
        </w:trPr>
        <w:tc>
          <w:tcPr>
            <w:tcW w:w="1000" w:type="dxa"/>
            <w:vAlign w:val="center"/>
          </w:tcPr>
          <w:p>
            <w:pPr>
              <w:pStyle w:val="TableText"/>
              <w:jc w:val="center"/>
              <w:widowControl/>
            </w:pPr>
            <w:r>
              <w:rPr>
                <w:rFonts w:ascii="Calibri" w:hAnsi="Calibri" w:cs="Calibri"/>
              </w:rPr>
              <w:t>1.3.0 P10B-17</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P10B-17 delivery</w:t>
            </w:r>
          </w:p>
        </w:tc>
        <w:tc>
          <w:tcPr>
            <w:tcW w:w="4860" w:type="dxa"/>
            <w:vAlign w:val="center"/>
          </w:tcPr>
          <w:p>
            <w:pPr>
              <w:pStyle w:val="TableText"/>
              <w:widowControl/>
            </w:pPr>
            <w:r>
              <w:rPr>
                <w:rFonts w:ascii="Calibri" w:hAnsi="Calibri" w:cs="Calibri"/>
              </w:rPr>
              <w:t>Execute existing registered responsive authority across 375/768/1024/1440 px and EN/FI; close shared-frame, homepage, collection/search, PDP, content/support, and utility geometry; preserve keyboard/focus/semantic/contrast behavior and protected commerce/media; enforce deterministic rendering, media, search, and build budgets; and retain bounded browser and human visual evidence without claiming P10B-18 designer-grade quality, Vesko staging, or production readiness.</w:t>
            </w:r>
          </w:p>
        </w:tc>
      </w:tr>
      <w:tr>
        <w:trPr>
          <w:cantSplit/>
        </w:trPr>
        <w:tc>
          <w:tcPr>
            <w:tcW w:w="1000" w:type="dxa"/>
            <w:vAlign w:val="center"/>
          </w:tcPr>
          <w:p>
            <w:pPr>
              <w:pStyle w:val="TableText"/>
              <w:jc w:val="center"/>
              <w:widowControl/>
            </w:pPr>
            <w:r>
              <w:rPr>
                <w:rFonts w:ascii="Calibri" w:hAnsi="Calibri" w:cs="Calibri"/>
              </w:rPr>
              <w:t>1.3.0 P10B-16P-06</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P10B-16P-06 delivery</w:t>
            </w:r>
          </w:p>
        </w:tc>
        <w:tc>
          <w:tcPr>
            <w:tcW w:w="4860" w:type="dxa"/>
            <w:vAlign w:val="center"/>
          </w:tcPr>
          <w:p>
            <w:pPr>
              <w:pStyle w:val="TableText"/>
              <w:widowControl/>
            </w:pPr>
            <w:r>
              <w:rPr>
                <w:rFonts w:ascii="Calibri" w:hAnsi="Calibri" w:cs="Calibri"/>
              </w:rPr>
              <w:t xml:space="preserve">Add one provider-neutral transient product-search contract and standalone </w:t>
            </w:r>
            <w:r>
              <w:rPr>
                <w:rFonts w:ascii="Consolas" w:hAnsi="Consolas" w:cs="Consolas"/>
                <w:sz w:val="19"/>
                <w:szCs w:val="19"/>
              </w:rPr>
              <w:t>CatalogueDisplayModel</w:t>
            </w:r>
            <w:r>
              <w:rPr>
                <w:rFonts w:ascii="Calibri" w:hAnsi="Calibri" w:cs="Calibri"/>
              </w:rPr>
              <w:t xml:space="preserve"> adapter; execute the persisted </w:t>
            </w:r>
            <w:r>
              <w:rPr>
                <w:rFonts w:ascii="Consolas" w:hAnsi="Consolas" w:cs="Consolas"/>
                <w:sz w:val="19"/>
                <w:szCs w:val="19"/>
              </w:rPr>
              <w:t>/search</w:t>
            </w:r>
            <w:r>
              <w:rPr>
                <w:rFonts w:ascii="Calibri" w:hAnsi="Calibri" w:cs="Calibri"/>
              </w:rPr>
              <w:t xml:space="preserve"> route and selected registered presentation across draft, proposal, saved/history, and published targets; preserve exact product links, EN/FI behavior, protected commerce/media, and lifecycle non-persistence; and keep Vesko/AI/semantic/fuzzy search outside the claim.</w:t>
            </w:r>
          </w:p>
        </w:tc>
      </w:tr>
      <w:tr>
        <w:trPr>
          <w:cantSplit/>
        </w:trPr>
        <w:tc>
          <w:tcPr>
            <w:tcW w:w="1000" w:type="dxa"/>
            <w:vAlign w:val="center"/>
          </w:tcPr>
          <w:p>
            <w:pPr>
              <w:pStyle w:val="TableText"/>
              <w:jc w:val="center"/>
              <w:widowControl/>
            </w:pPr>
            <w:r>
              <w:rPr>
                <w:rFonts w:ascii="Calibri" w:hAnsi="Calibri" w:cs="Calibri"/>
              </w:rPr>
              <w:t>1.3.0 P10B-16P-05A</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P10B-16P-05A delivery</w:t>
            </w:r>
          </w:p>
        </w:tc>
        <w:tc>
          <w:tcPr>
            <w:tcW w:w="4860" w:type="dxa"/>
            <w:vAlign w:val="center"/>
          </w:tcPr>
          <w:p>
            <w:pPr>
              <w:pStyle w:val="TableText"/>
              <w:widowControl/>
            </w:pPr>
            <w:r>
              <w:rPr>
                <w:rFonts w:ascii="Calibri" w:hAnsi="Calibri" w:cs="Calibri"/>
              </w:rPr>
              <w:t>Make one canonical semantic initial-generation route and composition explicit, reduce the prompted compiler to one coordinator/resolver/decision/executor chain with one materialization boundary, remove the active P10B-16L runtime and executable-intent path, isolate retained P9/Lumo evidence, and preserve the production-disabled P10B-16P-04 acceptance composition through P10B-18.</w:t>
            </w:r>
          </w:p>
        </w:tc>
      </w:tr>
      <w:tr>
        <w:trPr>
          <w:cantSplit/>
        </w:trPr>
        <w:tc>
          <w:tcPr>
            <w:tcW w:w="1000" w:type="dxa"/>
            <w:vAlign w:val="center"/>
          </w:tcPr>
          <w:p>
            <w:pPr>
              <w:pStyle w:val="TableText"/>
              <w:jc w:val="center"/>
              <w:widowControl/>
            </w:pPr>
            <w:r>
              <w:rPr>
                <w:rFonts w:ascii="Calibri" w:hAnsi="Calibri" w:cs="Calibri"/>
              </w:rPr>
              <w:t>1.3.0 P10B-16P-04</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P10B-16P-04 delivery</w:t>
            </w:r>
          </w:p>
        </w:tc>
        <w:tc>
          <w:tcPr>
            <w:tcW w:w="4860" w:type="dxa"/>
            <w:vAlign w:val="center"/>
          </w:tcPr>
          <w:p>
            <w:pPr>
              <w:pStyle w:val="TableText"/>
              <w:widowControl/>
            </w:pPr>
            <w:r>
              <w:rPr>
                <w:rFonts w:ascii="Calibri" w:hAnsi="Calibri" w:cs="Calibri"/>
              </w:rPr>
              <w:t>Prove the bounded semantic Design Intent path through the normal production-disabled Storefront Studio with separately authorized real OpenAI A/B/C evidence, deterministic exact compilation and one materialization per successful prompt, clean A/B rejection, full C accept/undo/redo/save/reload/preview lifecycle, protected commerce/media parity, retained human review, and explicit P10B-16L compatibility disposition.</w:t>
            </w:r>
          </w:p>
        </w:tc>
      </w:tr>
      <w:tr>
        <w:trPr>
          <w:cantSplit/>
        </w:trPr>
        <w:tc>
          <w:tcPr>
            <w:tcW w:w="1000" w:type="dxa"/>
            <w:vAlign w:val="center"/>
          </w:tcPr>
          <w:p>
            <w:pPr>
              <w:pStyle w:val="TableText"/>
              <w:jc w:val="center"/>
              <w:widowControl/>
            </w:pPr>
            <w:r>
              <w:rPr>
                <w:rFonts w:ascii="Calibri" w:hAnsi="Calibri" w:cs="Calibri"/>
              </w:rPr>
              <w:t>1.3.0 P10B-16P-03</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P10B-16P-03 delivery</w:t>
            </w:r>
          </w:p>
        </w:tc>
        <w:tc>
          <w:tcPr>
            <w:tcW w:w="4860" w:type="dxa"/>
            <w:vAlign w:val="center"/>
          </w:tcPr>
          <w:p>
            <w:pPr>
              <w:pStyle w:val="TableText"/>
              <w:widowControl/>
            </w:pPr>
            <w:r>
              <w:rPr>
                <w:rFonts w:ascii="Calibri" w:hAnsi="Calibri" w:cs="Calibri"/>
              </w:rPr>
              <w:t>Connect normal Storefront Studio whole-storefront generation to standalone/mock server authority and P10B-16P-02B compilation, bind one registered operation to exact source/compiler lineage and retained evidence, fail integrated requests closed pending P10B-16P-04 authenticated authority, and prove the mocked review/lifecycle/preview journey with zero real-provider calls.</w:t>
            </w:r>
          </w:p>
        </w:tc>
      </w:tr>
      <w:tr>
        <w:trPr>
          <w:cantSplit/>
        </w:trPr>
        <w:tc>
          <w:tcPr>
            <w:tcW w:w="1000" w:type="dxa"/>
            <w:vAlign w:val="center"/>
          </w:tcPr>
          <w:p>
            <w:pPr>
              <w:pStyle w:val="TableText"/>
              <w:jc w:val="center"/>
              <w:widowControl/>
            </w:pPr>
            <w:r>
              <w:rPr>
                <w:rFonts w:ascii="Calibri" w:hAnsi="Calibri" w:cs="Calibri"/>
              </w:rPr>
              <w:t>1.3.0 P10B-16P-02B</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P10B-16P-02B delivery</w:t>
            </w:r>
          </w:p>
        </w:tc>
        <w:tc>
          <w:tcPr>
            <w:tcW w:w="4860" w:type="dxa"/>
            <w:vAlign w:val="center"/>
          </w:tcPr>
          <w:p>
            <w:pPr>
              <w:pStyle w:val="TableText"/>
              <w:widowControl/>
            </w:pPr>
            <w:r>
              <w:rPr>
                <w:rFonts w:ascii="Calibri" w:hAnsi="Calibri" w:cs="Calibri"/>
              </w:rPr>
              <w:t>Refresh and validate exact prompted authority, resolve complete material intent through a bounded metadata-only compatibility solver, compile exact Design DNA/frame/PageBlueprint/dynamic-commerce/component selections and diagnostics, and consume the result once through canonical P10B synthesis and isolated proposal authority with zero provider calls.</w:t>
            </w:r>
          </w:p>
        </w:tc>
      </w:tr>
      <w:tr>
        <w:trPr>
          <w:cantSplit/>
        </w:trPr>
        <w:tc>
          <w:tcPr>
            <w:tcW w:w="1000" w:type="dxa"/>
            <w:vAlign w:val="center"/>
          </w:tcPr>
          <w:p>
            <w:pPr>
              <w:pStyle w:val="TableText"/>
              <w:jc w:val="center"/>
              <w:widowControl/>
            </w:pPr>
            <w:r>
              <w:rPr>
                <w:rFonts w:ascii="Calibri" w:hAnsi="Calibri" w:cs="Calibri"/>
              </w:rPr>
              <w:t>1.3.0 P10B-16P-02A</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P10B-16P-02A delivery</w:t>
            </w:r>
          </w:p>
        </w:tc>
        <w:tc>
          <w:tcPr>
            <w:tcW w:w="4860" w:type="dxa"/>
            <w:vAlign w:val="center"/>
          </w:tcPr>
          <w:p>
            <w:pPr>
              <w:pStyle w:val="TableText"/>
              <w:widowControl/>
            </w:pPr>
            <w:r>
              <w:rPr>
                <w:rFonts w:ascii="Calibri" w:hAnsi="Calibri" w:cs="Calibri"/>
              </w:rPr>
              <w:t>Establish the strict transient provider-safe capability projection, prompted request, preference-rich Design Intent V2, exact capability-reference validation, deterministic fingerprints, server-only OpenAI adapter and safe mocked-transport evidence without compiling or materializing a storefront before the provider response.</w:t>
            </w:r>
          </w:p>
        </w:tc>
      </w:tr>
      <w:tr>
        <w:trPr>
          <w:cantSplit/>
        </w:trPr>
        <w:tc>
          <w:tcPr>
            <w:tcW w:w="1000" w:type="dxa"/>
            <w:vAlign w:val="center"/>
          </w:tcPr>
          <w:p>
            <w:pPr>
              <w:pStyle w:val="TableText"/>
              <w:jc w:val="center"/>
              <w:widowControl/>
            </w:pPr>
            <w:r>
              <w:rPr>
                <w:rFonts w:ascii="Calibri" w:hAnsi="Calibri" w:cs="Calibri"/>
              </w:rPr>
              <w:t>1.3.0 P10B-16P-01</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P10B-16P-01 delivery</w:t>
            </w:r>
          </w:p>
        </w:tc>
        <w:tc>
          <w:tcPr>
            <w:tcW w:w="4860" w:type="dxa"/>
            <w:vAlign w:val="center"/>
          </w:tcPr>
          <w:p>
            <w:pPr>
              <w:pStyle w:val="TableText"/>
              <w:widowControl/>
            </w:pPr>
            <w:r>
              <w:rPr>
                <w:rFonts w:ascii="Calibri" w:hAnsi="Calibri" w:cs="Calibri"/>
              </w:rPr>
              <w:t xml:space="preserve">Separate static design pages, maintained collection/search and PDP archetypes, and concrete commerce route inventory inside one fingerprinted </w:t>
            </w:r>
            <w:r>
              <w:rPr>
                <w:rFonts w:ascii="Consolas" w:hAnsi="Consolas" w:cs="Consolas"/>
                <w:sz w:val="19"/>
                <w:szCs w:val="19"/>
              </w:rPr>
              <w:t>StorefrontSnapshot</w:t>
            </w:r>
            <w:r>
              <w:rPr>
                <w:rFonts w:ascii="Calibri" w:hAnsi="Calibri" w:cs="Calibri"/>
              </w:rPr>
              <w:t>; add deterministic mapping/migration, transient Studio/runtime projections, lifecycle/compiler/publication preservation, and exact route rendering without per-product or per-collection design documents.</w:t>
            </w:r>
          </w:p>
        </w:tc>
      </w:tr>
      <w:tr>
        <w:trPr>
          <w:cantSplit/>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cantSplit/>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cantSplit/>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cantSplit/>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cantSplit/>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cantSplit/>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cantSplit/>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cantSplit/>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cantSplit/>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cantSplit/>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cantSplit/>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cantSplit/>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cantSplit/>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cantSplit/>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cantSplit/>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cantSplit/>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5"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P10B-16 direction/diversity authority, and P10B-16P-01 dynamic commerce route archetype authority, P10B-16P-02A prompted Design Intent V2 authority, P10B-16P-02B deterministic intent compilation/canonical proposal materialization, and P10B-16P-03 normal Studio prompted generation, P10B-16P-04 real-provider acceptance, P10B-16P-05A active-path/compiler rationalisation, P10B-16P-06 canonical search query/results authority, P10B-17 responsive/accessibility/performance closure, the accepted P10B-18A commercial-authority audit, accepted P10B-18B-01 Design DNA/shared-frame upgrade, accepted P10B-18B-06 asset-composition/art-direction upgrade, accepted P10B-18B-02 homepage/editorial/campaign quality upgrade, accepted P10B-18B-03 collection/search/product-card quality upgrade, accepted P10B-18B-04 PDP quality upgrade and accepted P10B-18B-05 content/support/utility quality upgrade are Baseline. P10B-16P-02 is Baseline; parent P10B-18B is Baseline/complete. P10B-18C and P10B-16P-05B are Baseline. P10B-18D is a Baseline diagnostic with live commercial quality rejected. P10B-18 and P10B remain Partial pending P10B-19, and P10B-19 PRE is the exact next task.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static page or maintained dynamic archetype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tc>
          <w:tcPr>
            <w:tcW w:w="3000" w:type="dxa"/>
            <w:vAlign w:val="center"/>
          </w:tcPr>
          <w:p>
            <w:pPr>
              <w:pStyle w:val="TableText"/>
              <w:widowControl/>
            </w:pPr>
            <w:r>
              <w:rPr>
                <w:rFonts w:ascii="Calibri" w:hAnsi="Calibri" w:cs="Calibri"/>
              </w:rPr>
              <w:t>Canonical storefront query/results search</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 xml:space="preserve">One persisted </w:t>
            </w:r>
            <w:r>
              <w:rPr>
                <w:rFonts w:ascii="Consolas" w:hAnsi="Consolas" w:cs="Consolas"/>
                <w:sz w:val="19"/>
                <w:szCs w:val="19"/>
              </w:rPr>
              <w:t>/search</w:t>
            </w:r>
            <w:r>
              <w:rPr>
                <w:rFonts w:ascii="Calibri" w:hAnsi="Calibri" w:cs="Calibri"/>
              </w:rPr>
              <w:t xml:space="preserve"> presentation executes through transient current-catalogue results across draft, proposal, saved/history, and published targets without persisting query/result state.</w:t>
            </w:r>
          </w:p>
        </w:tc>
      </w:tr>
      <w:tr>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P10B-17 and the P10B-16P convergence sequence establish the single bounded complete-store authority. Accepted P10B-18A freezes the 72-case ceiling diagnosis; completed P10B-18B adds the six bounded source/consumer quality packages; accepted P10B-18C proves 126/126 deterministic complete-store compiles and replays, protected commerce/media, 54 material topologies, one deterministic 28-store selector and a hash-bound 280-entry four-width EN/FI review with no primary visual FAIL. P10B-18D completed the bounded live diagnostic, but live commercial quality was rejected; P10B-18 and P10B remain Partial pending P10B-19.</w:t>
            </w:r>
          </w:p>
        </w:tc>
      </w:tr>
      <w:tr>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Normal"/>
        <w:widowControl/>
      </w:pPr>
      <w:r>
        <w:rPr>
          <w:rFonts w:ascii="Calibri" w:hAnsi="Calibri" w:cs="Calibri"/>
        </w:rPr>
        <w:t xml:space="preserve">The later P10B-16L OpenAI path is retained only as Deprecated historical compatibility evidence. Its authorized call used the earlier v1 direction/posture contract, completed the strict provider result, and then failed coordinated synthesis with safe code </w:t>
      </w:r>
      <w:r>
        <w:rPr>
          <w:rFonts w:ascii="Consolas" w:hAnsi="Consolas" w:cs="Consolas"/>
          <w:sz w:val="19"/>
          <w:szCs w:val="19"/>
        </w:rPr>
        <w:t>malformed-state</w:t>
      </w:r>
      <w:r>
        <w:rPr>
          <w:rFonts w:ascii="Calibri" w:hAnsi="Calibri" w:cs="Calibri"/>
        </w:rPr>
        <w:t xml:space="preserve">. Its corrected v2 bridge pre-executed and materialized compatible storefront candidates before asking the provider to select an advertised </w:t>
      </w:r>
      <w:r>
        <w:rPr>
          <w:rFonts w:ascii="Consolas" w:hAnsi="Consolas" w:cs="Consolas"/>
          <w:sz w:val="19"/>
          <w:szCs w:val="19"/>
        </w:rPr>
        <w:t>executableIntentId</w:t>
      </w:r>
      <w:r>
        <w:rPr>
          <w:rFonts w:ascii="Calibri" w:hAnsi="Calibri" w:cs="Calibri"/>
        </w:rPr>
        <w:t>, but made zero live calls. P10B-16P-05A removed that active runtime, its routes/providers, and all product-path consumers. Neither path is prompt-driven storefront generation. P10B-16P-02A instead defines a strict non-executable preference-rich Design Intent V2 before any complete-store execution. P10B-16P-02B now compiles that result deterministically and invokes canonical synthesis/proposal materialization only after successful compilation. Both slices made zero provider calls in their own delivery.</w:t>
      </w:r>
    </w:p>
    <w:p>
      <w:pPr>
        <w:pStyle w:val="Normal"/>
        <w:widowControl/>
      </w:pPr>
      <w:r>
        <w:rPr>
          <w:rFonts w:ascii="Calibri" w:hAnsi="Calibri" w:cs="Calibri"/>
        </w:rPr>
        <w:t xml:space="preserve">P10B-16P-04 subsequently completed the normal production-disabled Studio acceptance with the server-only </w:t>
      </w:r>
      <w:r>
        <w:rPr>
          <w:rFonts w:ascii="Consolas" w:hAnsi="Consolas" w:cs="Consolas"/>
          <w:sz w:val="19"/>
          <w:szCs w:val="19"/>
        </w:rPr>
        <w:t>openai-prompted-storefront-design-intent-v2</w:t>
      </w:r>
      <w:r>
        <w:rPr>
          <w:rFonts w:ascii="Calibri" w:hAnsi="Calibri" w:cs="Calibri"/>
        </w:rPr>
        <w:t xml:space="preserve"> provider and </w:t>
      </w:r>
      <w:r>
        <w:rPr>
          <w:rFonts w:ascii="Consolas" w:hAnsi="Consolas" w:cs="Consolas"/>
          <w:sz w:val="19"/>
          <w:szCs w:val="19"/>
        </w:rPr>
        <w:t>gpt-5.6-sol</w:t>
      </w:r>
      <w:r>
        <w:rPr>
          <w:rFonts w:ascii="Calibri" w:hAnsi="Calibri" w:cs="Calibri"/>
        </w:rPr>
        <w:t>. The cumulative P10B-16P-04 investigation and acceptance ledger is 16 real calls with zero retries or fallbacks. The final A/B/C calls each returned one valid bounded semantic intent, compiled one exact decision, and materialized once. A and B were rejected cleanly; C completed Accept, Undo/Redo, explicit Save, reload, and normal Preview. Publication remained separate, search execution remained fail closed, and protected commerce and canonical product media remained unchanged. The distinct P10B-16L historical call is not part of that 16-call ledger.</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Normal"/>
        <w:widowControl/>
      </w:pPr>
      <w:r>
        <w:rPr>
          <w:rFonts w:ascii="Calibri" w:hAnsi="Calibri" w:cs="Calibri"/>
        </w:rPr>
        <w:t xml:space="preserve">Concrete collection, search, and product URLs are runtime route instances, not independently editable design authorities. Static pages remain canonical </w:t>
      </w:r>
      <w:r>
        <w:rPr>
          <w:rFonts w:ascii="Consolas" w:hAnsi="Consolas" w:cs="Consolas"/>
          <w:sz w:val="19"/>
          <w:szCs w:val="19"/>
        </w:rPr>
        <w:t>PageModel</w:t>
      </w:r>
      <w:r>
        <w:rPr>
          <w:rFonts w:ascii="Calibri" w:hAnsi="Calibri" w:cs="Calibri"/>
        </w:rPr>
        <w:t xml:space="preserve">s. Dynamic commerce presentation is a versioned, fingerprinted member of the same </w:t>
      </w:r>
      <w:r>
        <w:rPr>
          <w:rFonts w:ascii="Consolas" w:hAnsi="Consolas" w:cs="Consolas"/>
          <w:sz w:val="19"/>
          <w:szCs w:val="19"/>
        </w:rPr>
        <w:t>StorefrontSnapshot</w:t>
      </w:r>
      <w:r>
        <w:rPr>
          <w:rFonts w:ascii="Calibri" w:hAnsi="Calibri" w:cs="Calibri"/>
        </w:rPr>
        <w:t>: it owns a small maintained set of collection/search and PDP archetypes plus product-type/collection mappings and fallbacks, while a compact route inventory retains only each URL and canonical commerce identity. Runtime resolves the current mapping, validates the exact registered profile/frame/ component authority, and binds current protected commerce into a transient renderer projection.</w:t>
      </w:r>
    </w:p>
    <w:p>
      <w:pPr>
        <w:pStyle w:val="Normal"/>
        <w:widowControl/>
      </w:pPr>
      <w:r>
        <w:rPr>
          <w:rFonts w:ascii="Calibri" w:hAnsi="Calibri" w:cs="Calibri"/>
        </w:rPr>
        <w:t xml:space="preserve">The </w:t>
      </w:r>
      <w:r>
        <w:rPr>
          <w:rFonts w:ascii="Consolas" w:hAnsi="Consolas" w:cs="Consolas"/>
          <w:sz w:val="19"/>
          <w:szCs w:val="19"/>
        </w:rPr>
        <w:t>/search</w:t>
      </w:r>
      <w:r>
        <w:rPr>
          <w:rFonts w:ascii="Calibri" w:hAnsi="Calibri" w:cs="Calibri"/>
        </w:rPr>
        <w:t xml:space="preserve"> route and selected archetype are registered persisted presentation authority. P10B-16P-06 supplies the separate first-class transient query/results authority: a provider-neutral read-only port and standalone </w:t>
      </w:r>
      <w:r>
        <w:rPr>
          <w:rFonts w:ascii="Consolas" w:hAnsi="Consolas" w:cs="Consolas"/>
          <w:sz w:val="19"/>
          <w:szCs w:val="19"/>
        </w:rPr>
        <w:t>CatalogueDisplayModel</w:t>
      </w:r>
      <w:r>
        <w:rPr>
          <w:rFonts w:ascii="Calibri" w:hAnsi="Calibri" w:cs="Calibri"/>
        </w:rPr>
        <w:t xml:space="preserve"> adapter derive exact current public product-route IDs for validated EN/FI query, supported filter/sort, and page state. The same </w:t>
      </w:r>
      <w:r>
        <w:rPr>
          <w:rFonts w:ascii="Consolas" w:hAnsi="Consolas" w:cs="Consolas"/>
          <w:sz w:val="19"/>
          <w:szCs w:val="19"/>
        </w:rPr>
        <w:t>dynamicCollectionCommerce</w:t>
      </w:r>
      <w:r>
        <w:rPr>
          <w:rFonts w:ascii="Calibri" w:hAnsi="Calibri" w:cs="Calibri"/>
        </w:rPr>
        <w:t xml:space="preserve">, product-card, frame, orientation/no-results, and dynamic PDP route authorities render the result. Query text, filters, sort, page, result IDs, and result count remain runtime-only and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authority, or publication records as editable state. Missing, invalid, stale, or unresolved runtime authority still fails closed and never substitutes a collection.</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static pages, sections, dynamic commerce presentation authority,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 A transient dynamic route or editor projection may use the </w:t>
      </w:r>
      <w:r>
        <w:rPr>
          <w:rFonts w:ascii="Consolas" w:hAnsi="Consolas" w:cs="Consolas"/>
          <w:sz w:val="19"/>
          <w:szCs w:val="19"/>
        </w:rPr>
        <w:t>PageModel</w:t>
      </w:r>
      <w:r>
        <w:rPr>
          <w:rFonts w:ascii="Calibri" w:hAnsi="Calibri" w:cs="Calibri"/>
        </w:rPr>
        <w:t xml:space="preserve"> renderer contract, but it is derived from an archetype plus exact route commerce and is not persisted as another page.</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Normal"/>
        <w:widowControl/>
      </w:pPr>
      <w:r>
        <w:rPr>
          <w:rFonts w:ascii="Calibri" w:hAnsi="Calibri" w:cs="Calibri"/>
        </w:rPr>
        <w:t>For a current dynamic-commerce snapshot, compilation validates every archetype component and profile, preserves the exact root authority in the immutable result, and binds its fingerprint into compiler authority, migration, receipt, navigation/route, and runtime fingerprints. Older valid artifacts may omit the optional authority; a current artifact cannot silently drop it or persist a representative editor context.</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5"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locked 18-task sequence, and post-P10B-16 three-stage generation-journey correction live in </w:t>
      </w:r>
      <w:hyperlink r:id="rIdHyperlink6"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7"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8"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0"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1"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2"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3"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canonical static </w:t>
      </w:r>
      <w:r>
        <w:rPr>
          <w:rFonts w:ascii="Consolas" w:hAnsi="Consolas" w:cs="Consolas"/>
          <w:sz w:val="19"/>
          <w:szCs w:val="19"/>
        </w:rPr>
        <w:t>StorefrontSnapshot.pages</w:t>
      </w:r>
      <w:r>
        <w:rPr>
          <w:rFonts w:ascii="Calibri" w:hAnsi="Calibri" w:cs="Calibri"/>
        </w:rPr>
        <w:t xml:space="preserve">, </w:t>
      </w:r>
      <w:r>
        <w:rPr>
          <w:rFonts w:ascii="Consolas" w:hAnsi="Consolas" w:cs="Consolas"/>
          <w:sz w:val="19"/>
          <w:szCs w:val="19"/>
        </w:rPr>
        <w:t>StorefrontSnapshot.navigation</w:t>
      </w:r>
      <w:r>
        <w:rPr>
          <w:rFonts w:ascii="Calibri" w:hAnsi="Calibri" w:cs="Calibri"/>
        </w:rPr>
        <w:t xml:space="preserve">, and the compact dynamic-commerce route inventory. Each static </w:t>
      </w:r>
      <w:r>
        <w:rPr>
          <w:rFonts w:ascii="Consolas" w:hAnsi="Consolas" w:cs="Consolas"/>
          <w:sz w:val="19"/>
          <w:szCs w:val="19"/>
        </w:rPr>
        <w:t>PageModel</w:t>
      </w:r>
      <w:r>
        <w:rPr>
          <w:rFonts w:ascii="Calibri" w:hAnsi="Calibri" w:cs="Calibri"/>
        </w:rPr>
        <w:t xml:space="preserve"> retains its exact family/profile/context/locale/shared-frame/ evidence reference; each dynamic entry retains only its URL and canonical commerce identity while the root archetype authority owns presentation.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8"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Normal"/>
        <w:widowControl/>
      </w:pPr>
      <w:r>
        <w:rPr>
          <w:rFonts w:ascii="Calibri" w:hAnsi="Calibri" w:cs="Calibri"/>
        </w:rPr>
        <w:t xml:space="preserve">Accepted P10B-18B-01 retains the canonical Design DNA schema at </w:t>
      </w:r>
      <w:r>
        <w:rPr>
          <w:rFonts w:ascii="Consolas" w:hAnsi="Consolas" w:cs="Consolas"/>
          <w:sz w:val="19"/>
          <w:szCs w:val="19"/>
        </w:rPr>
        <w:t>1.0.0</w:t>
      </w:r>
      <w:r>
        <w:rPr>
          <w:rFonts w:ascii="Calibri" w:hAnsi="Calibri" w:cs="Calibri"/>
        </w:rPr>
        <w:t xml:space="preserve"> and adds no migration or parallel token model. New current-authority compilation now materializes two supported exact density outcomes per direction through existing spacing, controls, surfaces and regional-density fields: Premium and Minimal use standard/balanced or spacious/airy; Modern uses compact/compact or standard/balanced. Merchant colour and each direction's typography/media identity remain stable. Density is reported as a compound exact spacing/Design DNA consequence rather than a raw fingerprint-only posture axis. Exact fixed-backbone, lifecycle, CSS projection and accepted browser evidence are recorded in the P10B-02 authority document and the frozen-audit successor section.</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0"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4"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2" w:history="1">
        <w:r>
          <w:rPr>
            <w:rFonts w:ascii="Calibri" w:hAnsi="Calibri" w:cs="Calibri"/>
            <w:color w:val="2E74B5"/>
            <w:u w:val="single"/>
          </w:rPr>
          <w:t>P10B_06_COMMERCIAL_SHARED_FRAME_FAMILIES.md</w:t>
        </w:r>
      </w:hyperlink>
      <w:r>
        <w:rPr>
          <w:rFonts w:ascii="Calibri" w:hAnsi="Calibri" w:cs="Calibri"/>
        </w:rPr>
        <w:t>.</w:t>
      </w:r>
    </w:p>
    <w:p>
      <w:pPr>
        <w:pStyle w:val="Normal"/>
        <w:widowControl/>
      </w:pPr>
      <w:r>
        <w:rPr>
          <w:rFonts w:ascii="Calibri" w:hAnsi="Calibri" w:cs="Calibri"/>
        </w:rPr>
        <w:t xml:space="preserve">Accepted P10B-18B-01 retains shared-frame authority </w:t>
      </w:r>
      <w:r>
        <w:rPr>
          <w:rFonts w:ascii="Consolas" w:hAnsi="Consolas" w:cs="Consolas"/>
          <w:sz w:val="19"/>
          <w:szCs w:val="19"/>
        </w:rPr>
        <w:t>1.0.0</w:t>
      </w:r>
      <w:r>
        <w:rPr>
          <w:rFonts w:ascii="Calibri" w:hAnsi="Calibri" w:cs="Calibri"/>
        </w:rPr>
        <w:t xml:space="preserve"> and the same four identities. It admits </w:t>
      </w:r>
      <w:r>
        <w:rPr>
          <w:rFonts w:ascii="Consolas" w:hAnsi="Consolas" w:cs="Consolas"/>
          <w:sz w:val="19"/>
          <w:szCs w:val="19"/>
        </w:rPr>
        <w:t>compact-technical</w:t>
      </w:r>
      <w:r>
        <w:rPr>
          <w:rFonts w:ascii="Calibri" w:hAnsi="Calibri" w:cs="Calibri"/>
        </w:rPr>
        <w:t xml:space="preserve"> only for the four previously blocking About-story, checkout, empty and not-found profiles, making the existing frame truthfully reachable over the full required audit site map. The shared renderer now preserves whole long-navigation labels at 1024/1440, bounds the Premium editorial wordmark, reduces the utility footer without dropping links, strengthens the centered-minimal transition, and gives compact-technical a distinct dense rail/legal composition. Navigation posture directly selects the exact shared frame; mobile hierarchy is compound over the selected frame's registered mobile mode and responsive transformations. No fifth frame, breakpoint authority, frame-local token system, navigation model or persisted migration is introduced.</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5"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 xml:space="preserve">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 P10B-16P-01 later registers </w:t>
      </w:r>
      <w:r>
        <w:rPr>
          <w:rFonts w:ascii="Consolas" w:hAnsi="Consolas" w:cs="Consolas"/>
          <w:sz w:val="19"/>
          <w:szCs w:val="19"/>
        </w:rPr>
        <w:t>/search</w:t>
      </w:r>
      <w:r>
        <w:rPr>
          <w:rFonts w:ascii="Calibri" w:hAnsi="Calibri" w:cs="Calibri"/>
        </w:rPr>
        <w:t xml:space="preserve"> in compact route inventory and selects its maintained archetype. P10B-16P-06 now supplies the separate transient canonical query/results adapter while preserving that presentation authority; unavailable or invalid runtime state still fails closed without substituting a collection.</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6"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7"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8"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routes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19"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P10B-16 governs direction/diversity authority, and P10B-16P-01 preserves the same route coverage while converging collection/search/PDP design into maintained root archetypes. P10B-16P-02A provides the strict transient prompted intent boundary, and P10B-16P-02B compiles its result into one exact canonical synthesis/proposal execution. P10B-16P-03 connects that authority to the normal Storefront Studio journey, and P10B-16P-04 adds accepted real V2 evidence plus bridge disposition. P10B-17 subsequently closes phase-wide responsive/accessibility/performance execution; accepted P10B-18A audits the prior ceiling; accepted P10B-18B-01 closes the bounded Design DNA/shared-frame upgrade;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and P10B-19 PRE is the exact next task.</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0"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P10B-18C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1"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P10B-16P-01 dynamic commerce route archetype authority</w:t>
      </w:r>
    </w:p>
    <w:p>
      <w:pPr>
        <w:pStyle w:val="Normal"/>
        <w:widowControl/>
      </w:pPr>
      <w:r>
        <w:rPr>
          <w:rFonts w:ascii="Calibri" w:hAnsi="Calibri" w:cs="Calibri"/>
        </w:rPr>
        <w:t xml:space="preserve">P10B-16P-01 corrects the earlier complete-store representation in which each collection and product URL became an independently visible/editable </w:t>
      </w:r>
      <w:r>
        <w:rPr>
          <w:rFonts w:ascii="Consolas" w:hAnsi="Consolas" w:cs="Consolas"/>
          <w:sz w:val="19"/>
          <w:szCs w:val="19"/>
        </w:rPr>
        <w:t>PageModel</w:t>
      </w:r>
      <w:r>
        <w:rPr>
          <w:rFonts w:ascii="Calibri" w:hAnsi="Calibri" w:cs="Calibri"/>
        </w:rPr>
        <w:t xml:space="preserve">. Collection and PDP public-route coverage is unchanged; </w:t>
      </w:r>
      <w:r>
        <w:rPr>
          <w:rFonts w:ascii="Consolas" w:hAnsi="Consolas" w:cs="Consolas"/>
          <w:sz w:val="19"/>
          <w:szCs w:val="19"/>
        </w:rPr>
        <w:t>/search</w:t>
      </w:r>
      <w:r>
        <w:rPr>
          <w:rFonts w:ascii="Calibri" w:hAnsi="Calibri" w:cs="Calibri"/>
        </w:rPr>
        <w:t xml:space="preserve"> retains one registered route and presentation authority. Route instance and design authority are now separate. Static home, content, campaign, policy, and utility pages remain canonical pages. Collection/search and PDP design live in one versioned, fingerprinted </w:t>
      </w:r>
      <w:r>
        <w:rPr>
          <w:rFonts w:ascii="Consolas" w:hAnsi="Consolas" w:cs="Consolas"/>
          <w:sz w:val="19"/>
          <w:szCs w:val="19"/>
        </w:rPr>
        <w:t>dynamicCommercePresentation</w:t>
      </w:r>
      <w:r>
        <w:rPr>
          <w:rFonts w:ascii="Calibri" w:hAnsi="Calibri" w:cs="Calibri"/>
        </w:rPr>
        <w:t xml:space="preserve"> authority inside the same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The root authority records a compact collection/product/search route inventory, four maintained collection/search archetypes, four maintained PDP profiles plus a generic PDP fallback, exact PageBlueprint profile versions/fingerprints, compatible frames, Design DNA narrowing, component/ anatomy/variant and bounded parameter selections, responsive/art-direction posture, collection-route mappings, product-type mappings, bounded matching rules, fallbacks, revision, and authority fingerprint. Editable archetype state cannot contain route or membership identities, canonical revisions, SKU/price/stock/availability, variant or option structures, or canonical product media.</w:t>
      </w:r>
    </w:p>
    <w:p>
      <w:pPr>
        <w:pStyle w:val="Normal"/>
        <w:widowControl/>
      </w:pPr>
      <w:r>
        <w:rPr>
          <w:rFonts w:ascii="Calibri" w:hAnsi="Calibri" w:cs="Calibri"/>
        </w:rPr>
        <w:t xml:space="preserve">Every known product type maps to one PDP archetype and several product types may reuse one archetype. Unknown types use the generic canonical-option fallback. Every collection route has one collection-compatible mapping; </w:t>
      </w:r>
      <w:r>
        <w:rPr>
          <w:rFonts w:ascii="Consolas" w:hAnsi="Consolas" w:cs="Consolas"/>
          <w:sz w:val="19"/>
          <w:szCs w:val="19"/>
        </w:rPr>
        <w:t>/search</w:t>
      </w:r>
      <w:r>
        <w:rPr>
          <w:rFonts w:ascii="Calibri" w:hAnsi="Calibri" w:cs="Calibri"/>
        </w:rPr>
        <w:t xml:space="preserve"> retains registered search archetype selection. At runtime the exact collection or PDP URL resolves its current route entry and mapping, revalidates current profile/frame/component authority, binds exact current protected product or collection commerce, and renders through the existing </w:t>
      </w:r>
      <w:r>
        <w:rPr>
          <w:rFonts w:ascii="Consolas" w:hAnsi="Consolas" w:cs="Consolas"/>
          <w:sz w:val="19"/>
          <w:szCs w:val="19"/>
        </w:rPr>
        <w:t>dynamicProductDetail</w:t>
      </w:r>
      <w:r>
        <w:rPr>
          <w:rFonts w:ascii="Calibri" w:hAnsi="Calibri" w:cs="Calibri"/>
        </w:rPr>
        <w:t xml:space="preserve"> or </w:t>
      </w:r>
      <w:r>
        <w:rPr>
          <w:rFonts w:ascii="Consolas" w:hAnsi="Consolas" w:cs="Consolas"/>
          <w:sz w:val="19"/>
          <w:szCs w:val="19"/>
        </w:rPr>
        <w:t>dynamicCollectionCommerce</w:t>
      </w:r>
      <w:r>
        <w:rPr>
          <w:rFonts w:ascii="Calibri" w:hAnsi="Calibri" w:cs="Calibri"/>
        </w:rPr>
        <w:t xml:space="preserve"> implementation. Search materialization additionally requires an exact transient query/result projection from a first-class canonical adapter. P10B-16P-06 supplies it from the standalone current catalogue; unavailable, invalid, stale, or unresolved authority fails closed rather than fabricating results or binding a collection. Catalogue size and query count therefore do not change editable design cardinality.</w:t>
      </w:r>
    </w:p>
    <w:p>
      <w:pPr>
        <w:pStyle w:val="Normal"/>
        <w:widowControl/>
      </w:pPr>
      <w:r>
        <w:rPr>
          <w:rFonts w:ascii="Calibri" w:hAnsi="Calibri" w:cs="Calibri"/>
        </w:rPr>
        <w:t>Storefront Studio lists static pages and archetypes, not every product and collection URL. A chosen representative product or collection is transient view state and is never saved or published. Archetype edits update root authority revision/fingerprint. Draft save/reload, history/restore, proposal projection, compiler, manual and accepted-AI publication, immutable artifacts, preview, and published routes preserve the same authority.</w:t>
      </w:r>
    </w:p>
    <w:p>
      <w:pPr>
        <w:pStyle w:val="Normal"/>
        <w:widowControl/>
      </w:pPr>
      <w:r>
        <w:rPr>
          <w:rFonts w:ascii="Calibri" w:hAnsi="Calibri" w:cs="Calibri"/>
        </w:rPr>
        <w:t xml:space="preserve">Legacy snapshots remain parseable. Deterministic migration converges compatible concrete commerce pages while preserving routes, primary and related-product bindings, profile/variant choices, navigation, and static pages. Missing identity, unsupported layout, a static child of a dynamic route, materially different legacy presentations, or incompatible per-product-type profiles returns a typed explicit-decision result instead of choosing or discarding authority. Details are in </w:t>
      </w:r>
      <w:hyperlink r:id="rIdHyperlink22" w:history="1">
        <w:r>
          <w:rPr>
            <w:rFonts w:ascii="Calibri" w:hAnsi="Calibri" w:cs="Calibri"/>
            <w:color w:val="2E74B5"/>
            <w:u w:val="single"/>
          </w:rPr>
          <w:t>P10B_16P_01_DYNAMIC_COMMERCE_ROUTE_ARCHETYPES.md</w:t>
        </w:r>
      </w:hyperlink>
      <w:r>
        <w:rPr>
          <w:rFonts w:ascii="Calibri" w:hAnsi="Calibri" w:cs="Calibri"/>
        </w:rPr>
        <w:t>.</w:t>
      </w:r>
    </w:p>
    <w:p>
      <w:pPr>
        <w:pStyle w:val="Normal"/>
        <w:widowControl/>
      </w:pPr>
      <w:r>
        <w:rPr>
          <w:rFonts w:ascii="Calibri" w:hAnsi="Calibri" w:cs="Calibri"/>
        </w:rPr>
        <w:t>Existing whole-storefront proposal compatibility uses an explicit server-owned canonical dynamic-commerce migration transition. It is valid only for whole-storefront scope and binds the exact operation-produced legacy projection, reviewed canonical projection, and resulting authority fingerprint. Acceptance replays the migration against current catalogue authority and must reproduce the reviewed storefront exactly. Provider-originated transitions, page/section scope, stale authority, or an unsafe migration fail before acceptance.</w:t>
      </w:r>
    </w:p>
    <w:p>
      <w:pPr>
        <w:pStyle w:val="Normal"/>
        <w:widowControl/>
      </w:pPr>
      <w:r>
        <w:rPr>
          <w:rFonts w:ascii="Calibri" w:hAnsi="Calibri" w:cs="Calibri"/>
        </w:rPr>
        <w:t>P10B-16P-01 is Baseline. P10B-16P-02A owns the strict transient prompted Design Intent boundary, and P10B-16P-02B owns deterministic compilation plus canonical one-shot synthesis/proposal consumption; both are Baseline, so P10B-16P-02 is Baseline. Normal Studio generation is Baseline under P10B-16P-03, and separately authorized real-provider acceptance is Baseline under P10B-16P-04.</w:t>
      </w:r>
    </w:p>
    <w:p>
      <w:pPr>
        <w:pStyle w:val="Heading2"/>
        <w:keepNext/>
        <w:widowControl/>
      </w:pPr>
      <w:r>
        <w:rPr>
          <w:rFonts w:ascii="Calibri" w:hAnsi="Calibri" w:cs="Calibri"/>
        </w:rPr>
        <w:t>10.19 P10B-16P-02A prompted Storefront Design Intent V2 authority</w:t>
      </w:r>
    </w:p>
    <w:p>
      <w:pPr>
        <w:pStyle w:val="Normal"/>
        <w:widowControl/>
      </w:pPr>
      <w:r>
        <w:rPr>
          <w:rFonts w:ascii="Calibri" w:hAnsi="Calibri" w:cs="Calibri"/>
        </w:rPr>
        <w:t>P10B-16P-02A established the strict transient provider-safe boundary. P10B-16P-04 retains that boundary while narrowing its provider wire surface to one compact bounded-hybrid semantic intent. The provider expresses merchant-facing commercial posture, visual character, density, frame priority, homepage balance, collection discovery, PDP decision support, responsive/mobile posture, art direction, and explicit merchant hard/avoid constraints. It does not select exact component, variant, PageBlueprint, frame, product-card, archetype, product-type mapping, parameter, product, collection, route, or candidate-storefront identifiers.</w:t>
      </w:r>
    </w:p>
    <w:p>
      <w:pPr>
        <w:pStyle w:val="Normal"/>
        <w:widowControl/>
      </w:pPr>
      <w:r>
        <w:rPr>
          <w:rFonts w:ascii="Calibri" w:hAnsi="Calibri" w:cs="Calibri"/>
        </w:rPr>
        <w:t>One generated transient semantic influence authority derives from the current canonical Design DNA, frame, PageBlueprint/profile, component/anatomy, dynamic-commerce, content/utility, responsive, art-direction, evidence, and asset metadata. It marks semantic fields as direct, compound-driver, derived, substitution-only, or unavailable and fingerprints the current influence surface. It is not a second registry or executable plan. Search is represented truthfully as registered presentation authority whose runtime remains fail closed until a first-class canonical query/results adapter exists.</w:t>
      </w:r>
    </w:p>
    <w:p>
      <w:pPr>
        <w:pStyle w:val="Normal"/>
        <w:widowControl/>
      </w:pPr>
      <w:r>
        <w:rPr>
          <w:rFonts w:ascii="Calibri" w:hAnsi="Calibri" w:cs="Calibri"/>
        </w:rPr>
        <w:t>The strict versioned request binds the exact unchanged merchant prompt and deterministic prompt, request, project/draft/snapshot, dynamic-commerce, semantic-influence, PageBlueprint, Design DNA, brief/evidence, asset and aggregate catalogue/commerce fingerprints. It includes approved safe merchant context, bounded aggregate catalogue/product-type characteristics, evidence/asset availability, semantic values, and at most two server-attested exact merchant hints. Full products, prices, stock, customers, orders, raw media, a complete capability manifest, unnecessary raw evidence, credentials and authorization data are excluded.</w:t>
      </w:r>
    </w:p>
    <w:p>
      <w:pPr>
        <w:pStyle w:val="Normal"/>
        <w:widowControl/>
      </w:pPr>
      <w:r>
        <w:rPr>
          <w:rFonts w:ascii="Calibri" w:hAnsi="Calibri" w:cs="Calibri"/>
        </w:rPr>
        <w:t xml:space="preserve">The strict closed result is transient, untrusted, non-canonical and non-executable. It expresses explicit merchant hard constraints and avoidances plus bounded semantic soft/optional design preferences. AI-inferred implementation choices remain soft. It cannot emit an </w:t>
      </w:r>
      <w:r>
        <w:rPr>
          <w:rFonts w:ascii="Consolas" w:hAnsi="Consolas" w:cs="Consolas"/>
          <w:sz w:val="19"/>
          <w:szCs w:val="19"/>
        </w:rPr>
        <w:t>executableIntentId</w:t>
      </w:r>
      <w:r>
        <w:rPr>
          <w:rFonts w:ascii="Calibri" w:hAnsi="Calibri" w:cs="Calibri"/>
        </w:rPr>
        <w:t xml:space="preserve">, exact registry selection, arbitrary route/page/section tree, concrete product or collection design entry, component, code, CSS, commerce value, proposal, PageBlueprint or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After strict schema parsing, every semantic value must belong to its request-specific bounded enum; hard/avoid constraints and optional exact hints must match current server-owned authority. Unknown, invented, concrete-route, unavailable required, fingerprint-mismatched or stale values fail without fuzzy repair, named-preset substitution, retry, fallback or partial result. Normalization makes the request and intent fingerprints stable under unordered source iteration; all material semantics affect the intent fingerprint.</w:t>
      </w:r>
    </w:p>
    <w:p>
      <w:pPr>
        <w:pStyle w:val="Normal"/>
        <w:widowControl/>
      </w:pPr>
      <w:r>
        <w:rPr>
          <w:rFonts w:ascii="Calibri" w:hAnsi="Calibri" w:cs="Calibri"/>
        </w:rPr>
        <w:t xml:space="preserve">The server-only OpenAI adapter uses strict structured output, </w:t>
      </w:r>
      <w:r>
        <w:rPr>
          <w:rFonts w:ascii="Consolas" w:hAnsi="Consolas" w:cs="Consolas"/>
          <w:sz w:val="19"/>
          <w:szCs w:val="19"/>
        </w:rPr>
        <w:t>store: false</w:t>
      </w:r>
      <w:r>
        <w:rPr>
          <w:rFonts w:ascii="Calibri" w:hAnsi="Calibri" w:cs="Calibri"/>
        </w:rPr>
        <w:t>, zero SDK and application retries, one bounded-time transport attempt, no repair call/fallback, exact fingerprint verification and safe refusal/timeout/transport/malformed/schema/reference/stale classification. Only safe provider/model, call/retry, fingerprint, bounded usage and outcome metadata may be retained; raw prompts, provider bodies, credentials and headers are not logged or retained.</w:t>
      </w:r>
    </w:p>
    <w:p>
      <w:pPr>
        <w:pStyle w:val="Normal"/>
        <w:widowControl/>
      </w:pPr>
      <w:r>
        <w:rPr>
          <w:rFonts w:ascii="Calibri" w:hAnsi="Calibri" w:cs="Calibri"/>
        </w:rPr>
        <w:t xml:space="preserve">Before the provider response, this path may calculate semantic capability knowledge only. It cannot execute P10B-15, execute complete P10B-16 candidates, create a complete plan, materialize PageBlueprints, create proposal operations or construct a candidate snapshot. The prior P10B-16L real OpenAI call completed the earlier strict v1 direction/posture result and failed coordinated synthesis; the corrected executable-option bridge made zero live calls and its active runtime is now removed. Neither is prompt-driven generation evidence. P10B-16P-02B owns deterministic post-provider compilation, P10B-16P-03 owns the normal Studio journey, P10B-16P-04 owns accepted live evidence, and P10B-16P-05A owns active-path/compiler rationalisation. Full audit and contracts are in </w:t>
      </w:r>
      <w:hyperlink r:id="rIdHyperlink23" w:history="1">
        <w:r>
          <w:rPr>
            <w:rFonts w:ascii="Calibri" w:hAnsi="Calibri" w:cs="Calibri"/>
            <w:color w:val="2E74B5"/>
            <w:u w:val="single"/>
          </w:rPr>
          <w:t>P10B_16P_02_PROMPTED_STOREFRONT_DESIGN_PLAN_V2.md</w:t>
        </w:r>
      </w:hyperlink>
      <w:r>
        <w:rPr>
          <w:rFonts w:ascii="Calibri" w:hAnsi="Calibri" w:cs="Calibri"/>
        </w:rPr>
        <w:t>.</w:t>
      </w:r>
    </w:p>
    <w:p>
      <w:pPr>
        <w:pStyle w:val="Heading2"/>
        <w:keepNext/>
        <w:widowControl/>
      </w:pPr>
      <w:r>
        <w:rPr>
          <w:rFonts w:ascii="Calibri" w:hAnsi="Calibri" w:cs="Calibri"/>
        </w:rPr>
        <w:t>10.20 P10B-16P-02B deterministic design-intent compiler</w:t>
      </w:r>
    </w:p>
    <w:p>
      <w:pPr>
        <w:pStyle w:val="Normal"/>
        <w:widowControl/>
      </w:pPr>
      <w:r>
        <w:rPr>
          <w:rFonts w:ascii="Consolas" w:hAnsi="Consolas" w:cs="Consolas"/>
          <w:sz w:val="19"/>
          <w:szCs w:val="19"/>
        </w:rPr>
        <w:t>CompiledPromptedStorefrontDesignDecisionV2</w:t>
      </w:r>
      <w:r>
        <w:rPr>
          <w:rFonts w:ascii="Calibri" w:hAnsi="Calibri" w:cs="Calibri"/>
        </w:rPr>
        <w:t xml:space="preserve"> is the strict, versioned, transient execution authority between a validated provider intent and the existing P10B synthesis lifecycle. The compiler first reconstructs the current provider request and requires exact prompt, request, snapshot revision, semantic-influence, manifest, PageBlueprint, Design DNA, dynamic-commerce, approved evidence/asset and aggregate catalogue authority. A stale or mismatched identity fails before compilation and leaves draft, history and proposal state unchanged.</w:t>
      </w:r>
    </w:p>
    <w:p>
      <w:pPr>
        <w:pStyle w:val="Normal"/>
        <w:widowControl/>
      </w:pPr>
      <w:r>
        <w:rPr>
          <w:rFonts w:ascii="Calibri" w:hAnsi="Calibri" w:cs="Calibri"/>
        </w:rPr>
        <w:t>The deterministic factorized solver evaluates only bounded compatibility metadata after the provider result; it never materializes completed candidate storefronts for scoring. It first selects a compatible page-set/Design-DNA/frame/profile/archetype backbone, then resolves exact factor options for typography, narrative, merchandising density, components, meaningful variants, product cards, bounded parameters, responsive posture, and art direction. It enforces an explicit evaluation budget, canonical ordering and score-based selection, with stable fingerprints used only to break equal scores. Exact merchant hard constraints remain hard; soft semantics influence only direct or truthful compound axes, and derived/substitution-only fields do not double-count one correlated exact choice. Search remains a registered presentation selection with fail-closed execution; the compiler does not invent query/results authority.</w:t>
      </w:r>
    </w:p>
    <w:p>
      <w:pPr>
        <w:pStyle w:val="Normal"/>
        <w:widowControl/>
      </w:pPr>
      <w:r>
        <w:rPr>
          <w:rFonts w:ascii="Calibri" w:hAnsi="Calibri" w:cs="Calibri"/>
        </w:rPr>
        <w:t xml:space="preserve">The compiled decision binds exact Design DNA material, shared frame, homepage/collection/search/PDP profiles and archetypes, complete product-type-to-PDP mappings with a generic fallback, canonical product-card anatomies, material PageBlueprint slot/meaningful-variant/bounded-parameter overrides, static/support and utility selections, narrative, responsive/art-direction and approved asset-role use. Every material provider preference records an </w:t>
      </w:r>
      <w:r>
        <w:rPr>
          <w:rFonts w:ascii="Consolas" w:hAnsi="Consolas" w:cs="Consolas"/>
          <w:sz w:val="19"/>
          <w:szCs w:val="19"/>
        </w:rPr>
        <w:t>accepted</w:t>
      </w:r>
      <w:r>
        <w:rPr>
          <w:rFonts w:ascii="Calibri" w:hAnsi="Calibri" w:cs="Calibri"/>
        </w:rPr>
        <w:t xml:space="preserve">, </w:t>
      </w:r>
      <w:r>
        <w:rPr>
          <w:rFonts w:ascii="Consolas" w:hAnsi="Consolas" w:cs="Consolas"/>
          <w:sz w:val="19"/>
          <w:szCs w:val="19"/>
        </w:rPr>
        <w:t>substituted</w:t>
      </w:r>
      <w:r>
        <w:rPr>
          <w:rFonts w:ascii="Calibri" w:hAnsi="Calibri" w:cs="Calibri"/>
        </w:rPr>
        <w:t xml:space="preserve">, </w:t>
      </w:r>
      <w:r>
        <w:rPr>
          <w:rFonts w:ascii="Consolas" w:hAnsi="Consolas" w:cs="Consolas"/>
          <w:sz w:val="19"/>
          <w:szCs w:val="19"/>
        </w:rPr>
        <w:t>rejected</w:t>
      </w:r>
      <w:r>
        <w:rPr>
          <w:rFonts w:ascii="Calibri" w:hAnsi="Calibri" w:cs="Calibri"/>
        </w:rPr>
        <w:t xml:space="preserve">, </w:t>
      </w:r>
      <w:r>
        <w:rPr>
          <w:rFonts w:ascii="Consolas" w:hAnsi="Consolas" w:cs="Consolas"/>
          <w:sz w:val="19"/>
          <w:szCs w:val="19"/>
        </w:rPr>
        <w:t>omitted</w:t>
      </w:r>
      <w:r>
        <w:rPr>
          <w:rFonts w:ascii="Calibri" w:hAnsi="Calibri" w:cs="Calibri"/>
        </w:rPr>
        <w:t xml:space="preserve">, or </w:t>
      </w:r>
      <w:r>
        <w:rPr>
          <w:rFonts w:ascii="Consolas" w:hAnsi="Consolas" w:cs="Consolas"/>
          <w:sz w:val="19"/>
          <w:szCs w:val="19"/>
        </w:rPr>
        <w:t>defaulted</w:t>
      </w:r>
      <w:r>
        <w:rPr>
          <w:rFonts w:ascii="Calibri" w:hAnsi="Calibri" w:cs="Calibri"/>
        </w:rPr>
        <w:t xml:space="preserve"> diagnostic with its exact authority and stable reason. Compiled, structural, dynamic-route and exact-authority fingerprints change with material decisions.</w:t>
      </w:r>
    </w:p>
    <w:p>
      <w:pPr>
        <w:pStyle w:val="Normal"/>
        <w:widowControl/>
      </w:pPr>
      <w:r>
        <w:rPr>
          <w:rFonts w:ascii="Calibri" w:hAnsi="Calibri" w:cs="Calibri"/>
        </w:rPr>
        <w:t xml:space="preserve">Only a successfully validated compiled decision may be consumed. It becomes one exact extension of the existing bounded synthesis decision and is then materialized once through the canonical P10B generation plan and isolated whole-storefront proposal lifecycle. This executable boundary carries the selected exact authority values, never a coordinated-direction </w:t>
      </w:r>
      <w:r>
        <w:rPr>
          <w:rFonts w:ascii="Consolas" w:hAnsi="Consolas" w:cs="Consolas"/>
          <w:sz w:val="19"/>
          <w:szCs w:val="19"/>
        </w:rPr>
        <w:t>selectionId</w:t>
      </w:r>
      <w:r>
        <w:rPr>
          <w:rFonts w:ascii="Calibri" w:hAnsi="Calibri" w:cs="Calibri"/>
        </w:rPr>
        <w:t xml:space="preserve">, compatibility-package wrapper or precomputed-candidate identity. Those identifiers may support bounded internal solving and diagnostics only. </w:t>
      </w:r>
      <w:r>
        <w:rPr>
          <w:rFonts w:ascii="Consolas" w:hAnsi="Consolas" w:cs="Consolas"/>
          <w:sz w:val="19"/>
          <w:szCs w:val="19"/>
        </w:rPr>
        <w:t>PageBlueprint</w:t>
      </w:r>
      <w:r>
        <w:rPr>
          <w:rFonts w:ascii="Calibri" w:hAnsi="Calibri" w:cs="Calibri"/>
        </w:rPr>
        <w:t xml:space="preserve"> remains the composition authority and </w:t>
      </w:r>
      <w:r>
        <w:rPr>
          <w:rFonts w:ascii="Consolas" w:hAnsi="Consolas" w:cs="Consolas"/>
          <w:sz w:val="19"/>
          <w:szCs w:val="19"/>
        </w:rPr>
        <w:t>StorefrontSnapshot</w:t>
      </w:r>
      <w:r>
        <w:rPr>
          <w:rFonts w:ascii="Calibri" w:hAnsi="Calibri" w:cs="Calibri"/>
        </w:rPr>
        <w:t xml:space="preserve"> remains the sole canonical editable state. Invalid, stale, incompatible, budget-exceeded, unsupported bounded-runtime, protected-commerce or partial results fail closed with no snapshot/proposal mutation. Protected-commerce evidence verifies the actual materialized plan, proposal and proposed snapshot rather than trusting only compiler metadata. P10B-16P-02B made zero provider and Vesko calls and does not itself provide normal Storefront Studio wiring, executable search or live V2 acceptance. P10B-16P-03 now supplies the normal Studio wiring without changing this compiler boundary.</w:t>
      </w:r>
    </w:p>
    <w:p>
      <w:pPr>
        <w:pStyle w:val="Heading2"/>
        <w:keepNext/>
        <w:widowControl/>
      </w:pPr>
      <w:r>
        <w:rPr>
          <w:rFonts w:ascii="Calibri" w:hAnsi="Calibri" w:cs="Calibri"/>
        </w:rPr>
        <w:t>10.21 P10B-16P-03 Storefront Studio prompted generation journey</w:t>
      </w:r>
    </w:p>
    <w:p>
      <w:pPr>
        <w:pStyle w:val="Normal"/>
        <w:widowControl/>
      </w:pPr>
      <w:r>
        <w:rPr>
          <w:rFonts w:ascii="Calibri" w:hAnsi="Calibri" w:cs="Calibri"/>
        </w:rPr>
        <w:t xml:space="preserve">Normal initial whole-storefront generation now starts from an approved raw local merchant project in Vesko Storefront Studio. The browser sends only exact merchant text plus current project, snapshot, revision, locale, and storefront-scope identity through the strict versioned </w:t>
      </w:r>
      <w:r>
        <w:rPr>
          <w:rFonts w:ascii="Consolas" w:hAnsi="Consolas" w:cs="Consolas"/>
          <w:sz w:val="19"/>
          <w:szCs w:val="19"/>
        </w:rPr>
        <w:t>promptedStorefrontDesignV2</w:t>
      </w:r>
      <w:r>
        <w:rPr>
          <w:rFonts w:ascii="Calibri" w:hAnsi="Calibri" w:cs="Calibri"/>
        </w:rPr>
        <w:t xml:space="preserve"> operation. In standalone and explicitly configured mock evidence compositions, the server independently reloads project, snapshot, catalogue, evidence, approved assets, and capability authority; invokes one injected Design Intent V2 provider; refreshes authority after the response; and calls </w:t>
      </w:r>
      <w:r>
        <w:rPr>
          <w:rFonts w:ascii="Consolas" w:hAnsi="Consolas" w:cs="Consolas"/>
          <w:sz w:val="19"/>
          <w:szCs w:val="19"/>
        </w:rPr>
        <w:t>runPromptedStorefrontDesignCompilation</w:t>
      </w:r>
      <w:r>
        <w:rPr>
          <w:rFonts w:ascii="Calibri" w:hAnsi="Calibri" w:cs="Calibri"/>
        </w:rPr>
        <w:t>. That local authority is not integrated authentication. An integrated request without injected authenticated tenant/project-backed current authority fails closed before provider selection. P10B-16P-04 subsequently supplies a production-disabled trusted server-owned acceptance composition; it is not production authentication. Browser-supplied intents, compiled decisions, component selections, candidate snapshots, and proposal operations are rejected by the closed request schema.</w:t>
      </w:r>
    </w:p>
    <w:p>
      <w:pPr>
        <w:pStyle w:val="Normal"/>
        <w:widowControl/>
      </w:pPr>
      <w:r>
        <w:rPr>
          <w:rFonts w:ascii="Calibri" w:hAnsi="Calibri" w:cs="Calibri"/>
        </w:rPr>
        <w:t xml:space="preserve">The server returns one existing isolated </w:t>
      </w:r>
      <w:r>
        <w:rPr>
          <w:rFonts w:ascii="Consolas" w:hAnsi="Consolas" w:cs="Consolas"/>
          <w:sz w:val="19"/>
          <w:szCs w:val="19"/>
        </w:rPr>
        <w:t>AiStorefrontProposal</w:t>
      </w:r>
      <w:r>
        <w:rPr>
          <w:rFonts w:ascii="Calibri" w:hAnsi="Calibri" w:cs="Calibri"/>
        </w:rPr>
        <w:t xml:space="preserve">, current approved evidence references, and safe lineage. Exactly one server-minted registered </w:t>
      </w:r>
      <w:r>
        <w:rPr>
          <w:rFonts w:ascii="Consolas" w:hAnsi="Consolas" w:cs="Consolas"/>
          <w:sz w:val="19"/>
          <w:szCs w:val="19"/>
        </w:rPr>
        <w:t>APPLY_CANONICAL_WHOLE_STOREFRONT_GENERATION</w:t>
      </w:r>
      <w:r>
        <w:rPr>
          <w:rFonts w:ascii="Calibri" w:hAnsi="Calibri" w:cs="Calibri"/>
        </w:rPr>
        <w:t xml:space="preserve"> structured operation carries the target-bound </w:t>
      </w:r>
      <w:r>
        <w:rPr>
          <w:rFonts w:ascii="Consolas" w:hAnsi="Consolas" w:cs="Consolas"/>
          <w:sz w:val="19"/>
          <w:szCs w:val="19"/>
        </w:rPr>
        <w:t>compilePromptedStorefrontDesignIntentV2@2.0.0</w:t>
      </w:r>
      <w:r>
        <w:rPr>
          <w:rFonts w:ascii="Calibri" w:hAnsi="Calibri" w:cs="Calibri"/>
        </w:rPr>
        <w:t xml:space="preserve"> permission. It binds the exact raw projection, operation-produced projection, reviewed canonical result, and the exact P02B source-proposal, request, prompt, provider-intent, compiled-decision, synthesis, structural, candidate-snapshot, and materialization-authority fingerprints. Response validation cross-binds those values across proposal metadata, the operation, and lineage. This is the explicit lifecycle authority needed to atomically replace a raw page set, navigation, shared frame, content-fact projection, and dynamic-commerce presentation. It does not create another proposal system or permit browser- or provider-authored replacement state.</w:t>
      </w:r>
    </w:p>
    <w:p>
      <w:pPr>
        <w:pStyle w:val="Normal"/>
        <w:widowControl/>
      </w:pPr>
      <w:r>
        <w:rPr>
          <w:rFonts w:ascii="Calibri" w:hAnsi="Calibri" w:cs="Calibri"/>
        </w:rPr>
        <w:t xml:space="preserve">Proposal review remains read-only and isolated until acceptance. Accept, Reject, Generate another, Undo/Redo, Save/reload, and normal Preview continue through existing proposal, history, </w:t>
      </w:r>
      <w:r>
        <w:rPr>
          <w:rFonts w:ascii="Consolas" w:hAnsi="Consolas" w:cs="Consolas"/>
          <w:sz w:val="19"/>
          <w:szCs w:val="19"/>
        </w:rPr>
        <w:t>StorefrontSnapshot</w:t>
      </w:r>
      <w:r>
        <w:rPr>
          <w:rFonts w:ascii="Calibri" w:hAnsi="Calibri" w:cs="Calibri"/>
        </w:rPr>
        <w:t>, storage, and renderer authority. Representative collection/PDP context is transient and never enters snapshot history or publication. At P10B-16P-03 delivery, search presentation could be listed but runtime search remained fail closed; P10B-16P-06 later supplies its separate transient query/results authority without changing the Studio generation contract. Current approved evidence references accompany proposal review; content/support fact documents retain their exact references in the candidate and accepted snapshots as provenance only. After save/reload, normal editor and Preview entry independently resolve current approved evidence from trusted server authority and compare it with the retained provenance; a saved snapshot never authorizes itself. The standalone P03 fixture supplies that current authority only for its exact project, while integrated mode fails closed without injected authenticated evidence authority.</w:t>
      </w:r>
    </w:p>
    <w:p>
      <w:pPr>
        <w:pStyle w:val="Normal"/>
        <w:widowControl/>
      </w:pPr>
      <w:r>
        <w:rPr>
          <w:rFonts w:ascii="Calibri" w:hAnsi="Calibri" w:cs="Calibri"/>
        </w:rPr>
        <w:t xml:space="preserve">The P10B-16P-03 retained implementation evidence uses only injected mocked providers. Page load, review, Accept, Reject, Undo/Redo, Save, Preview, and Publish controls make no provider call; one explicit Generate action makes at most one attempt with zero retry or fallback. Refusal, timeout, transport, malformed/schema, hard-constraint, and stale-authority failures leave draft and history unchanged and return the prompt controls to a usable state. P10B-16L terminal/demo injection and legacy bounded follow-up paths did not control normal initial generation; P10B-16P-05A subsequently removed the P10B-16L active runtime while preserving valid follow-up authority. P10B-16P-03 itself claims no real Design Intent provider call or commercial visual-quality acceptance. P10B-16P-04 supplies those later bounded acceptance facts. Details are in </w:t>
      </w:r>
      <w:hyperlink r:id="rIdHyperlink24" w:history="1">
        <w:r>
          <w:rPr>
            <w:rFonts w:ascii="Calibri" w:hAnsi="Calibri" w:cs="Calibri"/>
            <w:color w:val="2E74B5"/>
            <w:u w:val="single"/>
          </w:rPr>
          <w:t>P10B_16P_03_STUDIO_PROMPT_GENERATION_JOURNEY.md</w:t>
        </w:r>
      </w:hyperlink>
      <w:r>
        <w:rPr>
          <w:rFonts w:ascii="Calibri" w:hAnsi="Calibri" w:cs="Calibri"/>
        </w:rPr>
        <w:t>.</w:t>
      </w:r>
    </w:p>
    <w:p>
      <w:pPr>
        <w:pStyle w:val="Heading2"/>
        <w:keepNext/>
        <w:widowControl/>
      </w:pPr>
      <w:r>
        <w:rPr>
          <w:rFonts w:ascii="Calibri" w:hAnsi="Calibri" w:cs="Calibri"/>
        </w:rPr>
        <w:t>10.22 P10B-16P-04 real Storefront Studio Design Intent acceptance</w:t>
      </w:r>
    </w:p>
    <w:p>
      <w:pPr>
        <w:pStyle w:val="Normal"/>
        <w:widowControl/>
      </w:pPr>
      <w:r>
        <w:rPr>
          <w:rFonts w:ascii="Calibri" w:hAnsi="Calibri" w:cs="Calibri"/>
        </w:rPr>
        <w:t>P10B-16P-04 adds one production-disabled, trusted server-owned Aurum acceptance composition to the normal Storefront Studio route. Aurum is a fictional repository fixture, not a real merchant, staging environment, production authority, or reusable designed snapshot. The server loads current project, snapshot, catalogue, approved evidence/assets, dynamic-commerce, and semantic capability authority; the browser still submits only compact merchant intent and current identity.</w:t>
      </w:r>
    </w:p>
    <w:p>
      <w:pPr>
        <w:pStyle w:val="Normal"/>
        <w:widowControl/>
      </w:pPr>
      <w:r>
        <w:rPr>
          <w:rFonts w:ascii="Calibri" w:hAnsi="Calibri" w:cs="Calibri"/>
        </w:rPr>
        <w:t xml:space="preserve">The accepted provider is </w:t>
      </w:r>
      <w:r>
        <w:rPr>
          <w:rFonts w:ascii="Consolas" w:hAnsi="Consolas" w:cs="Consolas"/>
          <w:sz w:val="19"/>
          <w:szCs w:val="19"/>
        </w:rPr>
        <w:t>openai-prompted-storefront-design-intent-v2</w:t>
      </w:r>
      <w:r>
        <w:rPr>
          <w:rFonts w:ascii="Calibri" w:hAnsi="Calibri" w:cs="Calibri"/>
        </w:rPr>
        <w:t xml:space="preserve"> using </w:t>
      </w:r>
      <w:r>
        <w:rPr>
          <w:rFonts w:ascii="Consolas" w:hAnsi="Consolas" w:cs="Consolas"/>
          <w:sz w:val="19"/>
          <w:szCs w:val="19"/>
        </w:rPr>
        <w:t>gpt-5.6-sol</w:t>
      </w:r>
      <w:r>
        <w:rPr>
          <w:rFonts w:ascii="Calibri" w:hAnsi="Calibri" w:cs="Calibri"/>
        </w:rPr>
        <w:t xml:space="preserve"> through one bounded 120-second Responses API attempt with </w:t>
      </w:r>
      <w:r>
        <w:rPr>
          <w:rFonts w:ascii="Consolas" w:hAnsi="Consolas" w:cs="Consolas"/>
          <w:sz w:val="19"/>
          <w:szCs w:val="19"/>
        </w:rPr>
        <w:t>store: false</w:t>
      </w:r>
      <w:r>
        <w:rPr>
          <w:rFonts w:ascii="Calibri" w:hAnsi="Calibri" w:cs="Calibri"/>
        </w:rPr>
        <w:t>, zero SDK/application retries, no repair, and no fallback. The cumulative P10B-16P-04 ledger is 16 real calls. Calls 1 through 13 failed closed while transport, strict-schema, semantic, compatibility, and rendered-fidelity defects were isolated and corrected. The final ordered Prompt A/B/C calls each validated one semantic intent, refreshed current authority, compiled one exact decision, and materialized exactly once. Raw provider payloads, prompts, credentials, headers, and reasoning are not retained.</w:t>
      </w:r>
    </w:p>
    <w:p>
      <w:pPr>
        <w:pStyle w:val="Normal"/>
        <w:widowControl/>
      </w:pPr>
      <w:r>
        <w:rPr>
          <w:rFonts w:ascii="Calibri" w:hAnsi="Calibri" w:cs="Calibri"/>
        </w:rPr>
        <w:t>Prompt A selected Premium Editorial authority and was rejected after product-owner visual review; Prompt B selected Modern Technical authority and was rejected; both restored the raw draft without history mutation. Prompt C produced a third materially different structure, was accepted as one atomic unsaved whole-storefront change, undid to the exact raw draft, redid to the exact accepted snapshot, saved explicitly, reloaded exactly, and rendered through normal homepage, two collection, simple PDP, configurable PDP, About, and cart Preview routes. Publish remained separate and was not invoked. Pairwise evidence records six non-colour material differences between C and each prior proposal. Protected commerce and canonical product media remained unchanged.</w:t>
      </w:r>
    </w:p>
    <w:p>
      <w:pPr>
        <w:pStyle w:val="Normal"/>
        <w:widowControl/>
      </w:pPr>
      <w:r>
        <w:rPr>
          <w:rFonts w:ascii="Calibri" w:hAnsi="Calibri" w:cs="Calibri"/>
        </w:rPr>
        <w:t xml:space="preserve">P10B-16L and the legacy whole-storefront selector are Deprecated compatibility-only historical authorities for prompted complete-store generation. P10B-16P-05A removes their active runtime, routes, provider selector, and executable-intent product-path consumers after proving equivalent V2 safety coverage and no normal-path dependency. Historical evidence and required neutral migration/regression fixtures were consumer-classified by P10B-16P-05B after accepted P10B-18C; only current migration consumers and durable regressions remain. At the P10B-16P-04 acceptance boundary, search presentation remained registered while execution failed closed; P10B-16P-06 later supplies the standalone runtime adapter. See </w:t>
      </w:r>
      <w:hyperlink r:id="rIdHyperlink25" w:history="1">
        <w:r>
          <w:rPr>
            <w:rFonts w:ascii="Calibri" w:hAnsi="Calibri" w:cs="Calibri"/>
            <w:color w:val="2E74B5"/>
            <w:u w:val="single"/>
          </w:rPr>
          <w:t>P10B_16P_04_REAL_STUDIO_DESIGN_INTENT_ACCEPTANCE.md</w:t>
        </w:r>
      </w:hyperlink>
      <w:r>
        <w:rPr>
          <w:rFonts w:ascii="Calibri" w:hAnsi="Calibri" w:cs="Calibri"/>
        </w:rPr>
        <w:t>.</w:t>
      </w:r>
    </w:p>
    <w:p>
      <w:pPr>
        <w:pStyle w:val="Heading2"/>
        <w:keepNext/>
        <w:widowControl/>
      </w:pPr>
      <w:r>
        <w:rPr>
          <w:rFonts w:ascii="Calibri" w:hAnsi="Calibri" w:cs="Calibri"/>
        </w:rPr>
        <w:t>10.23 P10B-16P-05A active production-path and compiler rationalisation</w:t>
      </w:r>
    </w:p>
    <w:p>
      <w:pPr>
        <w:pStyle w:val="Normal"/>
        <w:widowControl/>
      </w:pPr>
      <w:r>
        <w:rPr>
          <w:rFonts w:ascii="Calibri" w:hAnsi="Calibri" w:cs="Calibri"/>
        </w:rPr>
        <w:t>P10B-16P-05A makes prompted initial generation one explicit path:</w:t>
      </w:r>
    </w:p>
    <w:p>
      <w:pPr>
        <w:pStyle w:val="CodeBlock"/>
        <w:shd w:val="clear" w:fill="F4F6F9"/>
        <w:ind w:left="180" w:right="180"/>
        <w:widowControl/>
      </w:pPr>
      <w:r>
        <w:rPr>
          <w:rFonts w:ascii="Consolas" w:hAnsi="Consolas" w:cs="Consolas"/>
          <w:sz w:val="19"/>
          <w:szCs w:val="19"/>
        </w:rPr>
        <w:t>Storefront Studio</w:t>
      </w:r>
    </w:p>
    <w:p>
      <w:pPr>
        <w:pStyle w:val="CodeBlock"/>
        <w:shd w:val="clear" w:fill="F4F6F9"/>
        <w:ind w:left="180" w:right="180"/>
        <w:widowControl/>
      </w:pPr>
      <w:r>
        <w:rPr>
          <w:rFonts w:ascii="Consolas" w:hAnsi="Consolas" w:cs="Consolas"/>
          <w:sz w:val="19"/>
          <w:szCs w:val="19"/>
        </w:rPr>
        <w:t xml:space="preserve">  → /api/ai/whole-storefront-proposals</w:t>
      </w:r>
    </w:p>
    <w:p>
      <w:pPr>
        <w:pStyle w:val="CodeBlock"/>
        <w:shd w:val="clear" w:fill="F4F6F9"/>
        <w:ind w:left="180" w:right="180"/>
        <w:widowControl/>
      </w:pPr>
      <w:r>
        <w:rPr>
          <w:rFonts w:ascii="Consolas" w:hAnsi="Consolas" w:cs="Consolas"/>
          <w:sz w:val="19"/>
          <w:szCs w:val="19"/>
        </w:rPr>
        <w:t xml:space="preserve">  → prompted Storefront Studio server handler</w:t>
      </w:r>
    </w:p>
    <w:p>
      <w:pPr>
        <w:pStyle w:val="CodeBlock"/>
        <w:shd w:val="clear" w:fill="F4F6F9"/>
        <w:ind w:left="180" w:right="180"/>
        <w:widowControl/>
      </w:pPr>
      <w:r>
        <w:rPr>
          <w:rFonts w:ascii="Consolas" w:hAnsi="Consolas" w:cs="Consolas"/>
          <w:sz w:val="19"/>
          <w:szCs w:val="19"/>
        </w:rPr>
        <w:t xml:space="preserve">  → trusted current-authority composition</w:t>
      </w:r>
    </w:p>
    <w:p>
      <w:pPr>
        <w:pStyle w:val="CodeBlock"/>
        <w:shd w:val="clear" w:fill="F4F6F9"/>
        <w:ind w:left="180" w:right="180"/>
        <w:widowControl/>
      </w:pPr>
      <w:r>
        <w:rPr>
          <w:rFonts w:ascii="Consolas" w:hAnsi="Consolas" w:cs="Consolas"/>
          <w:sz w:val="19"/>
          <w:szCs w:val="19"/>
        </w:rPr>
        <w:t xml:space="preserve">  → semantic provider selector</w:t>
      </w:r>
    </w:p>
    <w:p>
      <w:pPr>
        <w:pStyle w:val="CodeBlock"/>
        <w:shd w:val="clear" w:fill="F4F6F9"/>
        <w:ind w:left="180" w:right="180"/>
        <w:widowControl/>
      </w:pPr>
      <w:r>
        <w:rPr>
          <w:rFonts w:ascii="Consolas" w:hAnsi="Consolas" w:cs="Consolas"/>
          <w:sz w:val="19"/>
          <w:szCs w:val="19"/>
        </w:rPr>
        <w:t xml:space="preserve">  → deterministic semantic compatibility resolver</w:t>
      </w:r>
    </w:p>
    <w:p>
      <w:pPr>
        <w:pStyle w:val="CodeBlock"/>
        <w:shd w:val="clear" w:fill="F4F6F9"/>
        <w:ind w:left="180" w:right="180"/>
        <w:widowControl/>
      </w:pPr>
      <w:r>
        <w:rPr>
          <w:rFonts w:ascii="Consolas" w:hAnsi="Consolas" w:cs="Consolas"/>
          <w:sz w:val="19"/>
          <w:szCs w:val="19"/>
        </w:rPr>
        <w:t xml:space="preserve">  → exact compiled storefront decision</w:t>
      </w:r>
    </w:p>
    <w:p>
      <w:pPr>
        <w:pStyle w:val="CodeBlock"/>
        <w:shd w:val="clear" w:fill="F4F6F9"/>
        <w:ind w:left="180" w:right="180"/>
        <w:widowControl/>
      </w:pPr>
      <w:r>
        <w:rPr>
          <w:rFonts w:ascii="Consolas" w:hAnsi="Consolas" w:cs="Consolas"/>
          <w:sz w:val="19"/>
          <w:szCs w:val="19"/>
        </w:rPr>
        <w:t xml:space="preserve">  → coordinator and sole executor</w:t>
      </w:r>
    </w:p>
    <w:p>
      <w:pPr>
        <w:pStyle w:val="CodeBlock"/>
        <w:shd w:val="clear" w:fill="F4F6F9"/>
        <w:ind w:left="180" w:right="180"/>
        <w:widowControl/>
      </w:pPr>
      <w:r>
        <w:rPr>
          <w:rFonts w:ascii="Consolas" w:hAnsi="Consolas" w:cs="Consolas"/>
          <w:sz w:val="19"/>
          <w:szCs w:val="19"/>
        </w:rPr>
        <w:t xml:space="preserve">  → exactly one materialization</w:t>
      </w:r>
    </w:p>
    <w:p>
      <w:pPr>
        <w:pStyle w:val="CodeBlock"/>
        <w:shd w:val="clear" w:fill="F4F6F9"/>
        <w:ind w:left="180" w:right="180"/>
        <w:widowControl/>
      </w:pPr>
      <w:r>
        <w:rPr>
          <w:rFonts w:ascii="Consolas" w:hAnsi="Consolas" w:cs="Consolas"/>
          <w:sz w:val="19"/>
          <w:szCs w:val="19"/>
        </w:rPr>
        <w:t xml:space="preserve">  → one isolated proposal</w:t>
      </w:r>
    </w:p>
    <w:p>
      <w:pPr>
        <w:pStyle w:val="Normal"/>
        <w:widowControl/>
      </w:pPr>
    </w:p>
    <w:p>
      <w:pPr>
        <w:pStyle w:val="Normal"/>
        <w:widowControl/>
      </w:pPr>
      <w:r>
        <w:rPr>
          <w:rFonts w:ascii="Calibri" w:hAnsi="Calibri" w:cs="Calibri"/>
        </w:rPr>
        <w:t xml:space="preserve">The normal route rejects a missing or ambiguous operation. Its separately tagged registered follow-up operation remains valid follow-up authority, but cannot be mistaken for initial generation. Normal composition imports no P9/Lumo, P10B-16L, or acceptance/demo authority. P03 and P04 inject current authority and provider selection into the same canonical prompted handler only through explicit production-disabled compositions. There is no pre-provider storefront materialization, </w:t>
      </w:r>
      <w:r>
        <w:rPr>
          <w:rFonts w:ascii="Consolas" w:hAnsi="Consolas" w:cs="Consolas"/>
          <w:sz w:val="19"/>
          <w:szCs w:val="19"/>
        </w:rPr>
        <w:t>executableIntentId</w:t>
      </w:r>
      <w:r>
        <w:rPr>
          <w:rFonts w:ascii="Calibri" w:hAnsi="Calibri" w:cs="Calibri"/>
        </w:rPr>
        <w:t>, prebuilt candidate selection, exact-key provider vocabulary, hidden deterministic fallback, browser-authored semantic/exact authority, retry, or second initial-generation handler.</w:t>
      </w:r>
    </w:p>
    <w:p>
      <w:pPr>
        <w:pStyle w:val="Normal"/>
        <w:widowControl/>
      </w:pPr>
      <w:r>
        <w:rPr>
          <w:rFonts w:ascii="Calibri" w:hAnsi="Calibri" w:cs="Calibri"/>
        </w:rPr>
        <w:t xml:space="preserve">The prompted compiler coordinator owns current-authority refresh and stage sequencing, the semantic resolver owns metadata-only compatible selection, the exact decision remains transient, and the executor is the sole prompted-generation materialization/proposal owner. Internal traversal and superseded execution entry points are not public compiler authority. </w:t>
      </w:r>
      <w:r>
        <w:rPr>
          <w:rFonts w:ascii="Consolas" w:hAnsi="Consolas" w:cs="Consolas"/>
          <w:sz w:val="19"/>
          <w:szCs w:val="19"/>
        </w:rPr>
        <w:t>StorefrontSnapshot</w:t>
      </w:r>
      <w:r>
        <w:rPr>
          <w:rFonts w:ascii="Calibri" w:hAnsi="Calibri" w:cs="Calibri"/>
        </w:rPr>
        <w:t>, PageBlueprint, Design DNA, dynamic-commerce, proposal, history, save, preview, and publication contracts remain unchanged.</w:t>
      </w:r>
    </w:p>
    <w:p>
      <w:pPr>
        <w:pStyle w:val="Normal"/>
        <w:widowControl/>
      </w:pPr>
      <w:r>
        <w:rPr>
          <w:rFonts w:ascii="Calibri" w:hAnsi="Calibri" w:cs="Calibri"/>
        </w:rPr>
        <w:t>P10B-16P-05A removes the active P10B-16L executable-intent route/provider/runtime and isolates P9/Lumo live generation as Deprecated historical, production-disabled evidence. Proven publication and migration fixtures remain where they have current consumers. The P10B-16P-04 Aurum acceptance composition remains production-disabled as the lean mock/live seam retained for P10B-18D. P10B-16P-05B is Baseline after its consumer-verified historical cleanup following accepted P10B-18C. P10B-16P-06 subsequently closes the standalone canonical search query/results adapter, P10B-17 closes responsive/accessibility/performance execution, and the accepted P10B-18A audit freezes the commercial-authority ceiling. Accepted P10B-18B-01 subsequently closes its Design DNA/shared-frame package, accepted P10B-18B-06 closes bounded asset-composition authority, accepted P10B-18B-02 closes bounded homepage/editorial/campaign quality; accepted P10B-18B-03 closes bounded collection/search/product-card quality; and accepted P10B-18B-04 closes bounded PDP quality; accepted P10B-18B-05 closes bounded content/support/utility quality. Parent P10B-18B is Baseline/complete; P10B-18C and P10B-16P-05B are Baseline. P10B-18D is a Baseline diagnostic with live commercial quality rejected. P10B-18 and P10B remain Partial, and P10B-19 PRE is the exact next task.</w:t>
      </w:r>
    </w:p>
    <w:p>
      <w:pPr>
        <w:pStyle w:val="Heading2"/>
        <w:keepNext/>
        <w:widowControl/>
      </w:pPr>
      <w:r>
        <w:rPr>
          <w:rFonts w:ascii="Calibri" w:hAnsi="Calibri" w:cs="Calibri"/>
        </w:rPr>
        <w:t>10.24 P10B-16P-06 canonical search query/results adapter</w:t>
      </w:r>
    </w:p>
    <w:p>
      <w:pPr>
        <w:pStyle w:val="Normal"/>
        <w:widowControl/>
      </w:pPr>
      <w:r>
        <w:rPr>
          <w:rFonts w:ascii="Calibri" w:hAnsi="Calibri" w:cs="Calibri"/>
        </w:rPr>
        <w:t xml:space="preserve">P10B-16P-06 establishes one versioned provider-neutral, read-only search request/result contract. Its standalone adapter searches only the current canonical </w:t>
      </w:r>
      <w:r>
        <w:rPr>
          <w:rFonts w:ascii="Consolas" w:hAnsi="Consolas" w:cs="Consolas"/>
          <w:sz w:val="19"/>
          <w:szCs w:val="19"/>
        </w:rPr>
        <w:t>CatalogueDisplayModel</w:t>
      </w:r>
      <w:r>
        <w:rPr>
          <w:rFonts w:ascii="Calibri" w:hAnsi="Calibri" w:cs="Calibri"/>
        </w:rPr>
        <w:t>: it validates and normalizes bounded EN/FI query input, applies only supported filters/sort/page state, prioritizes exact SKU and localized title matches deterministically, bounds work, and returns unique exact IDs that have current public product-route authority. It does not copy product records or own catalogue, collection, commerce, or media truth.</w:t>
      </w:r>
    </w:p>
    <w:p>
      <w:pPr>
        <w:pStyle w:val="Normal"/>
        <w:widowControl/>
      </w:pPr>
      <w:r>
        <w:rPr>
          <w:rFonts w:ascii="Calibri" w:hAnsi="Calibri" w:cs="Calibri"/>
        </w:rPr>
        <w:t xml:space="preserve">The persisted authority remains exactly one </w:t>
      </w:r>
      <w:r>
        <w:rPr>
          <w:rFonts w:ascii="Consolas" w:hAnsi="Consolas" w:cs="Consolas"/>
          <w:sz w:val="19"/>
          <w:szCs w:val="19"/>
        </w:rPr>
        <w:t>/search</w:t>
      </w:r>
      <w:r>
        <w:rPr>
          <w:rFonts w:ascii="Calibri" w:hAnsi="Calibri" w:cs="Calibri"/>
        </w:rPr>
        <w:t xml:space="preserve"> route identity and the search-compatible P10B-10 archetype selected inside </w:t>
      </w:r>
      <w:r>
        <w:rPr>
          <w:rFonts w:ascii="Consolas" w:hAnsi="Consolas" w:cs="Consolas"/>
          <w:sz w:val="19"/>
          <w:szCs w:val="19"/>
        </w:rPr>
        <w:t>dynamicCommercePresentation</w:t>
      </w:r>
      <w:r>
        <w:rPr>
          <w:rFonts w:ascii="Calibri" w:hAnsi="Calibri" w:cs="Calibri"/>
        </w:rPr>
        <w:t xml:space="preserve">. The runtime request and result page are transient. Query text, filters, sort, page number, result IDs, and result count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decisions, design fingerprints, provider evidence, or publication records as editable storefront state. Save, reload, restore, and publish preserve presentation authority but never replay a customer's search query.</w:t>
      </w:r>
    </w:p>
    <w:p>
      <w:pPr>
        <w:pStyle w:val="Normal"/>
        <w:widowControl/>
      </w:pPr>
      <w:r>
        <w:rPr>
          <w:rFonts w:ascii="Calibri" w:hAnsi="Calibri" w:cs="Calibri"/>
        </w:rPr>
        <w:t xml:space="preserve">Draft Preview, isolated proposal preview, saved/history Preview, and published </w:t>
      </w:r>
      <w:r>
        <w:rPr>
          <w:rFonts w:ascii="Consolas" w:hAnsi="Consolas" w:cs="Consolas"/>
          <w:sz w:val="19"/>
          <w:szCs w:val="19"/>
        </w:rPr>
        <w:t>/search</w:t>
      </w:r>
      <w:r>
        <w:rPr>
          <w:rFonts w:ascii="Calibri" w:hAnsi="Calibri" w:cs="Calibri"/>
        </w:rPr>
        <w:t xml:space="preserve"> routes bind the transient exact result page to the existing </w:t>
      </w:r>
      <w:r>
        <w:rPr>
          <w:rFonts w:ascii="Consolas" w:hAnsi="Consolas" w:cs="Consolas"/>
          <w:sz w:val="19"/>
          <w:szCs w:val="19"/>
        </w:rPr>
        <w:t>dynamicCollectionCommerce</w:t>
      </w:r>
      <w:r>
        <w:rPr>
          <w:rFonts w:ascii="Calibri" w:hAnsi="Calibri" w:cs="Calibri"/>
        </w:rPr>
        <w:t xml:space="preserve"> implementation, P10B-08 product cards, P10B-06 shared frame, current Design DNA, and P10B-13 governed orientation/no-results presentation. Supported shared-frame forms submit normal GET query URLs; result cards link through exact current dynamic PDP routes. Missing, invalid, stale, or unresolved catalogue/route/search authority fails closed without fabricated results, collection substitution, or canonical mutation.</w:t>
      </w:r>
    </w:p>
    <w:p>
      <w:pPr>
        <w:pStyle w:val="Normal"/>
        <w:widowControl/>
      </w:pPr>
      <w:r>
        <w:rPr>
          <w:rFonts w:ascii="Calibri" w:hAnsi="Calibri" w:cs="Calibri"/>
        </w:rPr>
        <w:t>This Baseline uses the standalone catalogue adapter only and made zero provider or Vesko calls. It does not claim a Vesko search endpoint, AI/semantic/vector/fuzzy search, typo correction, recommendations, personalization, analytics, or operational commerce writes. P10B-17 subsequently closes the existing responsive/accessibility/performance authority. The accepted P10B-18A audit then freezes the commercial ceiling; accepted P10B-18B-01 closes its Design DNA/shared-frame package;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P10B-18 and P10B remain Partial, and P10B-19 PRE is the exact next task.</w:t>
      </w:r>
    </w:p>
    <w:p>
      <w:pPr>
        <w:pStyle w:val="Heading2"/>
        <w:keepNext/>
        <w:widowControl/>
      </w:pPr>
      <w:r>
        <w:rPr>
          <w:rFonts w:ascii="Calibri" w:hAnsi="Calibri" w:cs="Calibri"/>
        </w:rPr>
        <w:t>10.25 P10B-17 responsive, accessibility and performance closure</w:t>
      </w:r>
    </w:p>
    <w:p>
      <w:pPr>
        <w:pStyle w:val="Normal"/>
        <w:widowControl/>
      </w:pPr>
      <w:r>
        <w:rPr>
          <w:rFonts w:ascii="Calibri" w:hAnsi="Calibri" w:cs="Calibri"/>
        </w:rPr>
        <w:t>P10B-17 executes the existing registered responsive transformations rather than adding a second breakpoint, renderer, component, search, or commerce authority. Deterministic replay of the retained Premium Editorial, Modern Technical, and Minimal Commerce authorities, plus neutral and commerce- integrity fixtures, covers 375, 768, 1024, and 1440 px in EN/FI across the shared frame, homepage, collection, executable search, simple/configurable PDP, content/support, and commerce-utility surfaces. Mobile/tablet disclosure, navigation, stacking, grid, media, purchase-flow, and footer behavior remain registered presentation concerns and do not mutate semantic content, protected commerce, or canonical product media.</w:t>
      </w:r>
    </w:p>
    <w:p>
      <w:pPr>
        <w:pStyle w:val="Normal"/>
        <w:widowControl/>
      </w:pPr>
      <w:r>
        <w:rPr>
          <w:rFonts w:ascii="Calibri" w:hAnsi="Calibri" w:cs="Calibri"/>
        </w:rPr>
        <w:t>The Baseline includes keyboard/focus traversal, native landmark/heading/form/control semantics, status announcements, option-group accessibility, contrast-safe semantic roles, bounded touch targets, reduced-motion handling where motion exists, and EN/FI expansion evidence. Deterministic budgets bound rendered product cards, facets, related merchandising, gallery/media loading, search work, duplicate media requests, layout shifts, and storefront build artifacts. Browser geometry, accessibility, performance, cross-lifecycle renderer, and representative retained human visual evidence are correlated to current authority and commerce/media fingerprints.</w:t>
      </w:r>
    </w:p>
    <w:p>
      <w:pPr>
        <w:pStyle w:val="Normal"/>
        <w:widowControl/>
      </w:pPr>
      <w:r>
        <w:rPr>
          <w:rFonts w:ascii="Calibri" w:hAnsi="Calibri" w:cs="Calibri"/>
        </w:rPr>
        <w:t>This closes only the deliberate responsive, accessibility, and bounded-performance behavior of the existing registered commercial authority. It does not claim the later P10B-18B source-authority upgrade or P10B-18C designer-grade commercial quality/100+ scale evidence, a Vesko adapter or staging result, production authentication, production performance, deployment readiness, or a provider call.</w:t>
      </w:r>
    </w:p>
    <w:p>
      <w:pPr>
        <w:pStyle w:val="Heading2"/>
        <w:keepNext/>
        <w:widowControl/>
      </w:pPr>
      <w:r>
        <w:rPr>
          <w:rFonts w:ascii="Calibri" w:hAnsi="Calibri" w:cs="Calibri"/>
        </w:rPr>
        <w:t>10.26 Remaining commercial generation authority</w:t>
      </w:r>
    </w:p>
    <w:p>
      <w:pPr>
        <w:pStyle w:val="Normal"/>
        <w:widowControl/>
      </w:pPr>
      <w:r>
        <w:rPr>
          <w:rFonts w:ascii="Calibri" w:hAnsi="Calibri" w:cs="Calibri"/>
        </w:rPr>
        <w:t xml:space="preserve">P10B-18 is </w:t>
      </w:r>
      <w:r>
        <w:rPr>
          <w:rFonts w:ascii="Calibri" w:hAnsi="Calibri" w:cs="Calibri"/>
          <w:b/>
          <w:bCs/>
        </w:rPr>
        <w:t>Partial</w:t>
      </w:r>
      <w:r>
        <w:rPr>
          <w:rFonts w:ascii="Calibri" w:hAnsi="Calibri" w:cs="Calibri"/>
        </w:rPr>
        <w:t xml:space="preserve"> and is delivered through three ordered slices. P10B-18A is </w:t>
      </w:r>
      <w:r>
        <w:rPr>
          <w:rFonts w:ascii="Calibri" w:hAnsi="Calibri" w:cs="Calibri"/>
          <w:b/>
          <w:bCs/>
        </w:rPr>
        <w:t>Baseline</w:t>
      </w:r>
      <w:r>
        <w:rPr>
          <w:rFonts w:ascii="Calibri" w:hAnsi="Calibri" w:cs="Calibri"/>
        </w:rPr>
        <w:t xml:space="preserve">, accepted on 16 August 2026 under </w:t>
      </w:r>
      <w:hyperlink r:id="rIdHyperlink26" w:history="1">
        <w:r>
          <w:rPr>
            <w:rFonts w:ascii="Calibri" w:hAnsi="Calibri" w:cs="Calibri"/>
            <w:color w:val="2E74B5"/>
            <w:u w:val="single"/>
          </w:rPr>
          <w:t>P10B_18_COMMERCIAL_QUALITY_AUDIT.md</w:t>
        </w:r>
      </w:hyperlink>
      <w:r>
        <w:rPr>
          <w:rFonts w:ascii="Calibri" w:hAnsi="Calibri" w:cs="Calibri"/>
        </w:rPr>
        <w:t xml:space="preserve">: its 72-case deterministic matrix and retained 18-store/108-capture human review diagnose the current ceiling, separate source/fixture weakness from compatibility and renderer consumption, preserve protected commerce/media, and freeze six conditional improvement packages. P10B-18B is now </w:t>
      </w:r>
      <w:r>
        <w:rPr>
          <w:rFonts w:ascii="Calibri" w:hAnsi="Calibri" w:cs="Calibri"/>
          <w:b/>
          <w:bCs/>
        </w:rPr>
        <w:t>Baseline / complete</w:t>
      </w:r>
      <w:r>
        <w:rPr>
          <w:rFonts w:ascii="Calibri" w:hAnsi="Calibri" w:cs="Calibri"/>
        </w:rPr>
        <w:t xml:space="preserve">: P10B-18B-01 and P10B-18B-06 are </w:t>
      </w:r>
      <w:r>
        <w:rPr>
          <w:rFonts w:ascii="Calibri" w:hAnsi="Calibri" w:cs="Calibri"/>
          <w:b/>
          <w:bCs/>
        </w:rPr>
        <w:t>Baseline</w:t>
      </w:r>
      <w:r>
        <w:rPr>
          <w:rFonts w:ascii="Calibri" w:hAnsi="Calibri" w:cs="Calibri"/>
        </w:rPr>
        <w:t xml:space="preserve">, accepted on 17 August 2026, P10B-18B-02 and P10B-18B-03 are </w:t>
      </w:r>
      <w:r>
        <w:rPr>
          <w:rFonts w:ascii="Calibri" w:hAnsi="Calibri" w:cs="Calibri"/>
          <w:b/>
          <w:bCs/>
        </w:rPr>
        <w:t>Baseline</w:t>
      </w:r>
      <w:r>
        <w:rPr>
          <w:rFonts w:ascii="Calibri" w:hAnsi="Calibri" w:cs="Calibri"/>
        </w:rPr>
        <w:t xml:space="preserve">, accepted on 18 August 2026, and P10B-18B-04 is </w:t>
      </w:r>
      <w:r>
        <w:rPr>
          <w:rFonts w:ascii="Calibri" w:hAnsi="Calibri" w:cs="Calibri"/>
          <w:b/>
          <w:bCs/>
        </w:rPr>
        <w:t>Baseline</w:t>
      </w:r>
      <w:r>
        <w:rPr>
          <w:rFonts w:ascii="Calibri" w:hAnsi="Calibri" w:cs="Calibri"/>
        </w:rPr>
        <w:t xml:space="preserve">, accepted on 19 August 2026. P10B-18B-05 is </w:t>
      </w:r>
      <w:r>
        <w:rPr>
          <w:rFonts w:ascii="Calibri" w:hAnsi="Calibri" w:cs="Calibri"/>
          <w:b/>
          <w:bCs/>
        </w:rPr>
        <w:t>Baseline</w:t>
      </w:r>
      <w:r>
        <w:rPr>
          <w:rFonts w:ascii="Calibri" w:hAnsi="Calibri" w:cs="Calibri"/>
        </w:rPr>
        <w:t xml:space="preserve">, accepted on 20 August 2026. P10B-18C is </w:t>
      </w:r>
      <w:r>
        <w:rPr>
          <w:rFonts w:ascii="Calibri" w:hAnsi="Calibri" w:cs="Calibri"/>
          <w:b/>
          <w:bCs/>
        </w:rPr>
        <w:t>Baseline</w:t>
      </w:r>
      <w:r>
        <w:rPr>
          <w:rFonts w:ascii="Calibri" w:hAnsi="Calibri" w:cs="Calibri"/>
        </w:rPr>
        <w:t>, accepted on 22 August 2026 after the final 126-case and 280-capture quality/diversity gate. P10B-18D is a Baseline diagnostic with live commercial quality rejected; P10B-19 PRE is the exact next task. Acceptance of P10B-18B-06 proves only its bounded asset selection, reuse, responsive source/crop, logo-consumer and art-direction authority. Acceptance of P10B-18B-02 proves only bounded homepage, editorial and campaign profile/renderer quality, not parent P10B-18B/P10B-18, later page families or complete-storefront designer-grade quality.</w:t>
      </w:r>
    </w:p>
    <w:p>
      <w:pPr>
        <w:pStyle w:val="Normal"/>
        <w:widowControl/>
      </w:pPr>
      <w:r>
        <w:rPr>
          <w:rFonts w:ascii="Calibri" w:hAnsi="Calibri" w:cs="Calibri"/>
        </w:rPr>
        <w:t>Acceptance of P10B-18B-03 proves only bounded collection/search/cardinality/facet/card quality and provider-facing canonical-search truth. It retains four profile IDs, five canonical card anatomies, one dynamic renderer and one transient read-only search adapter. Micro/small/medium/dense classification is derived presentation state and never persists or rewrites canonical membership. Editorial/campaign remain collection-only; comparison/dense are executable in both collection and search-results contexts. Content/utility quality remains open.</w:t>
      </w:r>
    </w:p>
    <w:p>
      <w:pPr>
        <w:pStyle w:val="Normal"/>
        <w:widowControl/>
      </w:pPr>
      <w:r>
        <w:rPr>
          <w:rFonts w:ascii="Calibri" w:hAnsi="Calibri" w:cs="Calibri"/>
        </w:rPr>
        <w:t xml:space="preserve">The six existing homepage profile IDs and version </w:t>
      </w:r>
      <w:r>
        <w:rPr>
          <w:rFonts w:ascii="Consolas" w:hAnsi="Consolas" w:cs="Consolas"/>
          <w:sz w:val="19"/>
          <w:szCs w:val="19"/>
        </w:rPr>
        <w:t>1.0.0</w:t>
      </w:r>
      <w:r>
        <w:rPr>
          <w:rFonts w:ascii="Calibri" w:hAnsi="Calibri" w:cs="Calibri"/>
        </w:rPr>
        <w:t xml:space="preserve"> remain canonical. Their slot plans carry explicit transition intent from semantic resolution through synthesis and the whole-storefront planner to the shared renderer. </w:t>
      </w:r>
      <w:r>
        <w:rPr>
          <w:rFonts w:ascii="Consolas" w:hAnsi="Consolas" w:cs="Consolas"/>
          <w:sz w:val="19"/>
          <w:szCs w:val="19"/>
        </w:rPr>
        <w:t>homepageIntent.storyCatalogueBalance</w:t>
      </w:r>
      <w:r>
        <w:rPr>
          <w:rFonts w:ascii="Calibri" w:hAnsi="Calibri" w:cs="Calibri"/>
        </w:rPr>
        <w:t xml:space="preserve"> is a compound driver of the exact selected homepage profile; raw narrative posture is retained as metadata and is not claimed as an independent rendered axis. Asset-dependent regions continue to use P10B-18B-06 approved purpose/source/crop/reuse authority and collapse without placeholders or reserved media when that authority is unavailable. Canonical product cards and protected commerce/media remain unchanged.</w:t>
      </w:r>
    </w:p>
    <w:p>
      <w:pPr>
        <w:pStyle w:val="Normal"/>
        <w:widowControl/>
      </w:pPr>
      <w:r>
        <w:rPr>
          <w:rFonts w:ascii="Calibri" w:hAnsi="Calibri" w:cs="Calibri"/>
        </w:rPr>
        <w:t>The accepted same-strata result contains 38 normalized material topologies, 55/72 repeated memberships, a largest cluster of seven and 17 singletons. Fourteen retained rich/sparse and same-direction comparison captures bind exact profile, transition, snapshot, rendered Design DNA, frame and protected-state authority. This evidence is bounded homepage acceptance, not the final P10B-18C commercial-quality verdict.</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10.27 Commercial acceptance</w:t>
      </w:r>
    </w:p>
    <w:p>
      <w:pPr>
        <w:pStyle w:val="Normal"/>
        <w:widowControl/>
      </w:pPr>
      <w:r>
        <w:rPr>
          <w:rFonts w:ascii="Calibri" w:hAnsi="Calibri" w:cs="Calibri"/>
        </w:rPr>
        <w:t>Parent P10B-18 and P10B remain Partial after P10B-18D rejected live commercial quality and pending P10B-19. P10B-16P-05B is Baseline; its retained migration and deterministic evidence remains separate from the completed live diagnostic.</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7" w:history="1">
        <w:r>
          <w:rPr>
            <w:rFonts w:ascii="Calibri" w:hAnsi="Calibri" w:cs="Calibri"/>
            <w:color w:val="2E74B5"/>
            <w:u w:val="single"/>
          </w:rPr>
          <w:t>VESKO_OPENAPI_CONTRACT_AUDIT.md</w:t>
        </w:r>
      </w:hyperlink>
      <w:r>
        <w:rPr>
          <w:rFonts w:ascii="Calibri" w:hAnsi="Calibri" w:cs="Calibri"/>
        </w:rPr>
        <w:t xml:space="preserve"> and </w:t>
      </w:r>
      <w:hyperlink r:id="rIdHyperlink28"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P10B-17, P10B-16P-01 through P10B-16P-05A, and P10B-16P-06 are Baseline; P10B-16P-02 is Baseline; accepted P10B-18A and P10B-18B-01/06/02/03/04/05 are Baseline; parent P10B-18B is Baseline/complete. P10B-18C and P10B-16P-05B are Baseline. P10B-18D is a Baseline diagnostic with live commercial quality rejected. P10B-18 and P10B remain Partial; P10B-19 PRE is the exact next task.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 xml:space="preserve">concrete collection/search/PDP </w:t>
      </w:r>
      <w:r>
        <w:rPr>
          <w:rFonts w:ascii="Consolas" w:hAnsi="Consolas" w:cs="Consolas"/>
          <w:sz w:val="19"/>
          <w:szCs w:val="19"/>
        </w:rPr>
        <w:t>PageModel</w:t>
      </w:r>
      <w:r>
        <w:rPr>
          <w:rFonts w:ascii="Calibri" w:hAnsi="Calibri" w:cs="Calibri"/>
        </w:rPr>
        <w:t>s used as current design authority instead of the root dynamic-commerce archetype contract;</w:t>
      </w:r>
    </w:p>
    <w:p>
      <w:pPr>
        <w:pStyle w:val="Normal"/>
        <w:numPr>
          <w:ilvl w:val="0"/>
          <w:numId w:val="1"/>
        </w:numPr>
        <w:widowControl/>
      </w:pPr>
      <w:r>
        <w:rPr>
          <w:rFonts w:ascii="Calibri" w:hAnsi="Calibri" w:cs="Calibri"/>
        </w:rPr>
        <w:t xml:space="preserve">P10B-16L </w:t>
      </w:r>
      <w:r>
        <w:rPr>
          <w:rFonts w:ascii="Consolas" w:hAnsi="Consolas" w:cs="Consolas"/>
          <w:sz w:val="19"/>
          <w:szCs w:val="19"/>
        </w:rPr>
        <w:t>executableIntentId</w:t>
      </w:r>
      <w:r>
        <w:rPr>
          <w:rFonts w:ascii="Calibri" w:hAnsi="Calibri" w:cs="Calibri"/>
        </w:rPr>
        <w:t xml:space="preserve"> selection and normal whole-storefront </w:t>
      </w:r>
      <w:r>
        <w:rPr>
          <w:rFonts w:ascii="Consolas" w:hAnsi="Consolas" w:cs="Consolas"/>
          <w:sz w:val="19"/>
          <w:szCs w:val="19"/>
        </w:rPr>
        <w:t>selectionId</w:t>
      </w:r>
      <w:r>
        <w:rPr>
          <w:rFonts w:ascii="Calibri" w:hAnsi="Calibri" w:cs="Calibri"/>
        </w:rPr>
        <w:t xml:space="preserve"> semantics for prompted initial generation, now Deprecated compatibility-only historical authority after P10B-16P-05A removed their active runtime, routes, providers, and product-path consumers;</w:t>
      </w:r>
    </w:p>
    <w:p>
      <w:pPr>
        <w:pStyle w:val="Normal"/>
        <w:numPr>
          <w:ilvl w:val="0"/>
          <w:numId w:val="1"/>
        </w:numPr>
        <w:widowControl/>
      </w:pPr>
      <w:r>
        <w:rPr>
          <w:rFonts w:ascii="Calibri" w:hAnsi="Calibri" w:cs="Calibri"/>
        </w:rPr>
        <w:t>P9/Lumo live generation from an already-designed demonstration storefront, now isolated as Deprecated historical, production-disabled evidence while proven publication and migration fixtures remain;</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 Legacy concrete commerce-route pages remain loadable, but convergence to root archetypes requires deterministic equality; materially different route presentations require an explicit typed migration decision.</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acceptance of the P10B-18A audit or any accepted P10B-18B slice means current output has passed the P10B-18C commercial visual-quality/100+ scale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P10B-16P-04 closes executable search, P10B-17 responsive/accessibility/performance, P10B-18 repeated commercial quality/scale, Vesko staging, production authentication, publication, or production readiness;</w:t>
      </w:r>
    </w:p>
    <w:p>
      <w:pPr>
        <w:pStyle w:val="Normal"/>
        <w:numPr>
          <w:ilvl w:val="0"/>
          <w:numId w:val="1"/>
        </w:numPr>
        <w:widowControl/>
      </w:pPr>
      <w:r>
        <w:rPr>
          <w:rFonts w:ascii="Calibri" w:hAnsi="Calibri" w:cs="Calibri"/>
        </w:rPr>
        <w:t>that P10B-16P-05A supplies the missing search query/results adapter, production authentication, P10B-17/P10B-18 closure, or final historical-evidence cleanup; accepted P10B-16P-05B supplies the bounded cleanup before P10B-18D without closing P10B;</w:t>
      </w:r>
    </w:p>
    <w:p>
      <w:pPr>
        <w:pStyle w:val="Normal"/>
        <w:numPr>
          <w:ilvl w:val="0"/>
          <w:numId w:val="1"/>
        </w:numPr>
        <w:widowControl/>
      </w:pPr>
      <w:r>
        <w:rPr>
          <w:rFonts w:ascii="Calibri" w:hAnsi="Calibri" w:cs="Calibri"/>
        </w:rPr>
        <w:t>that P10B-16P-06 provides a Vesko search endpoint, AI/semantic/vector/fuzzy search, typo correction, recommendations, personalization, analytics, persisted customer search state, or P10B-17/P10B-18 closure;</w:t>
      </w:r>
    </w:p>
    <w:p>
      <w:pPr>
        <w:pStyle w:val="Normal"/>
        <w:numPr>
          <w:ilvl w:val="0"/>
          <w:numId w:val="1"/>
        </w:numPr>
        <w:widowControl/>
      </w:pPr>
      <w:r>
        <w:rPr>
          <w:rFonts w:ascii="Calibri" w:hAnsi="Calibri" w:cs="Calibri"/>
        </w:rPr>
        <w:t>that P10B-18A itself implements the conditional P10B-18B source-authority packages, or that accepted P10B-18B-02 implements collection/search/product-card, PDP, content/utility or the P10B-18C 100+ quality/diversity gate;</w:t>
      </w:r>
    </w:p>
    <w:p>
      <w:pPr>
        <w:pStyle w:val="Normal"/>
        <w:numPr>
          <w:ilvl w:val="0"/>
          <w:numId w:val="1"/>
        </w:numPr>
        <w:widowControl/>
      </w:pPr>
      <w:r>
        <w:rPr>
          <w:rFonts w:ascii="Calibri" w:hAnsi="Calibri" w:cs="Calibri"/>
        </w:rPr>
        <w:t>that P10B-16P-02A materializes a storefront, creates a proposal or snapshot, provides executable search, or has live Design Intent V2 provider evidence;</w:t>
      </w:r>
    </w:p>
    <w:p>
      <w:pPr>
        <w:pStyle w:val="Normal"/>
        <w:numPr>
          <w:ilvl w:val="0"/>
          <w:numId w:val="1"/>
        </w:numPr>
        <w:widowControl/>
      </w:pPr>
      <w:r>
        <w:rPr>
          <w:rFonts w:ascii="Calibri" w:hAnsi="Calibri" w:cs="Calibri"/>
        </w:rPr>
        <w:t>that P10B-16P-03 provides executable search, live Design Intent V2 provider evidence, retained V2 human review, commercial quality acceptance, or phase-closure evidence;</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29"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250" w:type="dxa"/>
            <w:vAlign w:val="center"/>
          </w:tcPr>
          <w:p>
            <w:pPr>
              <w:pStyle w:val="TraceabilityTableText"/>
              <w:widowControl/>
            </w:pPr>
            <w:r>
              <w:rPr>
                <w:rFonts w:ascii="Calibri" w:hAnsi="Calibri" w:cs="Calibri"/>
              </w:rPr>
              <w:t>§§2–4; cross-phase product boundary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250" w:type="dxa"/>
            <w:vAlign w:val="center"/>
          </w:tcPr>
          <w:p>
            <w:pPr>
              <w:pStyle w:val="TraceabilityTableText"/>
              <w:widowControl/>
            </w:pPr>
            <w:r>
              <w:rPr>
                <w:rFonts w:ascii="Calibri" w:hAnsi="Calibri" w:cs="Calibri"/>
              </w:rPr>
              <w:t>§§3.3–3.4,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250" w:type="dxa"/>
            <w:vAlign w:val="center"/>
          </w:tcPr>
          <w:p>
            <w:pPr>
              <w:pStyle w:val="TraceabilityTableText"/>
              <w:widowControl/>
            </w:pPr>
            <w:r>
              <w:rPr>
                <w:rFonts w:ascii="Calibri" w:hAnsi="Calibri" w:cs="Calibri"/>
              </w:rPr>
              <w:t>§§3.1, 5; retained baseline and 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250" w:type="dxa"/>
            <w:vAlign w:val="center"/>
          </w:tcPr>
          <w:p>
            <w:pPr>
              <w:pStyle w:val="TraceabilityTableText"/>
              <w:widowControl/>
            </w:pPr>
            <w:r>
              <w:rPr>
                <w:rFonts w:ascii="Calibri" w:hAnsi="Calibri" w:cs="Calibri"/>
              </w:rPr>
              <w:t>§§3.1, 3.3, 5; retained baseline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250" w:type="dxa"/>
            <w:vAlign w:val="center"/>
          </w:tcPr>
          <w:p>
            <w:pPr>
              <w:pStyle w:val="TraceabilityTableText"/>
              <w:widowControl/>
            </w:pPr>
            <w:r>
              <w:rPr>
                <w:rFonts w:ascii="Calibri" w:hAnsi="Calibri" w:cs="Calibri"/>
              </w:rPr>
              <w:t>§§3.1, 5–6; P10A internal execution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Approved-brief contracts; Phase 9 evidence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250" w:type="dxa"/>
            <w:vAlign w:val="center"/>
          </w:tcPr>
          <w:p>
            <w:pPr>
              <w:pStyle w:val="TraceabilityTableText"/>
              <w:widowControl/>
            </w:pPr>
            <w:r>
              <w:rPr>
                <w:rFonts w:ascii="Calibri" w:hAnsi="Calibri" w:cs="Calibri"/>
              </w:rPr>
              <w:t>§§3.1, 7.3, 10;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contracts; P10B capability audit</w:t>
            </w:r>
          </w:p>
        </w:tc>
      </w:tr>
      <w:tr>
        <w:trPr>
          <w:cantSplit/>
        </w:trPr>
        <w:tc>
          <w:tcPr>
            <w:tcW w:w="720" w:type="dxa"/>
            <w:vAlign w:val="center"/>
          </w:tcPr>
          <w:p>
            <w:pPr>
              <w:pStyle w:val="TraceabilityTableText"/>
              <w:widowControl/>
            </w:pPr>
            <w:r>
              <w:rPr>
                <w:rFonts w:ascii="Calibri" w:hAnsi="Calibri" w:cs="Calibri"/>
                <w:b/>
                <w:bCs/>
              </w:rPr>
              <w:t>FR-107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250" w:type="dxa"/>
            <w:vAlign w:val="center"/>
          </w:tcPr>
          <w:p>
            <w:pPr>
              <w:pStyle w:val="TraceabilityTableText"/>
              <w:widowControl/>
            </w:pPr>
            <w:r>
              <w:rPr>
                <w:rFonts w:ascii="Calibri" w:hAnsi="Calibri" w:cs="Calibri"/>
              </w:rPr>
              <w:t>§§3.2, 5, 10–11;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250" w:type="dxa"/>
            <w:vAlign w:val="center"/>
          </w:tcPr>
          <w:p>
            <w:pPr>
              <w:pStyle w:val="TraceabilityTableText"/>
              <w:widowControl/>
            </w:pPr>
            <w:r>
              <w:rPr>
                <w:rFonts w:ascii="Calibri" w:hAnsi="Calibri" w:cs="Calibri"/>
              </w:rPr>
              <w:t>§6; P10A internal authority and P10C merchant operation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250" w:type="dxa"/>
            <w:vAlign w:val="center"/>
          </w:tcPr>
          <w:p>
            <w:pPr>
              <w:pStyle w:val="TraceabilityTableText"/>
              <w:widowControl/>
            </w:pPr>
            <w:r>
              <w:rPr>
                <w:rFonts w:ascii="Calibri" w:hAnsi="Calibri" w:cs="Calibri"/>
              </w:rPr>
              <w:t>§§4.2, 7;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250" w:type="dxa"/>
            <w:vAlign w:val="center"/>
          </w:tcPr>
          <w:p>
            <w:pPr>
              <w:pStyle w:val="TraceabilityTableText"/>
              <w:widowControl/>
            </w:pPr>
            <w:r>
              <w:rPr>
                <w:rFonts w:ascii="Calibri" w:hAnsi="Calibri" w:cs="Calibri"/>
              </w:rPr>
              <w:t>§§3.3, 7.4, 12; all phases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protected-commerce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product-detail routes MUST select one maintained PDP archetype through governed product-type/complexity mapping and render option groups, dependencies, required states, variant resolution, media, price, and availability from canonical product configuration without one design document per product.</w:t>
            </w:r>
          </w:p>
        </w:tc>
        <w:tc>
          <w:tcPr>
            <w:tcW w:w="1250" w:type="dxa"/>
            <w:vAlign w:val="center"/>
          </w:tcPr>
          <w:p>
            <w:pPr>
              <w:pStyle w:val="TraceabilityTableText"/>
              <w:widowControl/>
            </w:pPr>
            <w:r>
              <w:rPr>
                <w:rFonts w:ascii="Calibri" w:hAnsi="Calibri" w:cs="Calibri"/>
              </w:rPr>
              <w:t>§§7.4, 10.18;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collection/search routes MUST select one maintained archetype through governed mapping and bind collection headers, filters, product grids, merchandising rows, and no-results states to canonical collection/product data without changing membership or commerce truth; search MUST use exact transient query/result authority, keep it out of editable/published design state, and fail closed when its current canonical adapter or route authority is unavailable.</w:t>
            </w:r>
          </w:p>
        </w:tc>
        <w:tc>
          <w:tcPr>
            <w:tcW w:w="1250" w:type="dxa"/>
            <w:vAlign w:val="center"/>
          </w:tcPr>
          <w:p>
            <w:pPr>
              <w:pStyle w:val="TraceabilityTableText"/>
              <w:widowControl/>
            </w:pPr>
            <w:r>
              <w:rPr>
                <w:rFonts w:ascii="Calibri" w:hAnsi="Calibri" w:cs="Calibri"/>
              </w:rPr>
              <w:t>§§7.4, 10.18, 10.24; P10B/P10C/P11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Dynamic-route/collection materialization, standalone search contract/adapter, lifecycle non-persistence, fail-closed, renderer, and browser tests</w:t>
            </w:r>
          </w:p>
        </w:tc>
      </w:tr>
      <w:tr>
        <w:trPr>
          <w:cantSplit/>
        </w:trPr>
        <w:tc>
          <w:tcPr>
            <w:tcW w:w="720" w:type="dxa"/>
            <w:vAlign w:val="center"/>
          </w:tcPr>
          <w:p>
            <w:pPr>
              <w:pStyle w:val="TraceabilityTableText"/>
              <w:widowControl/>
            </w:pPr>
            <w:r>
              <w:rPr>
                <w:rFonts w:ascii="Calibri" w:hAnsi="Calibri" w:cs="Calibri"/>
                <w:b/>
                <w:bCs/>
              </w:rPr>
              <w:t>FR-113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250" w:type="dxa"/>
            <w:vAlign w:val="center"/>
          </w:tcPr>
          <w:p>
            <w:pPr>
              <w:pStyle w:val="TraceabilityTableText"/>
              <w:widowControl/>
            </w:pPr>
            <w:r>
              <w:rPr>
                <w:rFonts w:ascii="Calibri" w:hAnsi="Calibri" w:cs="Calibri"/>
              </w:rPr>
              <w:t>§§6, 8–9;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250" w:type="dxa"/>
            <w:vAlign w:val="center"/>
          </w:tcPr>
          <w:p>
            <w:pPr>
              <w:pStyle w:val="TraceabilityTableText"/>
              <w:widowControl/>
            </w:pPr>
            <w:r>
              <w:rPr>
                <w:rFonts w:ascii="Calibri" w:hAnsi="Calibri" w:cs="Calibri"/>
              </w:rPr>
              <w:t>§§7.4, 10–11, 14;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250" w:type="dxa"/>
            <w:vAlign w:val="center"/>
          </w:tcPr>
          <w:p>
            <w:pPr>
              <w:pStyle w:val="TraceabilityTableText"/>
              <w:widowControl/>
            </w:pPr>
            <w:r>
              <w:rPr>
                <w:rFonts w:ascii="Calibri" w:hAnsi="Calibri" w:cs="Calibri"/>
              </w:rPr>
              <w:t>§§8–9;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Draft/history tests; publishing gateway/compiler authority</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250" w:type="dxa"/>
            <w:vAlign w:val="center"/>
          </w:tcPr>
          <w:p>
            <w:pPr>
              <w:pStyle w:val="TraceabilityTableText"/>
              <w:widowControl/>
            </w:pPr>
            <w:r>
              <w:rPr>
                <w:rFonts w:ascii="Calibri" w:hAnsi="Calibri" w:cs="Calibri"/>
              </w:rPr>
              <w:t>§12;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w:t>
            </w:r>
          </w:p>
        </w:tc>
      </w:tr>
      <w:tr>
        <w:trPr>
          <w:cantSplit/>
        </w:trPr>
        <w:tc>
          <w:tcPr>
            <w:tcW w:w="720" w:type="dxa"/>
            <w:vAlign w:val="center"/>
          </w:tcPr>
          <w:p>
            <w:pPr>
              <w:pStyle w:val="TraceabilityTableText"/>
              <w:widowControl/>
            </w:pPr>
            <w:r>
              <w:rPr>
                <w:rFonts w:ascii="Calibri" w:hAnsi="Calibri" w:cs="Calibri"/>
                <w:b/>
                <w:bCs/>
              </w:rPr>
              <w:t>FR-119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250" w:type="dxa"/>
            <w:vAlign w:val="center"/>
          </w:tcPr>
          <w:p>
            <w:pPr>
              <w:pStyle w:val="TraceabilityTableText"/>
              <w:widowControl/>
            </w:pPr>
            <w:r>
              <w:rPr>
                <w:rFonts w:ascii="Calibri" w:hAnsi="Calibri" w:cs="Calibri"/>
              </w:rPr>
              <w:t>§7;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250" w:type="dxa"/>
            <w:vAlign w:val="center"/>
          </w:tcPr>
          <w:p>
            <w:pPr>
              <w:pStyle w:val="TraceabilityTableText"/>
              <w:widowControl/>
            </w:pPr>
            <w:r>
              <w:rPr>
                <w:rFonts w:ascii="Calibri" w:hAnsi="Calibri" w:cs="Calibri"/>
              </w:rPr>
              <w:t>§7.2;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PageBlueprint/profile authority; ADR-002</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FR-121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250" w:type="dxa"/>
            <w:vAlign w:val="center"/>
          </w:tcPr>
          <w:p>
            <w:pPr>
              <w:pStyle w:val="TraceabilityTableText"/>
              <w:widowControl/>
            </w:pPr>
            <w:r>
              <w:rPr>
                <w:rFonts w:ascii="Calibri" w:hAnsi="Calibri" w:cs="Calibri"/>
              </w:rPr>
              <w:t>§§6.3, 7;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250" w:type="dxa"/>
            <w:vAlign w:val="center"/>
          </w:tcPr>
          <w:p>
            <w:pPr>
              <w:pStyle w:val="TraceabilityTableText"/>
              <w:widowControl/>
            </w:pPr>
            <w:r>
              <w:rPr>
                <w:rFonts w:ascii="Calibri" w:hAnsi="Calibri" w:cs="Calibri"/>
              </w:rPr>
              <w:t>§7.3;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250" w:type="dxa"/>
            <w:vAlign w:val="center"/>
          </w:tcPr>
          <w:p>
            <w:pPr>
              <w:pStyle w:val="TraceabilityTableText"/>
              <w:widowControl/>
            </w:pPr>
            <w:r>
              <w:rPr>
                <w:rFonts w:ascii="Calibri" w:hAnsi="Calibri" w:cs="Calibri"/>
              </w:rPr>
              <w:t>§§3.3, 10;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250" w:type="dxa"/>
            <w:vAlign w:val="center"/>
          </w:tcPr>
          <w:p>
            <w:pPr>
              <w:pStyle w:val="TraceabilityTableText"/>
              <w:widowControl/>
            </w:pPr>
            <w:r>
              <w:rPr>
                <w:rFonts w:ascii="Calibri" w:hAnsi="Calibri" w:cs="Calibri"/>
              </w:rPr>
              <w:t>§§3, 6, 9, 12, 14.1;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250" w:type="dxa"/>
            <w:vAlign w:val="center"/>
          </w:tcPr>
          <w:p>
            <w:pPr>
              <w:pStyle w:val="TraceabilityTableText"/>
              <w:widowControl/>
            </w:pPr>
            <w:r>
              <w:rPr>
                <w:rFonts w:ascii="Calibri" w:hAnsi="Calibri" w:cs="Calibri"/>
              </w:rPr>
              <w:t>§§7.4, 10–11,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250" w:type="dxa"/>
            <w:vAlign w:val="center"/>
          </w:tcPr>
          <w:p>
            <w:pPr>
              <w:pStyle w:val="TraceabilityTableText"/>
              <w:widowControl/>
            </w:pPr>
            <w:r>
              <w:rPr>
                <w:rFonts w:ascii="Calibri" w:hAnsi="Calibri" w:cs="Calibri"/>
              </w:rPr>
              <w:t>§§6, 11, 14.4; P10C/P12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Storefront Studio states; performance/operations roadmap</w:t>
            </w:r>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NFR-105</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250" w:type="dxa"/>
            <w:vAlign w:val="center"/>
          </w:tcPr>
          <w:p>
            <w:pPr>
              <w:pStyle w:val="TraceabilityTableText"/>
              <w:widowControl/>
            </w:pPr>
            <w:r>
              <w:rPr>
                <w:rFonts w:ascii="Calibri" w:hAnsi="Calibri" w:cs="Calibri"/>
              </w:rPr>
              <w:t>§§6, 8–9, 14.2; P10A/P10C/P11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250" w:type="dxa"/>
            <w:vAlign w:val="center"/>
          </w:tcPr>
          <w:p>
            <w:pPr>
              <w:pStyle w:val="TraceabilityTableText"/>
              <w:widowControl/>
            </w:pPr>
            <w:r>
              <w:rPr>
                <w:rFonts w:ascii="Calibri" w:hAnsi="Calibri" w:cs="Calibri"/>
              </w:rPr>
              <w:t>§§13–14.4;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250" w:type="dxa"/>
            <w:vAlign w:val="center"/>
          </w:tcPr>
          <w:p>
            <w:pPr>
              <w:pStyle w:val="TraceabilityTableText"/>
              <w:widowControl/>
            </w:pPr>
            <w:r>
              <w:rPr>
                <w:rFonts w:ascii="Calibri" w:hAnsi="Calibri" w:cs="Calibri"/>
              </w:rPr>
              <w:t>§§6.3, 14.1–14.2; P10A/P12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250" w:type="dxa"/>
            <w:vAlign w:val="center"/>
          </w:tcPr>
          <w:p>
            <w:pPr>
              <w:pStyle w:val="TraceabilityTableText"/>
              <w:widowControl/>
            </w:pPr>
            <w:r>
              <w:rPr>
                <w:rFonts w:ascii="Calibri" w:hAnsi="Calibri" w:cs="Calibri"/>
              </w:rPr>
              <w:t>§§5, 13–14; all delivery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250" w:type="dxa"/>
            <w:vAlign w:val="center"/>
          </w:tcPr>
          <w:p>
            <w:pPr>
              <w:pStyle w:val="TraceabilityTableText"/>
              <w:widowControl/>
            </w:pPr>
            <w:r>
              <w:rPr>
                <w:rFonts w:ascii="Calibri" w:hAnsi="Calibri" w:cs="Calibri"/>
              </w:rPr>
              <w:t>§§4, 7–8,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250" w:type="dxa"/>
            <w:vAlign w:val="center"/>
          </w:tcPr>
          <w:p>
            <w:pPr>
              <w:pStyle w:val="TraceabilityTableText"/>
              <w:widowControl/>
            </w:pPr>
            <w:r>
              <w:rPr>
                <w:rFonts w:ascii="Calibri" w:hAnsi="Calibri" w:cs="Calibri"/>
              </w:rPr>
              <w:t>§§3.1, 5; retained baseline/P11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250" w:type="dxa"/>
            <w:vAlign w:val="center"/>
          </w:tcPr>
          <w:p>
            <w:pPr>
              <w:pStyle w:val="TraceabilityTableText"/>
              <w:widowControl/>
            </w:pPr>
            <w:r>
              <w:rPr>
                <w:rFonts w:ascii="Calibri" w:hAnsi="Calibri" w:cs="Calibri"/>
              </w:rPr>
              <w:t>§§3.3,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generation creates a coherent homepage plus complete collection/search and PDP route coverage using registered static-page and dynamic-archetype components and bindings.</w:t>
            </w:r>
          </w:p>
        </w:tc>
        <w:tc>
          <w:tcPr>
            <w:tcW w:w="1250" w:type="dxa"/>
            <w:vAlign w:val="center"/>
          </w:tcPr>
          <w:p>
            <w:pPr>
              <w:pStyle w:val="TraceabilityTableText"/>
              <w:widowControl/>
            </w:pPr>
            <w:r>
              <w:rPr>
                <w:rFonts w:ascii="Calibri" w:hAnsi="Calibri" w:cs="Calibri"/>
              </w:rPr>
              <w:t>§§5–7, 10.18; P10A internal authority/P10B quality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Governed generation, route-archetype,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PDP renderer tests</w:t>
            </w:r>
          </w:p>
        </w:tc>
      </w:tr>
      <w:tr>
        <w:trPr>
          <w:cantSplit/>
        </w:trPr>
        <w:tc>
          <w:tcPr>
            <w:tcW w:w="720" w:type="dxa"/>
            <w:vAlign w:val="center"/>
          </w:tcPr>
          <w:p>
            <w:pPr>
              <w:pStyle w:val="TraceabilityTableText"/>
              <w:widowControl/>
            </w:pPr>
            <w:r>
              <w:rPr>
                <w:rFonts w:ascii="Calibri" w:hAnsi="Calibri" w:cs="Calibri"/>
                <w:b/>
                <w:bCs/>
              </w:rPr>
              <w:t>AC-107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250" w:type="dxa"/>
            <w:vAlign w:val="center"/>
          </w:tcPr>
          <w:p>
            <w:pPr>
              <w:pStyle w:val="TraceabilityTableText"/>
              <w:widowControl/>
            </w:pPr>
            <w:r>
              <w:rPr>
                <w:rFonts w:ascii="Calibri" w:hAnsi="Calibri" w:cs="Calibri"/>
              </w:rPr>
              <w:t>§§3.3, 7.4;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250" w:type="dxa"/>
            <w:vAlign w:val="center"/>
          </w:tcPr>
          <w:p>
            <w:pPr>
              <w:pStyle w:val="TraceabilityTableText"/>
              <w:widowControl/>
            </w:pPr>
            <w:r>
              <w:rPr>
                <w:rFonts w:ascii="Calibri" w:hAnsi="Calibri" w:cs="Calibri"/>
              </w:rPr>
              <w:t>§7.4; retained baseline/P11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product types resolve through the governed generic PDP archetype and render without dropping available attributes or options.</w:t>
            </w:r>
          </w:p>
        </w:tc>
        <w:tc>
          <w:tcPr>
            <w:tcW w:w="1250" w:type="dxa"/>
            <w:vAlign w:val="center"/>
          </w:tcPr>
          <w:p>
            <w:pPr>
              <w:pStyle w:val="TraceabilityTableText"/>
              <w:widowControl/>
            </w:pPr>
            <w:r>
              <w:rPr>
                <w:rFonts w:ascii="Calibri" w:hAnsi="Calibri" w:cs="Calibri"/>
              </w:rPr>
              <w:t>§§7.4, 10.18; retained baseline/P10B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250" w:type="dxa"/>
            <w:vAlign w:val="center"/>
          </w:tcPr>
          <w:p>
            <w:pPr>
              <w:pStyle w:val="TraceabilityTableText"/>
              <w:widowControl/>
            </w:pPr>
            <w:r>
              <w:rPr>
                <w:rFonts w:ascii="Calibri" w:hAnsi="Calibri" w:cs="Calibri"/>
              </w:rPr>
              <w:t>§§3.3, 7.4;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250" w:type="dxa"/>
            <w:vAlign w:val="center"/>
          </w:tcPr>
          <w:p>
            <w:pPr>
              <w:pStyle w:val="TraceabilityTableText"/>
              <w:widowControl/>
            </w:pPr>
            <w:r>
              <w:rPr>
                <w:rFonts w:ascii="Calibri" w:hAnsi="Calibri" w:cs="Calibri"/>
              </w:rPr>
              <w:t>§§4.2,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250" w:type="dxa"/>
            <w:vAlign w:val="center"/>
          </w:tcPr>
          <w:p>
            <w:pPr>
              <w:pStyle w:val="TraceabilityTableText"/>
              <w:widowControl/>
            </w:pPr>
            <w:r>
              <w:rPr>
                <w:rFonts w:ascii="Calibri" w:hAnsi="Calibri" w:cs="Calibri"/>
              </w:rPr>
              <w:t>§§6, 7.3;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Whole-storefront restyling coordinates global tokens, navigation, footer, static pages, and maintained collection/search and PDP archetypes atomically; representative route contexts remain transient.</w:t>
            </w:r>
          </w:p>
        </w:tc>
        <w:tc>
          <w:tcPr>
            <w:tcW w:w="1250" w:type="dxa"/>
            <w:vAlign w:val="center"/>
          </w:tcPr>
          <w:p>
            <w:pPr>
              <w:pStyle w:val="TraceabilityTableText"/>
              <w:widowControl/>
            </w:pPr>
            <w:r>
              <w:rPr>
                <w:rFonts w:ascii="Calibri" w:hAnsi="Calibri" w:cs="Calibri"/>
              </w:rPr>
              <w:t>§§6, 8, 10.18;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Whole-storefront compiler/lifecycle and dynamic-route editor tests</w:t>
            </w:r>
          </w:p>
        </w:tc>
      </w:tr>
      <w:tr>
        <w:trPr>
          <w:cantSplit/>
        </w:trPr>
        <w:tc>
          <w:tcPr>
            <w:tcW w:w="720" w:type="dxa"/>
            <w:vAlign w:val="center"/>
          </w:tcPr>
          <w:p>
            <w:pPr>
              <w:pStyle w:val="TraceabilityTableText"/>
              <w:widowControl/>
            </w:pPr>
            <w:r>
              <w:rPr>
                <w:rFonts w:ascii="Calibri" w:hAnsi="Calibri" w:cs="Calibri"/>
                <w:b/>
                <w:bCs/>
              </w:rPr>
              <w:t>AC-115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Accepted whole-storefront changes undo and redo as one complete transaction.</w:t>
            </w:r>
          </w:p>
        </w:tc>
        <w:tc>
          <w:tcPr>
            <w:tcW w:w="1250" w:type="dxa"/>
            <w:vAlign w:val="center"/>
          </w:tcPr>
          <w:p>
            <w:pPr>
              <w:pStyle w:val="TraceabilityTableText"/>
              <w:widowControl/>
            </w:pPr>
            <w:r>
              <w:rPr>
                <w:rFonts w:ascii="Calibri" w:hAnsi="Calibri" w:cs="Calibri"/>
              </w:rPr>
              <w:t>§8;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250" w:type="dxa"/>
            <w:vAlign w:val="center"/>
          </w:tcPr>
          <w:p>
            <w:pPr>
              <w:pStyle w:val="TraceabilityTableText"/>
              <w:widowControl/>
            </w:pPr>
            <w:r>
              <w:rPr>
                <w:rFonts w:ascii="Calibri" w:hAnsi="Calibri" w:cs="Calibri"/>
              </w:rPr>
              <w:t>§§3.1, 6; P10A/P10B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250" w:type="dxa"/>
            <w:vAlign w:val="center"/>
          </w:tcPr>
          <w:p>
            <w:pPr>
              <w:pStyle w:val="TraceabilityTableText"/>
              <w:widowControl/>
            </w:pPr>
            <w:r>
              <w:rPr>
                <w:rFonts w:ascii="Calibri" w:hAnsi="Calibri" w:cs="Calibri"/>
              </w:rPr>
              <w:t>§§3.2–3.3,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250" w:type="dxa"/>
            <w:vAlign w:val="center"/>
          </w:tcPr>
          <w:p>
            <w:pPr>
              <w:pStyle w:val="TraceabilityTableText"/>
              <w:widowControl/>
            </w:pPr>
            <w:r>
              <w:rPr>
                <w:rFonts w:ascii="Calibri" w:hAnsi="Calibri" w:cs="Calibri"/>
              </w:rPr>
              <w:t>§§3.2, 11; P10C, with generated media deferred to P10D</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250" w:type="dxa"/>
            <w:vAlign w:val="center"/>
          </w:tcPr>
          <w:p>
            <w:pPr>
              <w:pStyle w:val="TraceabilityTableText"/>
              <w:widowControl/>
            </w:pPr>
            <w:r>
              <w:rPr>
                <w:rFonts w:ascii="Calibri" w:hAnsi="Calibri" w:cs="Calibri"/>
              </w:rPr>
              <w:t>Historical demo reliability only</w:t>
            </w:r>
          </w:p>
        </w:tc>
        <w:tc>
          <w:tcPr>
            <w:tcW w:w="1250" w:type="dxa"/>
            <w:vAlign w:val="center"/>
          </w:tcPr>
          <w:p>
            <w:pPr>
              <w:pStyle w:val="TraceabilityTableText"/>
              <w:widowControl/>
            </w:pPr>
            <w:r>
              <w:rPr>
                <w:rFonts w:ascii="Calibri" w:hAnsi="Calibri" w:cs="Calibri"/>
                <w:b/>
                <w:bCs/>
              </w:rPr>
              <w:t>Historical only</w:t>
            </w:r>
          </w:p>
        </w:tc>
        <w:tc>
          <w:tcPr>
            <w:tcW w:w="20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Merchant mode exposes no raw JSON, internal IDs, provider payloads, or developer tools.</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250" w:type="dxa"/>
            <w:vAlign w:val="center"/>
          </w:tcPr>
          <w:p>
            <w:pPr>
              <w:pStyle w:val="TraceabilityTableText"/>
              <w:widowControl/>
            </w:pPr>
            <w:r>
              <w:rPr>
                <w:rFonts w:ascii="Calibri" w:hAnsi="Calibri" w:cs="Calibri"/>
              </w:rPr>
              <w:t>§§10–11,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250" w:type="dxa"/>
            <w:vAlign w:val="center"/>
          </w:tcPr>
          <w:p>
            <w:pPr>
              <w:pStyle w:val="TraceabilityTableText"/>
              <w:widowControl/>
            </w:pPr>
            <w:r>
              <w:rPr>
                <w:rFonts w:ascii="Calibri" w:hAnsi="Calibri" w:cs="Calibri"/>
              </w:rPr>
              <w:t>§12; 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250" w:type="dxa"/>
            <w:vAlign w:val="center"/>
          </w:tcPr>
          <w:p>
            <w:pPr>
              <w:pStyle w:val="TraceabilityTableText"/>
              <w:widowControl/>
            </w:pPr>
            <w:r>
              <w:rPr>
                <w:rFonts w:ascii="Calibri" w:hAnsi="Calibri" w:cs="Calibri"/>
              </w:rPr>
              <w:t>§§5–12;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250" w:type="dxa"/>
            <w:vAlign w:val="center"/>
          </w:tcPr>
          <w:p>
            <w:pPr>
              <w:pStyle w:val="TraceabilityTableText"/>
              <w:widowControl/>
            </w:pPr>
            <w:r>
              <w:rPr>
                <w:rFonts w:ascii="Calibri" w:hAnsi="Calibri" w:cs="Calibri"/>
              </w:rPr>
              <w:t>§§10, 13–14;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250" w:type="dxa"/>
            <w:vAlign w:val="center"/>
          </w:tcPr>
          <w:p>
            <w:pPr>
              <w:pStyle w:val="TraceabilityTableText"/>
              <w:widowControl/>
            </w:pPr>
            <w:r>
              <w:rPr>
                <w:rFonts w:ascii="Calibri" w:hAnsi="Calibri" w:cs="Calibri"/>
              </w:rPr>
              <w:t>§§5, 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250" w:type="dxa"/>
            <w:vAlign w:val="center"/>
          </w:tcPr>
          <w:p>
            <w:pPr>
              <w:pStyle w:val="TraceabilityTableText"/>
              <w:widowControl/>
            </w:pPr>
            <w:r>
              <w:rPr>
                <w:rFonts w:ascii="Calibri" w:hAnsi="Calibri" w:cs="Calibri"/>
              </w:rPr>
              <w:t>§§6–7;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Every executable static-page or dynamic-archetype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 concrete commerce route projections remain transient.</w:t>
            </w:r>
          </w:p>
        </w:tc>
        <w:tc>
          <w:tcPr>
            <w:tcW w:w="1250" w:type="dxa"/>
            <w:vAlign w:val="center"/>
          </w:tcPr>
          <w:p>
            <w:pPr>
              <w:pStyle w:val="TraceabilityTableText"/>
              <w:widowControl/>
            </w:pPr>
            <w:r>
              <w:rPr>
                <w:rFonts w:ascii="Calibri" w:hAnsi="Calibri" w:cs="Calibri"/>
              </w:rPr>
              <w:t>§§4.1, 7–10;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Proposal compiler, dynamic-route,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250" w:type="dxa"/>
            <w:vAlign w:val="center"/>
          </w:tcPr>
          <w:p>
            <w:pPr>
              <w:pStyle w:val="TraceabilityTableText"/>
              <w:widowControl/>
            </w:pPr>
            <w:r>
              <w:rPr>
                <w:rFonts w:ascii="Calibri" w:hAnsi="Calibri" w:cs="Calibri"/>
              </w:rPr>
              <w:t>§§10, 13; P10A functional gate/P10B visual gate</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250" w:type="dxa"/>
            <w:vAlign w:val="center"/>
          </w:tcPr>
          <w:p>
            <w:pPr>
              <w:pStyle w:val="TraceabilityTableText"/>
              <w:widowControl/>
            </w:pPr>
            <w:r>
              <w:rPr>
                <w:rFonts w:ascii="Calibri" w:hAnsi="Calibri" w:cs="Calibri"/>
              </w:rPr>
              <w:t>§9;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250" w:type="dxa"/>
            <w:vAlign w:val="center"/>
          </w:tcPr>
          <w:p>
            <w:pPr>
              <w:pStyle w:val="TraceabilityTableText"/>
              <w:widowControl/>
            </w:pPr>
            <w:r>
              <w:rPr>
                <w:rFonts w:ascii="Calibri" w:hAnsi="Calibri" w:cs="Calibri"/>
              </w:rPr>
              <w:t>§§6.3, 7, 10; P10B on P10A authority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250" w:type="dxa"/>
            <w:vAlign w:val="center"/>
          </w:tcPr>
          <w:p>
            <w:pPr>
              <w:pStyle w:val="TraceabilityTableText"/>
              <w:widowControl/>
            </w:pPr>
            <w:r>
              <w:rPr>
                <w:rFonts w:ascii="Calibri" w:hAnsi="Calibri" w:cs="Calibri"/>
              </w:rPr>
              <w:t>§§7.3,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p>
      <w:pPr>
        <w:pStyle w:val="Heading1"/>
        <w:keepNext/>
        <w:widowControl/>
      </w:pPr>
      <w:r>
        <w:rPr>
          <w:rFonts w:ascii="Calibri" w:hAnsi="Calibri" w:cs="Calibri"/>
        </w:rPr>
        <w:t>P10B-18B-06 accepted authority addendum</w:t>
      </w:r>
    </w:p>
    <w:p>
      <w:pPr>
        <w:pStyle w:val="Normal"/>
        <w:widowControl/>
      </w:pPr>
      <w:r>
        <w:rPr>
          <w:rFonts w:ascii="Calibri" w:hAnsi="Calibri" w:cs="Calibri"/>
        </w:rPr>
        <w:t xml:space="preserve">The accepted bounded implementation strengthens AC-118 and AC-138 without changing product scope. Generated presentation assets remain approved evidence distinct from Vesko-owned canonical product media. Exact placement now binds server-owned purpose, bounded reuse, affinity, and optional approved responsive-source lineage. Responsive-image authority remains backward-readable while its current </w:t>
      </w:r>
      <w:r>
        <w:rPr>
          <w:rFonts w:ascii="Consolas" w:hAnsi="Consolas" w:cs="Consolas"/>
          <w:sz w:val="19"/>
          <w:szCs w:val="19"/>
        </w:rPr>
        <w:t>1.1.0</w:t>
      </w:r>
      <w:r>
        <w:rPr>
          <w:rFonts w:ascii="Calibri" w:hAnsi="Calibri" w:cs="Calibri"/>
        </w:rPr>
        <w:t xml:space="preserve"> form can resolve a distinct approved physical source per breakpoint and can report source change independently from crop/treatment change.</w:t>
      </w:r>
    </w:p>
    <w:p>
      <w:pPr>
        <w:pStyle w:val="Normal"/>
        <w:widowControl/>
      </w:pPr>
      <w:r>
        <w:rPr>
          <w:rFonts w:ascii="Calibri" w:hAnsi="Calibri" w:cs="Calibri"/>
        </w:rPr>
        <w:t xml:space="preserve">The automatic review closure keeps this authority fail-closed across follow-up editing and materialization. Placements replaced by a new homepage or header plan do not consume the next plan's reuse budget; paired sources enforce their own reuse limits and must still match the current approved revision, role, material fingerprint, source group, viewport and provenance. Universal primary coverage is required unless an approved desktop/mobile pair closes it. Exact presentation selection is placement-specific, source overrides resolve independently from treatment fallback, and optional approved crop ID plus exact aspect-ratio lineage remain in the current </w:t>
      </w:r>
      <w:r>
        <w:rPr>
          <w:rFonts w:ascii="Consolas" w:hAnsi="Consolas" w:cs="Consolas"/>
          <w:sz w:val="19"/>
          <w:szCs w:val="19"/>
        </w:rPr>
        <w:t>1.1.0</w:t>
      </w:r>
      <w:r>
        <w:rPr>
          <w:rFonts w:ascii="Calibri" w:hAnsi="Calibri" w:cs="Calibri"/>
        </w:rPr>
        <w:t xml:space="preserve"> treatment while safe-area geometry stays containing. Collection-scoped affinity applies equally to collection and editorial campaign media.</w:t>
      </w:r>
    </w:p>
    <w:p>
      <w:pPr>
        <w:pStyle w:val="Normal"/>
        <w:widowControl/>
      </w:pPr>
      <w:r>
        <w:rPr>
          <w:rFonts w:ascii="Calibri" w:hAnsi="Calibri" w:cs="Calibri"/>
        </w:rPr>
        <w:t>The existing shared frame may consume an approved logo through one registered optional header slot; merchant text identity remains the fallback. Provider intent never selects raw asset IDs or URLs. Puck remains a transient projection, and StorefrontSnapshot plus approved-asset authority remain the canonical persisted owners. This implementation adds no product-media mutation, generated imagery, asset-library UI, page-family redesign, provider call, Vesko call, or real publication.</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accepted by the product owner on 17 August 2026 for this bounded authority only. The retained captures continue to show excessive whitespace, generic homepage composition, weak merchandising rhythm and insufficient section hierarchy; those are not accepted as designer-grade output and remain owned by P10B-18B-02/03/04/05. P10B-18B-02 was subsequently accepted on 18 August 2026.</w:t>
      </w:r>
    </w:p>
    <w:p>
      <w:pPr>
        <w:pStyle w:val="Heading1"/>
        <w:keepNext/>
        <w:widowControl/>
      </w:pPr>
      <w:r>
        <w:rPr>
          <w:rFonts w:ascii="Calibri" w:hAnsi="Calibri" w:cs="Calibri"/>
        </w:rPr>
        <w:t>P10B-18B-02 accepted authority addendum</w:t>
      </w:r>
    </w:p>
    <w:p>
      <w:pPr>
        <w:pStyle w:val="Normal"/>
        <w:widowControl/>
      </w:pPr>
      <w:r>
        <w:rPr>
          <w:rFonts w:ascii="Calibri" w:hAnsi="Calibri" w:cs="Calibri"/>
        </w:rPr>
        <w:t xml:space="preserve">The accepted bounded implementation strengthens AC-126, AC-127 and AC-138 without changing product scope. The six existing homepage profile IDs remain at version </w:t>
      </w:r>
      <w:r>
        <w:rPr>
          <w:rFonts w:ascii="Consolas" w:hAnsi="Consolas" w:cs="Consolas"/>
          <w:sz w:val="19"/>
          <w:szCs w:val="19"/>
        </w:rPr>
        <w:t>1.0.0</w:t>
      </w:r>
      <w:r>
        <w:rPr>
          <w:rFonts w:ascii="Calibri" w:hAnsi="Calibri" w:cs="Calibri"/>
        </w:rPr>
        <w:t>. Their plans carry exact slot-transition intent through semantic resolution, bounded synthesis and the whole-storefront planner to the existing renderer. Story/catalogue balance is a compound homepage-profile driver; raw narrative posture remains metadata rather than an independently claimed rendered axis.</w:t>
      </w:r>
    </w:p>
    <w:p>
      <w:pPr>
        <w:pStyle w:val="Normal"/>
        <w:widowControl/>
      </w:pPr>
      <w:r>
        <w:rPr>
          <w:rFonts w:ascii="Calibri" w:hAnsi="Calibri" w:cs="Calibri"/>
        </w:rPr>
        <w:t>Hero, promotion, editorial and proof regions expose distinct structural hierarchy; asset-free variants collapse without placeholders or reserved media; campaign media remains bounded at tablet and wide widths; evidence columns follow actual cardinality; and compact mobile merchandising uses the registered two-column anatomy where permitted. Approved asset purpose/source/crop/reuse, canonical product cards and protected commerce/media remain unchanged.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homepage, editorial and campaign quality only. Same-strata evidence records 38 normalized topologies, 55/72 repeated memberships, a largest cluster of seven and 17 singletons; 14 retained captures cover rich/sparse and same-direction contrasts with exact persistence and no external/provider/Vesko/ browser generation-endpoint/publication calls. This does not accept collection/search/product-card, PDP, content/utility or P10B-18C designer-grade/100+ quality. The exact next task is </w:t>
      </w:r>
      <w:r>
        <w:rPr>
          <w:rFonts w:ascii="Calibri" w:hAnsi="Calibri" w:cs="Calibri"/>
          <w:b/>
          <w:bCs/>
        </w:rPr>
        <w:t>P10B-18B-03 — Collection / Search / Product-card Quality Upgrade</w:t>
      </w:r>
      <w:r>
        <w:rPr>
          <w:rFonts w:ascii="Calibri" w:hAnsi="Calibri" w:cs="Calibri"/>
        </w:rPr>
        <w:t>.</w:t>
      </w:r>
    </w:p>
    <w:p>
      <w:pPr>
        <w:pStyle w:val="Heading1"/>
        <w:keepNext/>
        <w:widowControl/>
      </w:pPr>
      <w:r>
        <w:rPr>
          <w:rFonts w:ascii="Calibri" w:hAnsi="Calibri" w:cs="Calibri"/>
        </w:rPr>
        <w:t>P10B-18B-03 accepted authority addendum</w:t>
      </w:r>
    </w:p>
    <w:p>
      <w:pPr>
        <w:pStyle w:val="Normal"/>
        <w:widowControl/>
      </w:pPr>
      <w:r>
        <w:rPr>
          <w:rFonts w:ascii="Calibri" w:hAnsi="Calibri" w:cs="Calibri"/>
        </w:rPr>
        <w:t>The accepted bounded implementation strengthens AC-126, AC-128 and AC-138 without changing product scope or canonical schema. The four existing collection/search profile IDs and five canonical card anatomies remain stable. One deterministic presentation-only cardinality class (</w:t>
      </w:r>
      <w:r>
        <w:rPr>
          <w:rFonts w:ascii="Consolas" w:hAnsi="Consolas" w:cs="Consolas"/>
          <w:sz w:val="19"/>
          <w:szCs w:val="19"/>
        </w:rPr>
        <w:t>micro</w:t>
      </w:r>
      <w:r>
        <w:rPr>
          <w:rFonts w:ascii="Calibri" w:hAnsi="Calibri" w:cs="Calibri"/>
        </w:rPr>
        <w:t xml:space="preserve">, </w:t>
      </w:r>
      <w:r>
        <w:rPr>
          <w:rFonts w:ascii="Consolas" w:hAnsi="Consolas" w:cs="Consolas"/>
          <w:sz w:val="19"/>
          <w:szCs w:val="19"/>
        </w:rPr>
        <w:t>small</w:t>
      </w:r>
      <w:r>
        <w:rPr>
          <w:rFonts w:ascii="Calibri" w:hAnsi="Calibri" w:cs="Calibri"/>
        </w:rPr>
        <w:t xml:space="preserve">, </w:t>
      </w:r>
      <w:r>
        <w:rPr>
          <w:rFonts w:ascii="Consolas" w:hAnsi="Consolas" w:cs="Consolas"/>
          <w:sz w:val="19"/>
          <w:szCs w:val="19"/>
        </w:rPr>
        <w:t>medium</w:t>
      </w:r>
      <w:r>
        <w:rPr>
          <w:rFonts w:ascii="Calibri" w:hAnsi="Calibri" w:cs="Calibri"/>
        </w:rPr>
        <w:t xml:space="preserve">, </w:t>
      </w:r>
      <w:r>
        <w:rPr>
          <w:rFonts w:ascii="Consolas" w:hAnsi="Consolas" w:cs="Consolas"/>
          <w:sz w:val="19"/>
          <w:szCs w:val="19"/>
        </w:rPr>
        <w:t>dense</w:t>
      </w:r>
      <w:r>
        <w:rPr>
          <w:rFonts w:ascii="Calibri" w:hAnsi="Calibri" w:cs="Calibri"/>
        </w:rPr>
        <w:t>) controls proportionate orientation, grid and filter posture without persisting or rewriting catalogue truth. Facets with no decision value are suppressed unless selected; active filters remain visible and operable.</w:t>
      </w:r>
    </w:p>
    <w:p>
      <w:pPr>
        <w:pStyle w:val="Normal"/>
        <w:widowControl/>
      </w:pPr>
      <w:r>
        <w:rPr>
          <w:rFonts w:ascii="Calibri" w:hAnsi="Calibri" w:cs="Calibri"/>
        </w:rPr>
        <w:t>Editorial discovery remains curated and collection-only; campaign discovery still requires an approved purpose-affine asset; catalogue comparison uses standard fact-forward cards; dense collection/search uses horizontal high-scanability cards. Comparison and dense profiles are both truthfully executable in transient search-results context. Search renders explicit query/result/ filter/sort identity without synthetic collection claims through the same renderer and catalogue. Applied filter fields and canonical stock states render as localized EN/FI merchant labels. Medium/dense collection filters remain collapsible below 1024 px and become persistent only at the desktop breakpoint; comparison search omits the collection-only sidebar and spans the result grid.</w:t>
      </w:r>
    </w:p>
    <w:p>
      <w:pPr>
        <w:pStyle w:val="Normal"/>
        <w:widowControl/>
      </w:pPr>
      <w:r>
        <w:rPr>
          <w:rFonts w:ascii="Calibri" w:hAnsi="Calibri" w:cs="Calibri"/>
        </w:rPr>
        <w:t>Exact pre-P10B-18B-03 comparison/compact and dense-search/compact profile fingerprints have one deterministic compatibility migration to the current standard and horizontal anatomies. It increments the root authority revision/fingerprint while preserving routes, mappings, protected commerce, bounded presentation choices and approved assets. Unknown stale authorities remain fail-closed, while direct runtime projection keeps saved, historical and compiled snapshots renderable until the current authority is persisted.</w:t>
      </w:r>
    </w:p>
    <w:p>
      <w:pPr>
        <w:pStyle w:val="Normal"/>
        <w:widowControl/>
      </w:pPr>
      <w:r>
        <w:rPr>
          <w:rFonts w:ascii="Calibri" w:hAnsi="Calibri" w:cs="Calibri"/>
        </w:rPr>
        <w:t xml:space="preserve">The provider-facing compact capability now reports registered presentation plus </w:t>
      </w:r>
      <w:r>
        <w:rPr>
          <w:rFonts w:ascii="Consolas" w:hAnsi="Consolas" w:cs="Consolas"/>
          <w:sz w:val="19"/>
          <w:szCs w:val="19"/>
        </w:rPr>
        <w:t>canonical-transient-query-results</w:t>
      </w:r>
      <w:r>
        <w:rPr>
          <w:rFonts w:ascii="Calibri" w:hAnsi="Calibri" w:cs="Calibri"/>
        </w:rPr>
        <w:t xml:space="preserve">, </w:t>
      </w:r>
      <w:r>
        <w:rPr>
          <w:rFonts w:ascii="Consolas" w:hAnsi="Consolas" w:cs="Consolas"/>
          <w:sz w:val="19"/>
          <w:szCs w:val="19"/>
        </w:rPr>
        <w:t>read-only-bounded</w:t>
      </w:r>
      <w:r>
        <w:rPr>
          <w:rFonts w:ascii="Calibri" w:hAnsi="Calibri" w:cs="Calibri"/>
        </w:rPr>
        <w:t xml:space="preserve"> behavior and the </w:t>
      </w:r>
      <w:r>
        <w:rPr>
          <w:rFonts w:ascii="Consolas" w:hAnsi="Consolas" w:cs="Consolas"/>
          <w:sz w:val="19"/>
          <w:szCs w:val="19"/>
        </w:rPr>
        <w:t>p10b-16p-06-canonical-search-adapter</w:t>
      </w:r>
      <w:r>
        <w:rPr>
          <w:rFonts w:ascii="Calibri" w:hAnsi="Calibri" w:cs="Calibri"/>
        </w:rPr>
        <w:t xml:space="preserve"> reason. Instructions explicitly exclude AI, semantic, vector, fuzzy, personalized and Vesko-search claims. No provider schema changed and no external provider or Vesko call occurred.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collection, search-results and canonical product-card quality only. Same-strata evidence records 39 normalized topologies, 53/72 repeated memberships, a largest cluster of seven and 19 singletons; 21 retained captures cover all four profiles, all five anatomies, search zero/one/multiple states, three directions and all four responsive widths. This does not accept PDP, content/utility or P10B-18C designer-grade/100+ quality. The exact next task is </w:t>
      </w:r>
      <w:r>
        <w:rPr>
          <w:rFonts w:ascii="Calibri" w:hAnsi="Calibri" w:cs="Calibri"/>
          <w:b/>
          <w:bCs/>
        </w:rPr>
        <w:t>P10B-18B-04 — PDP Quality Upgrade</w:t>
      </w:r>
      <w:r>
        <w:rPr>
          <w:rFonts w:ascii="Calibri" w:hAnsi="Calibri" w:cs="Calibri"/>
        </w:rPr>
        <w:t>.</w:t>
      </w:r>
    </w:p>
    <w:p>
      <w:pPr>
        <w:pStyle w:val="Heading1"/>
        <w:keepNext/>
        <w:widowControl/>
      </w:pPr>
      <w:r>
        <w:rPr>
          <w:rFonts w:ascii="Calibri" w:hAnsi="Calibri" w:cs="Calibri"/>
        </w:rPr>
        <w:t>P10B-18B-04 accepted PDP quality authority</w:t>
      </w:r>
    </w:p>
    <w:p>
      <w:pPr>
        <w:pStyle w:val="Normal"/>
        <w:widowControl/>
      </w:pPr>
      <w:r>
        <w:rPr>
          <w:rFonts w:ascii="Calibri" w:hAnsi="Calibri" w:cs="Calibri"/>
        </w:rPr>
        <w:t xml:space="preserve">The accepted bounded package strengthens AC-126, AC-128 and AC-138 while retaining one canonical product model, PDP PageBlueprint/profile library, dynamic renderer, option resolver, media authority, related-card authority, shared frame and Design DNA. Exact per-product facts now classify bounded configuration complexity, canonical media depth and decision-support need; no product-type taxonomy or merchant branch is introduced. Fresh dynamic-commerce authority fingerprints those facts while the additive optional schema fields keep historical </w:t>
      </w:r>
      <w:r>
        <w:rPr>
          <w:rFonts w:ascii="Consolas" w:hAnsi="Consolas" w:cs="Consolas"/>
          <w:sz w:val="19"/>
          <w:szCs w:val="19"/>
        </w:rPr>
        <w:t>1.0.0</w:t>
      </w:r>
      <w:r>
        <w:rPr>
          <w:rFonts w:ascii="Calibri" w:hAnsi="Calibri" w:cs="Calibri"/>
        </w:rPr>
        <w:t xml:space="preserve"> records readable.</w:t>
      </w:r>
    </w:p>
    <w:p>
      <w:pPr>
        <w:pStyle w:val="Normal"/>
        <w:widowControl/>
      </w:pPr>
      <w:r>
        <w:rPr>
          <w:rFonts w:ascii="Calibri" w:hAnsi="Calibri" w:cs="Calibri"/>
        </w:rPr>
        <w:t xml:space="preserve">The existing four PDP profiles gain clearer commercial purposes: proportionate standard purchase, configuration-first variant led, commerce-aware rich-media gallery led and evidence-grounded high consideration. Price, compare-at price, availability, option/dependency state, media order, related IDs and the add-to-cart intent remain canonical and protected. Resolver failure retains visible truth but disables purchase. Optional high-consideration support requires an exact current approved evidence reference and omits cleanly when absent. P10B-18B-04 is </w:t>
      </w:r>
      <w:r>
        <w:rPr>
          <w:rFonts w:ascii="Calibri" w:hAnsi="Calibri" w:cs="Calibri"/>
          <w:b/>
          <w:bCs/>
        </w:rPr>
        <w:t>Baseline</w:t>
      </w:r>
      <w:r>
        <w:rPr>
          <w:rFonts w:ascii="Calibri" w:hAnsi="Calibri" w:cs="Calibri"/>
        </w:rPr>
        <w:t>, accepted by the product owner on 19 August 2026. Its historical handoff was P10B-18B-05, subsequently accepted on 20 August 2026.</w:t>
      </w:r>
    </w:p>
    <w:p>
      <w:pPr>
        <w:pStyle w:val="Heading2"/>
        <w:keepNext/>
        <w:widowControl/>
      </w:pPr>
      <w:r>
        <w:rPr>
          <w:rFonts w:ascii="Calibri" w:hAnsi="Calibri" w:cs="Calibri"/>
        </w:rPr>
        <w:t>P10B-18B-05 accepted authority Baseline (20 August 2026)</w:t>
      </w:r>
    </w:p>
    <w:p>
      <w:pPr>
        <w:pStyle w:val="Normal"/>
        <w:widowControl/>
      </w:pPr>
      <w:r>
        <w:rPr>
          <w:rFonts w:ascii="Calibri" w:hAnsi="Calibri" w:cs="Calibri"/>
        </w:rPr>
        <w:t xml:space="preserve">The accepted P10B-18B-05 Baseline strengthens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without adding a content model, utility renderer, cart/checkout/error engine or page graph. Content variants consume approved fact documents, exact approved asset placements and canonical navigation; unsupported appointment/topic-guide identities and media-free image-led campaigns reclassify to truthful compatible profiles. Utility profile design remains canonical while cart, query, error and loading payloads remain transient. This is focused implementation/evidence. The product owner accepted the checkpoint on 20 August 2026. P10B-18B-05 and the completed P10B-18B parent are Baseline; P10B-18 and P10B remain Partial, accepted P10B-18B denominators remain unchanged, and P10B-18C is the exact next task.</w:t>
      </w:r>
    </w:p>
    <w:p>
      <w:pPr>
        <w:pStyle w:val="Heading2"/>
        <w:keepNext/>
        <w:widowControl/>
      </w:pPr>
      <w:r>
        <w:rPr>
          <w:rFonts w:ascii="Calibri" w:hAnsi="Calibri" w:cs="Calibri"/>
        </w:rPr>
        <w:t>P10B-18C accepted authority Baseline (22 August 2026)</w:t>
      </w:r>
    </w:p>
    <w:p>
      <w:pPr>
        <w:pStyle w:val="Normal"/>
        <w:widowControl/>
      </w:pPr>
      <w:r>
        <w:rPr>
          <w:rFonts w:ascii="Calibri" w:hAnsi="Calibri" w:cs="Calibri"/>
        </w:rPr>
        <w:t xml:space="preserve">The accepted deterministic gate compiles and replays all 126 exact complete-store cases, preserves protected commerce/media and zero fabrication, records 54 normalized material topologies, and binds a stable 28-store selector to a final 280-entry four-width EN/FI review with zero primary FAIL. The overall human verdict is </w:t>
      </w:r>
      <w:r>
        <w:rPr>
          <w:rFonts w:ascii="Calibri" w:hAnsi="Calibri" w:cs="Calibri"/>
          <w:b/>
          <w:bCs/>
        </w:rPr>
        <w:t>PASS WITH MINOR LIMITATION</w:t>
      </w:r>
      <w:r>
        <w:rPr>
          <w:rFonts w:ascii="Calibri" w:hAnsi="Calibri" w:cs="Calibri"/>
        </w:rPr>
        <w:t>. This adds no second snapshot, page graph, renderer, commerce model, provider path or production evaluation system. P10B-16P-05B subsequently completed the consumer-proven cleanup and is Baseline. P10B-18D live-AI commercial storefront diagnostic is complete with live commercial quality rejected; P10B-19 PRE is the exact next task.</w:t>
      </w:r>
    </w:p>
    <w:p>
      <w:pPr>
        <w:pStyle w:val="Heading2"/>
        <w:keepNext/>
        <w:widowControl/>
      </w:pPr>
      <w:r>
        <w:rPr>
          <w:rFonts w:ascii="Calibri" w:hAnsi="Calibri" w:cs="Calibri"/>
        </w:rPr>
        <w:t>10.29 P10B-16P-05B major repository and historical-authority cleanup</w:t>
      </w:r>
    </w:p>
    <w:p>
      <w:pPr>
        <w:pStyle w:val="Normal"/>
        <w:widowControl/>
      </w:pPr>
      <w:r>
        <w:rPr>
          <w:rFonts w:ascii="Calibri" w:hAnsi="Calibri" w:cs="Calibri"/>
        </w:rPr>
        <w:t>P10B-16P-05B is Baseline. It removes the one-time P10B-18C production-capture application, superseded P9R acceptance runners and duplicated historical narratives after a consumer graph across imports, routes, environment authority, scripts, CI, migrations and publication readers.</w:t>
      </w:r>
    </w:p>
    <w:p>
      <w:pPr>
        <w:pStyle w:val="Normal"/>
        <w:widowControl/>
      </w:pPr>
      <w:r>
        <w:rPr>
          <w:rFonts w:ascii="Calibri" w:hAnsi="Calibri" w:cs="Calibri"/>
        </w:rPr>
        <w:t>The normal semantic initial-generation path, P03 mocked Studio lifecycle, governed tagged P9 follow-up, stable migration/publication identities, 126-case/frozen-72 quality gates and protected commerce/media remain. P04 is one lean token-protected, production-disabled mock/live seam for P10B-18D and is unconditionally unavailable in production. No provider, Vesko or real publication call occurred; merchant rendering, snapshots and generation selection are unchanged.</w:t>
      </w:r>
    </w:p>
    <w:p>
      <w:pPr>
        <w:pStyle w:val="Normal"/>
        <w:widowControl/>
      </w:pPr>
      <w:r>
        <w:rPr>
          <w:rFonts w:ascii="Calibri" w:hAnsi="Calibri" w:cs="Calibri"/>
        </w:rPr>
        <w:t>P10B remains Partial. P10B-18D is a Baseline diagnostic with live commercial quality rejected. The locked order is P10B-19 PRE next, then P10B-19A through P10B-19J.</w:t>
      </w:r>
    </w:p>
    <w:p>
      <w:pPr>
        <w:pStyle w:val="Heading2"/>
        <w:keepNext/>
        <w:widowControl/>
      </w:pPr>
      <w:r>
        <w:rPr>
          <w:rFonts w:ascii="Calibri" w:hAnsi="Calibri" w:cs="Calibri"/>
        </w:rPr>
        <w:t>10.30 P10B-18D live-AI diagnostic baseline</w:t>
      </w:r>
    </w:p>
    <w:p>
      <w:pPr>
        <w:pStyle w:val="Normal"/>
        <w:widowControl/>
      </w:pPr>
      <w:r>
        <w:rPr>
          <w:rFonts w:ascii="Calibri" w:hAnsi="Calibri" w:cs="Calibri"/>
        </w:rPr>
        <w:t>P10B-18D completed six authorized calls through the controlled provider-to-proposal path with the same model, one locked prompt per call, a 120-second bounded timeout, zero retries, zero fallback and no publication. The experiment and safe evidence are accepted; live commercial quality is rejected.</w:t>
      </w:r>
    </w:p>
    <w:p>
      <w:pPr>
        <w:pStyle w:val="Normal"/>
        <w:widowControl/>
      </w:pPr>
      <w:r>
        <w:rPr>
          <w:rFonts w:ascii="Calibri" w:hAnsi="Calibri" w:cs="Calibri"/>
        </w:rPr>
        <w:t>Three concepts met prompt fidelity. Concepts 2 and 6 resolved to the exact same candidate snapshot, structural fingerprint, normalized topology, direction, frame and principal authority. Concept 1 did not realize its dark gallery-luxury direction. Concept 6 did not realize Finnish bold asymmetry, showed blank mobile media regions in retained evidence and did not complete post-save reload plus seven-surface Preview proof. Missing evidence remains missing and is not reconstructed.</w:t>
      </w:r>
    </w:p>
    <w:p>
      <w:pPr>
        <w:pStyle w:val="Normal"/>
        <w:widowControl/>
      </w:pPr>
      <w:r>
        <w:rPr>
          <w:rFonts w:ascii="Calibri" w:hAnsi="Calibri" w:cs="Calibri"/>
        </w:rPr>
        <w:t xml:space="preserve">The safe record proves a concentration in current semantic expressiveness, exact compatibility resolution and finite PageBlueprint/Visual Recipe/Design DNA/frame authority. It does not prove that the provider emitted identical field-level intent. No canonical AI, compiler, StorefrontSnapshot, commerce, media, proposal or publication contract changes in this diagnostic. </w:t>
      </w:r>
      <w:r>
        <w:rPr>
          <w:rFonts w:ascii="Consolas" w:hAnsi="Consolas" w:cs="Consolas"/>
          <w:sz w:val="19"/>
          <w:szCs w:val="19"/>
        </w:rPr>
        <w:t>P10B-18D = Baseline diagnostic / live commercial quality rejected</w:t>
      </w:r>
      <w:r>
        <w:rPr>
          <w:rFonts w:ascii="Calibri" w:hAnsi="Calibri" w:cs="Calibri"/>
        </w:rPr>
        <w:t xml:space="preserve">; </w:t>
      </w:r>
      <w:r>
        <w:rPr>
          <w:rFonts w:ascii="Consolas" w:hAnsi="Consolas" w:cs="Consolas"/>
          <w:sz w:val="19"/>
          <w:szCs w:val="19"/>
        </w:rPr>
        <w:t>P10B-18 = Partial</w:t>
      </w:r>
      <w:r>
        <w:rPr>
          <w:rFonts w:ascii="Calibri" w:hAnsi="Calibri" w:cs="Calibri"/>
        </w:rPr>
        <w:t xml:space="preserve">; </w:t>
      </w:r>
      <w:r>
        <w:rPr>
          <w:rFonts w:ascii="Consolas" w:hAnsi="Consolas" w:cs="Consolas"/>
          <w:sz w:val="19"/>
          <w:szCs w:val="19"/>
        </w:rPr>
        <w:t>P10B = Partial</w:t>
      </w:r>
      <w:r>
        <w:rPr>
          <w:rFonts w:ascii="Calibri" w:hAnsi="Calibri" w:cs="Calibri"/>
        </w:rPr>
        <w:t xml:space="preserve">; </w:t>
      </w:r>
      <w:r>
        <w:rPr>
          <w:rFonts w:ascii="Consolas" w:hAnsi="Consolas" w:cs="Consolas"/>
          <w:sz w:val="19"/>
          <w:szCs w:val="19"/>
        </w:rPr>
        <w:t>P10B-19 PRE = exact next</w:t>
      </w:r>
      <w:r>
        <w:rPr>
          <w:rFonts w:ascii="Calibri" w:hAnsi="Calibri" w:cs="Calibri"/>
        </w:rPr>
        <w:t>; P10B-19A through P10B-19J remain Planned.</w:t>
      </w: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9360"/>
      </w:tabs>
    </w:pPr>
    <w:r>
      <w:rPr>
        <w:rFonts w:ascii="Calibri" w:hAnsi="Calibri" w:cs="Calibri"/>
      </w:rPr>
      <w:t>Veskify SDD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P10A_PHASE_CLOSURE.md" TargetMode="External"/><Relationship Id="rIdHyperlink6" Type="http://schemas.openxmlformats.org/officeDocument/2006/relationships/hyperlink" Target="P10B_COMMERCIAL_STOREFRONT_GENERATION_ARCHITECTURE.md" TargetMode="External"/><Relationship Id="rIdHyperlink7" Type="http://schemas.openxmlformats.org/officeDocument/2006/relationships/hyperlink" Target="P10B_01_COMMERCIAL_DESIGN_GRAMMAR.md" TargetMode="External"/><Relationship Id="rIdHyperlink8" Type="http://schemas.openxmlformats.org/officeDocument/2006/relationships/hyperlink" Target="P10B_02_PARAMETRIC_BRAND_SYSTEM.md" TargetMode="External"/><Relationship Id="rIdHyperlink9" Type="http://schemas.openxmlformats.org/officeDocument/2006/relationships/hyperlink" Target="P10B_03_COMPONENT_ANATOMY_AND_MEANINGFUL_VARIANTS.md" TargetMode="External"/><Relationship Id="rIdHyperlink10" Type="http://schemas.openxmlformats.org/officeDocument/2006/relationships/hyperlink" Target="P10B_04_RESPONSIVE_IMAGE_ART_DIRECTION.md" TargetMode="External"/><Relationship Id="rIdHyperlink11" Type="http://schemas.openxmlformats.org/officeDocument/2006/relationships/hyperlink" Target="P10B_05_SITE_MAP_AND_PAGE_FAMILY_AUTHORITY.md" TargetMode="External"/><Relationship Id="rIdHyperlink12" Type="http://schemas.openxmlformats.org/officeDocument/2006/relationships/hyperlink" Target="P10B_06_COMMERCIAL_SHARED_FRAME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7_HERO_EDITORIAL_CAMPAIGN_PROOF_FAMILIES.md" TargetMode="External"/><Relationship Id="rIdHyperlink15" Type="http://schemas.openxmlformats.org/officeDocument/2006/relationships/hyperlink" Target="P10B_09_COMMERCIAL_HOMEPAGE_PROFILE_LIBRARY.md" TargetMode="External"/><Relationship Id="rIdHyperlink16" Type="http://schemas.openxmlformats.org/officeDocument/2006/relationships/hyperlink" Target="P10B_10_COMMERCIAL_COLLECTION_SEARCH_PROFILES.md" TargetMode="External"/><Relationship Id="rIdHyperlink17" Type="http://schemas.openxmlformats.org/officeDocument/2006/relationships/hyperlink" Target="P10B_12_CONTENT_AND_SUPPORT_PAGE_FAMILIES.md" TargetMode="External"/><Relationship Id="rIdHyperlink18" Type="http://schemas.openxmlformats.org/officeDocument/2006/relationships/hyperlink" Target="P10B_13_COMMERCE_UTILITY_PRESENTATION_PAGES.md" TargetMode="External"/><Relationship Id="rIdHyperlink19" Type="http://schemas.openxmlformats.org/officeDocument/2006/relationships/hyperlink" Target="P10B_14_PREMIUM_EDITORIAL_COMPLETE_STOREFRONT_VERTICAL_SLICE.md" TargetMode="External"/><Relationship Id="rIdHyperlink20" Type="http://schemas.openxmlformats.org/officeDocument/2006/relationships/hyperlink" Target="P10B_15_BOUNDED_STOREFRONT_SYNTHESIS_AND_NARRATIVE_ENGINE.md" TargetMode="External"/><Relationship Id="rIdHyperlink21" Type="http://schemas.openxmlformats.org/officeDocument/2006/relationships/hyperlink" Target="P10B_16_COORDINATED_DIRECTIONS_AND_DIVERSITY_CONTROL.md" TargetMode="External"/><Relationship Id="rIdHyperlink22" Type="http://schemas.openxmlformats.org/officeDocument/2006/relationships/hyperlink" Target="P10B_16P_01_DYNAMIC_COMMERCE_ROUTE_ARCHETYPES.md" TargetMode="External"/><Relationship Id="rIdHyperlink23" Type="http://schemas.openxmlformats.org/officeDocument/2006/relationships/hyperlink" Target="P10B_16P_02_PROMPTED_STOREFRONT_DESIGN_PLAN_V2.md" TargetMode="External"/><Relationship Id="rIdHyperlink24" Type="http://schemas.openxmlformats.org/officeDocument/2006/relationships/hyperlink" Target="P10B_16P_03_STUDIO_PROMPT_GENERATION_JOURNEY.md" TargetMode="External"/><Relationship Id="rIdHyperlink25" Type="http://schemas.openxmlformats.org/officeDocument/2006/relationships/hyperlink" Target="P10B_16P_04_REAL_STUDIO_DESIGN_INTENT_ACCEPTANCE.md" TargetMode="External"/><Relationship Id="rIdHyperlink26" Type="http://schemas.openxmlformats.org/officeDocument/2006/relationships/hyperlink" Target="P10B_18_COMMERCIAL_QUALITY_AUDIT.md" TargetMode="External"/><Relationship Id="rIdHyperlink27" Type="http://schemas.openxmlformats.org/officeDocument/2006/relationships/hyperlink" Target="VESKO_OPENAPI_CONTRACT_AUDIT.md" TargetMode="External"/><Relationship Id="rIdHyperlink28" Type="http://schemas.openxmlformats.org/officeDocument/2006/relationships/hyperlink" Target="VESKO_VESKIFY_INTEGRATION_MATRIX.md" TargetMode="External"/><Relationship Id="rIdHyperlink29"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66921dd12698762fdb7a21c0e445b6ba8a7c41784c6bdf0c7b157af8c2836991</vt:lpwstr>
  </property>
  <property fmtid="{D5CDD505-2E9C-101B-9397-08002B2CF9AE}" pid="4" name="ExporterVersion">
    <vt:lpwstr>1.1.2</vt:lpwstr>
  </property>
  <property fmtid="{D5CDD505-2E9C-101B-9397-08002B2CF9AE}" pid="5" name="DesignPreset">
    <vt:lpwstr>compact_reference_guide</vt:lpwstr>
  </property>
</Properties>
</file>