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owner adoption/merge: AR-00 Baseline / closed; AR-01 Planned / exact next, not started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Repository status effective upon explicit owner adoption/merge:</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Planned — exact next task, not started</w:t>
      </w:r>
      <w:r>
        <w:rPr>
          <w:rFonts w:ascii="Calibri" w:hAnsi="Calibri" w:cs="Calibri"/>
        </w:rPr>
        <w:t xml:space="preserve">. AR-23 depends on AR-01 and is not serialized behind visual work.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c306dc579faf4673ee71729d5bed3e9d5e78f7f45a7822c6c6ac9b97ea5e4547</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