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r>
        <ns0:t>Environment configuration: VESKIFY_AI_PROVIDER selects mock (default) or openai and unknown values fail closed; OPENAI_API_KEY is required only for explicit OpenAI selection and remains server-only; VESKIFY_OPENAI_MODEL and VESKIFY_OPENAI_TIMEOUT_MS are optional server-side overrides; VESKIFY_REAL_PROVIDER_SMOKE must equal 1 together with OPENAI_API_KEY before the opt-in real-provider smoke test may run.</ns0:t>
      </ns0:r>
    </ns0:p>
    <ns0:p>
      <ns0:pPr>
        <ns0:spacing ns0:after="40"/>
      </ns0:pPr>
      <ns0:r>
        <ns0:t>The OpenAI adapter uses the official TypeScript SDK and Responses API with storage disabled. It requests strict structured output through an OpenAI-supported JSON Schema subset. Unsupported validation keywords are removed only from the provider-facing schema; the returned value remains untrusted, is parsed again with the full local Zod schema and must pass all canonical operation, permission, registry, locale, protected-field, executable-content, scope and isolated-application validation before it can become a ready proposal. An empty operation list is invalid.</ns0:t>
      </ns0:r>
    </ns0:p>
    <ns0:p>
      <ns0:pPr>
        <ns0:spacing ns0:after="40"/>
      </ns0:pPr>
      <ns0:r>
        <ns0:t>Browser request data is untrusted. The authoritative server boundary accepts only bounded intent and identity fields, authenticates and authorizes the project, reloads or verifies the canonical project, draft, revision, page, section and locale, and reconstructs target-bound permissions and fingerprints from server state. The browser cannot authorize its own operations, components, protected fields or fingerprints. The OpenAI key and provider selection remain server-only.</ns0:t>
      </ns0:r>
    </ns0:p>
    <ns0:p>
      <ns0:pPr>
        <ns0:spacing ns0:after="40"/>
      </ns0:pPr>
      <ns0:r>
        <ns0:t>Controlled generation failure categories cover missing API key, authentication failure, rate limiting, timeout, cancellation, network failure, provider refusal, malformed output, canonical validation rejection, unavailable model, unavailable server authority and unexpected provider failure. Unauthorized access is returned separately from retryable authority unavailability; unsupported merchant requests are non-provider validation outcomes; stale canonical identity or revision conflicts remain conflicts. No failure may expose raw authentication, repository, planner or provider errors.</ns0:t>
      </ns0:r>
    </ns0:p>
    <ns0:p>
      <ns0:pPr>
        <ns0:spacing ns0:after="40"/>
      </ns0:pPr>
      <ns0:r>
        <ns0:t>Prompts, merchant instructions and full provider responses must not be logged. API keys must never leave the server. Only safe metadata such as provider/model identifiers, provider request ID, duration, normalized outcome and numeric token counts may be recorded. Production authentication, tenant authorization, managed secret storage and rate limiting remain deployment boundaries that must be supplied before the real provider route is enabled in production.</ns0:t>
      </ns0:r>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(en), Finnish (fi), or both in canonical order; one selected primary language. Unsupported runtime locales are rejected rather than filtered.</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 including resumable O-08 language selections and completion.</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only English (en) and Finnish (fi) as storefront locales; the primary language MUST be one of the selected locales, and unsupported runtime locale values MUST be rejected.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spacing ns0:after="100"/>
      </ns0:pPr>
      <ns0:r>
        <ns0: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ns0:t>
      </ns0:r>
    </ns0:p>
    <ns0:p>
      <ns0:pPr>
        <ns0:spacing ns0:after="100"/>
      </ns0:pPr>
      <ns0:r>
        <ns0: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ns0:t>
      </ns0:r>
    </ns0:p>
    <ns0:p>
      <ns0:pPr>
        <ns0:spacing ns0:after="100"/>
      </ns0:pPr>
      <ns0:r>
        <ns0: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 Generation remains P4-05B work; atomic multi-page draft application and site-wide history remain P4-05C work (FR-007, FR-014, FR-015, FR-016, FR-020, FR-027, FR-040, FR-041, FR-042, FR-050, NFR-006, NFR-009, AC-012, AC-013, AC-016).</ns0:t>
      </ns0: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t>The demo must use an AIProvider interface. It supports an explicit deterministic provider and an optional OpenAI provider. The deterministic provider remains the default for local development, tests and CI so the repository runs without secrets. Provider selection is server-owned and must never silently fall back from OpenAI to the deterministic provider. Provider-specific request and response formats must not leak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ns0:t>
      </ns0:r>
    </ns0:p>
    <ns0:p>
      <ns0:r>
        <ns0:rPr>
          <ns0:rFonts ns0:ascii="Aptos" ns0:hAnsi="Aptos" ns0:eastAsia="Aptos"/>
        </ns0:rPr>
        <ns0: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t>The current single-page proposal path uses proposeChange through the same provider-independent boundary. Its server route rebuilds canonical request authority before provider invocation and returns distinct controlled outcomes for unauthorized access (401), unsupported requests (400), stale or invalid canonical identity (409), and retryable authority unavailability (503). Provider output is data only and cannot mutate draft or published state before canonical validation and merchant acceptance.</ns0:t>
      </ns0: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onboarding and persistence boundaries, including atomic aggregate creation; unsupported runtime locale values MUST NOT be filtered or silently repaired.</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bl>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ListBullet"/>
      </ns0:pPr>
      <ns0:r>
        <ns0:t>Authorization failures, unsupported requests, stale canonical conflicts, retryable authority outages and provider failures must remain distinguishable without exposing raw backend errors.</ns0:t>
      </ns0:r>
    </ns0:p>
    <ns0:p>
      <ns0:pPr>
        <ns0:pStyle ns0:val="ListBullet"/>
      </ns0:pPr>
      <ns0:r>
        <ns0:t>A failed authority lookup, request build, provider call, schema parse or canonical validation must leave the active draft, stored draft and published snapshot unchanged.</ns0:t>
      </ns0:r>
    </ns0:p>
    <ns0:p>
      <ns0:pPr>
        <ns0:pStyle ns0:val="Heading2"/>
        <ns0:keepNext/>
        <ns0:keepLines/>
      </ns0:pPr>
      <ns0:r>
        <ns0:rPr>
          <ns0:rFonts ns0:ascii="Aptos" ns0:hAnsi="Aptos" ns0:eastAsia="Aptos"/>
        </ns0:rPr>
        <ns0:t>19.3 Observability for future integration</ns0:t>
      </ns0:r>
    </ns0:p>
    <ns0:p>
      <ns0:r>
        <ns0:t>Provider calls should record request IDs, operation counts, validation outcomes, latency and token/cost metadata where available. Prompt content, merchant instructions, generated copy, full provider responses, protected section values and API keys must not be logged. The later AWS deployment can connect privacy-safe metadata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ListBullet"/>
      </ns0:pPr>
      <ns0:r>
        <ns0:t>Build provider prompts from canonical component-registry metadata. Omit registry-protected and read-only section paths, product/catalogue identities and operational commerce values while retaining only the permitted merchant-facing text and design context required by the request.</ns0:t>
      </ns0:r>
    </ns0:p>
    <ns0:p>
      <ns0:pPr>
        <ns0:pStyle ns0:val="ListBullet"/>
      </ns0:pPr>
      <ns0:r>
        <ns0:t>Treat strict provider output as untrusted and revalidate it with the complete local schemas and semantic guards; provider-facing schema limitations must never weaken canonical validation.</ns0:t>
      </ns0:r>
    </ns0:p>
    <ns0:p>
      <ns0:pPr>
        <ns0:pStyle ns0:val="Heading2"/>
        <ns0:keepNext/>
        <ns0:keepLines/>
      </ns0:pPr>
      <ns0:r>
        <ns0:rPr>
          <ns0:rFonts ns0:ascii="Aptos" ns0:hAnsi="Aptos" ns0:eastAsia="Aptos"/>
        </ns0:rPr>
        <ns0:t>20.1 Prompt injection and imported content</ns0:t>
      </ns0:r>
    </ns0:p>
    <ns0:p>
      <ns0:r>
        <ns0:t>Website text, spreadsheet cells, product descriptions and uploaded files are data, not instructions. The AI context builder must label imported and merchant-facing content as untrusted and must not follow instructions contained inside it. Only direct authenticated user instructions and system-defined policies may control operations. Prompt construction must not mutate the canonical page, section, draft, catalogue or published snapshot.</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 the project retains one primary locale and may enable the second locale.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p>
      <ns0:pPr>
        <ns0:pStyle ns0:val="Heading1"/>
      </ns0:pPr>
      <ns0:r>
        <ns0:t>P3-08 — Deterministic initial storefront materialization</ns0:t>
      </ns0:r>
    </ns0:p>
    <ns0:p>
      <ns0:r>
        <ns0: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ns0:t>
      </ns0:r>
    </ns0:p>
    <ns0:p>
      <ns0:r>
        <ns0: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ns0:t>
      </ns0:r>
    </ns0:p>
    <ns0:p>
      <ns0:r>
        <ns0:t>Traceability: §4.1; §6.2 FR-009, FR-011, FR-013–FR-016, FR-040, FR-051, FR-052; §9.1; §12.8; §15.3–§15.5; §16.2 and §16.5; §17.1; §21.2 AC-001, AC-002, AC-013, AC-016, AC-021, AC-022.</ns0:t>
      </ns0:r>
    </ns0:p>
    <ns0:p>
      <ns0:pPr>
        <ns0:pStyle ns0:val="Heading1"/>
      </ns0:pPr>
      <ns0:r>
        <ns0:t>P3-10 — Deterministic guided storefront generation orchestrator</ns0:t>
      </ns0:r>
    </ns0:p>
    <ns0:p>
      <ns0:r>
        <ns0: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ns0:t>
      </ns0:r>
    </ns0:p>
    <ns0:p>
      <ns0:r>
        <ns0: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ns0:t>
      </ns0:r>
    </ns0:p>
    <ns0:p>
      <ns0:r>
        <ns0: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ns0:t>
      </ns0:r>
    </ns0:p>
    <ns0:p>
      <ns0:pPr>
        <ns0:pStyle ns0:val="Heading1"/>
      </ns0:pPr>
      <ns0:r>
        <ns0:t>P3-13 — Deterministic storefront generation review projection</ns0:t>
      </ns0:r>
    </ns0:p>
    <ns0:p>
      <ns0:r>
        <ns0: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ns0:t>
      </ns0:r>
    </ns0:p>
    <ns0:p>
      <ns0:r>
        <ns0: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ns0:t>
      </ns0:r>
    </ns0:p>
    <ns0:p>
      <ns0:r>
        <ns0:t>Traceability: §4.1; §6.2 FR-009, FR-010, FR-011, FR-013–FR-016, FR-040, FR-053–FR-056; §12.8; §15.3–§15.5; §16.2, §16.5; §17.1; §21.2 AC-001, AC-002, AC-013, AC-016, AC-023–AC-026.</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Veskify Software Design Specification v1.1</dc:title>
  <dc:subject>Controlled design-agent implementation baseline</dc:subject>
  <dc:creator>Vesko Oy</dc:creator>
  <ns0:keywords>Veskify, Vesko, SDD, specification, Codex, AI design agent, storefront builder</ns0:keywords>
  <dc:description>Synchronized with docs/VESKIFY_SDD.md on 21 July 2026.</dc:description>
  <ns0:lastModifiedBy/>
  <ns0:revision>1</ns0:revision>
  <ns2:created xsi:type="dcterms:W3CDTF">2013-12-23T23:15:00Z</ns2:created>
  <ns2:modified xsi:type="dcterms:W3CDTF">2013-12-23T23:15:00Z</ns2:modified>
  <ns0:category/>
</ns0:coreProperties>
</file>