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11 August 2026, P10B-16P-01 dynamic commerce route archetype authority</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11 August 2026, P10B-16P-01 dynamic commerce route archetype authority</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9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990" w:type="dxa"/>
            <w:vAlign w:val="center"/>
          </w:tcPr>
          <w:p>
            <w:pPr>
              <w:pStyle w:val="CompactTableText"/>
              <w:widowControl/>
            </w:pPr>
            <w:r>
              <w:rPr>
                <w:rFonts w:ascii="Calibri" w:hAnsi="Calibri" w:cs="Calibri"/>
              </w:rPr>
              <w:t>Strict contract, stale/no-partial rejection, deterministic mock and separately authorized provider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w:t>
            </w:r>
          </w:p>
        </w:tc>
        <w:tc>
          <w:tcPr>
            <w:tcW w:w="2990" w:type="dxa"/>
            <w:vAlign w:val="center"/>
          </w:tcPr>
          <w:p>
            <w:pPr>
              <w:pStyle w:val="CompactTableText"/>
              <w:widowControl/>
            </w:pPr>
            <w:r>
              <w:rPr>
                <w:rFonts w:ascii="Calibri" w:hAnsi="Calibri" w:cs="Calibri"/>
              </w:rPr>
              <w:t>Merchant-language integration, proposal lifecycle, browser/E2E and save/publish boundary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P10B-16P-03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P10B-16 and P10B-16P-01 are </w:t>
      </w:r>
      <w:r>
        <w:rPr>
          <w:rFonts w:ascii="Calibri" w:hAnsi="Calibri" w:cs="Calibri"/>
          <w:b/>
          <w:bCs/>
        </w:rPr>
        <w:t>Baseline</w:t>
      </w:r>
      <w:r>
        <w:rPr>
          <w:rFonts w:ascii="Calibri" w:hAnsi="Calibri" w:cs="Calibri"/>
        </w:rPr>
        <w:t xml:space="preserve">. P10B-16P-02, P10B-16P-03, P10B-17, and P10B-18 remain </w:t>
      </w:r>
      <w:r>
        <w:rPr>
          <w:rFonts w:ascii="Calibri" w:hAnsi="Calibri" w:cs="Calibri"/>
          <w:b/>
          <w:bCs/>
        </w:rPr>
        <w:t>Planned</w:t>
      </w:r>
      <w:r>
        <w:rPr>
          <w:rFonts w:ascii="Calibri" w:hAnsi="Calibri" w:cs="Calibri"/>
        </w:rPr>
        <w:t>. The remaining Done conditions are implementation gates, not claims about the current repository. The P10B-16P sequence is a mandatory convergence package between P10B-16 and P10B-17; it supplements rather than renumbers the locked P10B-01 through P10B-18 plan.</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5"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6"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7"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8"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19"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0"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but runtime search materialization requires exact transient query/results from a first-class canonical adapter. Until P11 supplies that seam, missing search context fails closed and never substitutes a collection.</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Add a governed provider-facing design-plan contract over current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Provider input/output can select only current bounded authority; unknown, stale, malformed, broadening, provider-owned layout/commerce/code, and partial results fail before proposal creation; deterministic mock and separately authorized real-provider evidence pass.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P10B-16P-02.</w:t>
      </w:r>
    </w:p>
    <w:p>
      <w:pPr>
        <w:pStyle w:val="Normal"/>
        <w:numPr>
          <w:ilvl w:val="0"/>
          <w:numId w:val="1"/>
        </w:numPr>
        <w:widowControl/>
      </w:pPr>
      <w:r>
        <w:rPr>
          <w:rFonts w:ascii="Calibri" w:hAnsi="Calibri" w:cs="Calibri"/>
          <w:b/>
          <w:bCs/>
        </w:rPr>
        <w:t>Done when:</w:t>
      </w:r>
      <w:r>
        <w:rPr>
          <w:rFonts w:ascii="Calibri" w:hAnsi="Calibri" w:cs="Calibri"/>
        </w:rPr>
        <w:t xml:space="preserve"> Storefront Studio invokes current plan authority, presents bounded review, preserves accept/reject/undo/redo and save/publish separation, and passes browser/E2E and retained review without another snapshot or bypass.</w:t>
      </w:r>
    </w:p>
    <w:p>
      <w:pPr>
        <w:pStyle w:val="Normal"/>
        <w:numPr>
          <w:ilvl w:val="0"/>
          <w:numId w:val="1"/>
        </w:numPr>
        <w:widowControl/>
      </w:pPr>
      <w:r>
        <w:rPr>
          <w:rFonts w:ascii="Calibri" w:hAnsi="Calibri" w:cs="Calibri"/>
          <w:b/>
          <w:bCs/>
        </w:rPr>
        <w:t>Non-goal:</w:t>
      </w:r>
      <w:r>
        <w:rPr>
          <w:rFonts w:ascii="Calibri" w:hAnsi="Calibri" w:cs="Calibri"/>
        </w:rPr>
        <w:t xml:space="preserve"> P10C general manual/scoped editing implementation.</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P10B-16P-03 and implemented commercial families/profiles/directions.</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1" w:history="1">
        <w:r>
          <w:rPr>
            <w:rFonts w:ascii="Calibri" w:hAnsi="Calibri" w:cs="Calibri"/>
            <w:color w:val="2E74B5"/>
            <w:u w:val="single"/>
          </w:rPr>
          <w:t>VESKO_OPENAPI_CONTRACT_AUDIT.md</w:t>
        </w:r>
      </w:hyperlink>
      <w:r>
        <w:rPr>
          <w:rFonts w:ascii="Calibri" w:hAnsi="Calibri" w:cs="Calibri"/>
        </w:rPr>
        <w:t xml:space="preserve"> and </w:t>
      </w:r>
      <w:hyperlink r:id="rIdHyperlink22"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152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2_CONTENT_AND_SUPPORT_PAGE_FAMILIES.md" TargetMode="External"/><Relationship Id="rIdHyperlink16" Type="http://schemas.openxmlformats.org/officeDocument/2006/relationships/hyperlink" Target="P10B_13_COMMERCE_UTILITY_PRESENTATION_PAGES.md" TargetMode="External"/><Relationship Id="rIdHyperlink17" Type="http://schemas.openxmlformats.org/officeDocument/2006/relationships/hyperlink" Target="P10B_14_PREMIUM_EDITORIAL_COMPLETE_STOREFRONT_VERTICAL_SLICE.md" TargetMode="External"/><Relationship Id="rIdHyperlink18" Type="http://schemas.openxmlformats.org/officeDocument/2006/relationships/hyperlink" Target="P10B_15_BOUNDED_STOREFRONT_SYNTHESIS_AND_NARRATIVE_ENGINE.md" TargetMode="External"/><Relationship Id="rIdHyperlink19" Type="http://schemas.openxmlformats.org/officeDocument/2006/relationships/hyperlink" Target="P10B_16_COORDINATED_DIRECTIONS_AND_DIVERSITY_CONTROL.md" TargetMode="External"/><Relationship Id="rIdHyperlink20" Type="http://schemas.openxmlformats.org/officeDocument/2006/relationships/hyperlink" Target="P10B_16P_01_DYNAMIC_COMMERCE_ROUTE_ARCHETYPES.md" TargetMode="External"/><Relationship Id="rIdHyperlink21" Type="http://schemas.openxmlformats.org/officeDocument/2006/relationships/hyperlink" Target="VESKO_OPENAPI_CONTRACT_AUDIT.md" TargetMode="External"/><Relationship Id="rIdHyperlink22"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2a76df16da67a69b1e09f6287441933b67614c2fa009f519e1049d5f527f633e</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