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8 August 2026, P10B-08 branch based on current main after merged PR #177</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 xml:space="preserve">8 August 2026, P10B-08 implementation and evidence branch based on current </w:t>
            </w:r>
            <w:r>
              <w:rPr>
                <w:rFonts w:ascii="Consolas" w:hAnsi="Consolas" w:cs="Consolas"/>
                <w:sz w:val="19"/>
                <w:szCs w:val="19"/>
              </w:rPr>
              <w:t>main</w:t>
            </w:r>
            <w:r>
              <w:rPr>
                <w:rFonts w:ascii="Calibri" w:hAnsi="Calibri" w:cs="Calibri"/>
              </w:rPr>
              <w:t xml:space="preserve"> after PR #177</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25 definitions/91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Minimum frame/mobile/footer coverage and responsive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Minimum anatomy coverage, provenance, full chain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commerce/intents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Approved-fact provenance, localization, lifecycle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Search/cart/checkout/state/a11y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Complete page set, four widths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P10B-05 and P10B-08 are </w:t>
      </w:r>
      <w:r>
        <w:rPr>
          <w:rFonts w:ascii="Calibri" w:hAnsi="Calibri" w:cs="Calibri"/>
          <w:b/>
          <w:bCs/>
        </w:rPr>
        <w:t>Baseline</w:t>
      </w:r>
      <w:r>
        <w:rPr>
          <w:rFonts w:ascii="Calibri" w:hAnsi="Calibri" w:cs="Calibri"/>
        </w:rPr>
        <w:t xml:space="preserve">. P10B-06, P10B-07, and P10B-09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All 25 current V2 definitions and 91 variants are classified explicitly without false commercial-ready promotion.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0"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content/evidence, localization, navigation, and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Done when:</w:t>
      </w:r>
      <w:r>
        <w:rPr>
          <w:rFonts w:ascii="Calibri" w:hAnsi="Calibri" w:cs="Calibri"/>
        </w:rPr>
        <w:t xml:space="preserve"> Every named family has registered profiles and approved-fact provenance, localization, navigation reachability, omission/fallback, responsive output, snapshot preservation, and publication; major types have multiple compositions where commercially useful.</w:t>
      </w:r>
    </w:p>
    <w:p>
      <w:pPr>
        <w:pStyle w:val="Normal"/>
        <w:numPr>
          <w:ilvl w:val="0"/>
          <w:numId w:val="1"/>
        </w:numPr>
        <w:widowControl/>
      </w:pPr>
      <w:r>
        <w:rPr>
          <w:rFonts w:ascii="Calibri" w:hAnsi="Calibri" w:cs="Calibri"/>
          <w:b/>
          <w:bCs/>
        </w:rPr>
        <w:t>Fail closed:</w:t>
      </w:r>
      <w:r>
        <w:rPr>
          <w:rFonts w:ascii="Calibri" w:hAnsi="Calibri" w:cs="Calibri"/>
        </w:rPr>
        <w:t xml:space="preserve"> Fabricated locations, policies, certifications, guarantees, delivery, compliance, and service claims are rejected or omitted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Contract/profile, evidence/provenance, generation/lifecycle, localization, responsive/a11y,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Unrestricted CMS or legal-content generation.</w:t>
      </w:r>
    </w:p>
    <w:p>
      <w:pPr>
        <w:pStyle w:val="Heading3"/>
        <w:keepNext/>
        <w:widowControl/>
      </w:pPr>
      <w:r>
        <w:rPr>
          <w:rFonts w:ascii="Calibri" w:hAnsi="Calibri" w:cs="Calibri"/>
        </w:rPr>
        <w:t>P10B-13 — Commerce utility presentation pages</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Done when:</w:t>
      </w:r>
      <w:r>
        <w:rPr>
          <w:rFonts w:ascii="Calibri" w:hAnsi="Calibri" w:cs="Calibri"/>
        </w:rPr>
        <w:t xml:space="preserve"> Every state presents canonical facts/actions with coherent Design DNA/frame, useful empty/error behavior, complete page-set reachability, responsive accessibility, snapshot, and publication preservation.</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Done when:</w:t>
      </w:r>
      <w:r>
        <w:rPr>
          <w:rFonts w:ascii="Calibri" w:hAnsi="Calibri" w:cs="Calibri"/>
        </w:rPr>
        <w:t xml:space="preserve"> One approved brief with realistic commerce and credible assets generates shared frame, home, collection, simple/configurable PDP, About, Contact/locations, FAQ/service, and required utility/error states; navigation, EN/FI where supported, four widths, protected state, preview/publish, and retained human review pass.</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signed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11" w:history="1">
        <w:r>
          <w:rPr>
            <w:rFonts w:ascii="Calibri" w:hAnsi="Calibri" w:cs="Calibri"/>
            <w:color w:val="2E74B5"/>
            <w:u w:val="single"/>
          </w:rPr>
          <w:t>VESKO_OPENAPI_CONTRACT_AUDIT.md</w:t>
        </w:r>
      </w:hyperlink>
      <w:r>
        <w:rPr>
          <w:rFonts w:ascii="Calibri" w:hAnsi="Calibri" w:cs="Calibri"/>
        </w:rPr>
        <w:t xml:space="preserve"> and </w:t>
      </w:r>
      <w:hyperlink r:id="rIdHyperlink12"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onboarding, diagnostics, audit records, observability, recovery guidance,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Heading3"/>
        <w:keepNext/>
        <w:widowControl/>
      </w:pPr>
      <w:r>
        <w:rPr>
          <w:rFonts w:ascii="Calibri" w:hAnsi="Calibri" w:cs="Calibri"/>
        </w:rPr>
        <w:t>P12 — Production and pilot closure</w:t>
      </w:r>
    </w:p>
    <w:p>
      <w:pPr>
        <w:pStyle w:val="Normal"/>
        <w:numPr>
          <w:ilvl w:val="0"/>
          <w:numId w:val="1"/>
        </w:numPr>
        <w:widowControl/>
      </w:pPr>
      <w:r>
        <w:rPr>
          <w:rFonts w:ascii="Calibri" w:hAnsi="Calibri" w:cs="Calibri"/>
          <w:b/>
          <w:bCs/>
        </w:rPr>
        <w:t>Outcome:</w:t>
      </w:r>
      <w:r>
        <w:rPr>
          <w:rFonts w:ascii="Calibri" w:hAnsi="Calibri" w:cs="Calibri"/>
        </w:rPr>
        <w:t xml:space="preserve"> Establish authentication, tenant isolation, security, observability, performance, backup/recovery, deployment, incidents, and controlled 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Security/load/recovery exercises, production telemetry, and controlled 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P10B_08_CANONICAL_PRODUCT_CARD_AND_MERCHANDISING.md" TargetMode="External"/><Relationship Id="rIdHyperlink11" Type="http://schemas.openxmlformats.org/officeDocument/2006/relationships/hyperlink" Target="VESKO_OPENAPI_CONTRACT_AUDIT.md" TargetMode="External"/><Relationship Id="rIdHyperlink12"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964b6d6da73b85ae0e1db9f103bf01a82645b90cbfb9093ce9a0998f8589c632</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