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Software Design Document</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Verified baseline: 9 August 2026</w:t>
      </w:r>
    </w:p>
    <w:p>
      <w:pPr>
        <w:pStyle w:val="CoverMeta"/>
        <w:jc w:val="center"/>
        <w:widowControl/>
      </w:pPr>
      <w:r>
        <w:rPr>
          <w:rFonts w:ascii="Calibri" w:hAnsi="Calibri" w:cs="Calibri"/>
        </w:rPr>
        <w:t>P10B-10 collection/search and P10B-11 PDP profile baselines</w:t>
      </w:r>
    </w:p>
    <w:p>
      <w:pPr>
        <w:pStyle w:val="CoverMeta"/>
        <w:jc w:val="center"/>
        <w:widowControl/>
      </w:pPr>
      <w:r>
        <w:rPr>
          <w:rFonts w:ascii="Calibri" w:hAnsi="Calibri" w:cs="Calibri"/>
        </w:rPr>
        <w:t>Merchant product: Vesko Storefront Studio | Controlled engine: Veskify</w:t>
      </w:r>
    </w:p>
    <w:p>
      <w:pPr>
        <w:pStyle w:val="CoverMeta"/>
        <w:jc w:val="center"/>
        <w:widowControl/>
      </w:pPr>
      <w:r>
        <w:rPr>
          <w:rFonts w:ascii="Calibri" w:hAnsi="Calibri" w:cs="Calibri"/>
        </w:rPr>
        <w:t>Authoritative source: docs/VESKIFY_SDD.md</w:t>
      </w:r>
    </w:p>
    <w:p>
      <w:pPr>
        <w:pStyle w:val="Normal"/>
        <w:widowControl/>
      </w:pPr>
      <w:r>
        <w:br w:type="page"/>
      </w:r>
    </w:p>
    <w:p>
      <w:pPr>
        <w:pStyle w:val="Heading1"/>
        <w:keepNext/>
        <w:widowControl/>
      </w:pPr>
      <w:r>
        <w:rPr>
          <w:rFonts w:ascii="Calibri" w:hAnsi="Calibri" w:cs="Calibri"/>
        </w:rPr>
        <w:t>1. Document control and revision history</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700"/>
        <w:gridCol w:w="6660"/>
      </w:tblGrid>
      <w:tr>
        <w:trPr>
          <w:tblHeader/>
          <w:cantSplit/>
        </w:trPr>
        <w:tc>
          <w:tcPr>
            <w:tcW w:w="2700" w:type="dxa"/>
            <w:vAlign w:val="center"/>
            <w:shd w:val="clear" w:fill="E8EEF5"/>
          </w:tcPr>
          <w:p>
            <w:pPr>
              <w:pStyle w:val="TableHeader"/>
              <w:jc w:val="center"/>
              <w:widowControl/>
            </w:pPr>
            <w:r>
              <w:rPr>
                <w:rFonts w:ascii="Calibri" w:hAnsi="Calibri" w:cs="Calibri"/>
              </w:rPr>
              <w:t>Field</w:t>
            </w:r>
          </w:p>
        </w:tc>
        <w:tc>
          <w:tcPr>
            <w:tcW w:w="6660" w:type="dxa"/>
            <w:vAlign w:val="center"/>
            <w:shd w:val="clear" w:fill="E8EEF5"/>
          </w:tcPr>
          <w:p>
            <w:pPr>
              <w:pStyle w:val="TableHeader"/>
              <w:jc w:val="center"/>
              <w:widowControl/>
            </w:pPr>
            <w:r>
              <w:rPr>
                <w:rFonts w:ascii="Calibri" w:hAnsi="Calibri" w:cs="Calibri"/>
              </w:rPr>
              <w:t>Value</w:t>
            </w:r>
          </w:p>
        </w:tc>
      </w:tr>
      <w:tr>
        <w:trPr/>
        <w:tc>
          <w:tcPr>
            <w:tcW w:w="2700" w:type="dxa"/>
            <w:vAlign w:val="center"/>
          </w:tcPr>
          <w:p>
            <w:pPr>
              <w:pStyle w:val="TableText"/>
              <w:widowControl/>
            </w:pPr>
            <w:r>
              <w:rPr>
                <w:rFonts w:ascii="Calibri" w:hAnsi="Calibri" w:cs="Calibri"/>
              </w:rPr>
              <w:t>Document</w:t>
            </w:r>
          </w:p>
        </w:tc>
        <w:tc>
          <w:tcPr>
            <w:tcW w:w="6660" w:type="dxa"/>
            <w:vAlign w:val="center"/>
          </w:tcPr>
          <w:p>
            <w:pPr>
              <w:pStyle w:val="TableText"/>
              <w:widowControl/>
            </w:pPr>
            <w:r>
              <w:rPr>
                <w:rFonts w:ascii="Calibri" w:hAnsi="Calibri" w:cs="Calibri"/>
              </w:rPr>
              <w:t>Veskify Software Design Document</w:t>
            </w:r>
          </w:p>
        </w:tc>
      </w:tr>
      <w:tr>
        <w:trPr/>
        <w:tc>
          <w:tcPr>
            <w:tcW w:w="2700" w:type="dxa"/>
            <w:vAlign w:val="center"/>
          </w:tcPr>
          <w:p>
            <w:pPr>
              <w:pStyle w:val="TableText"/>
              <w:widowControl/>
            </w:pPr>
            <w:r>
              <w:rPr>
                <w:rFonts w:ascii="Calibri" w:hAnsi="Calibri" w:cs="Calibri"/>
              </w:rPr>
              <w:t>Version</w:t>
            </w:r>
          </w:p>
        </w:tc>
        <w:tc>
          <w:tcPr>
            <w:tcW w:w="6660" w:type="dxa"/>
            <w:vAlign w:val="center"/>
          </w:tcPr>
          <w:p>
            <w:pPr>
              <w:pStyle w:val="TableText"/>
              <w:widowControl/>
            </w:pPr>
            <w:r>
              <w:rPr>
                <w:rFonts w:ascii="Calibri" w:hAnsi="Calibri" w:cs="Calibri"/>
              </w:rPr>
              <w:t>1.3.0</w:t>
            </w:r>
          </w:p>
        </w:tc>
      </w:tr>
      <w:tr>
        <w:trPr/>
        <w:tc>
          <w:tcPr>
            <w:tcW w:w="2700" w:type="dxa"/>
            <w:vAlign w:val="center"/>
          </w:tcPr>
          <w:p>
            <w:pPr>
              <w:pStyle w:val="TableText"/>
              <w:widowControl/>
            </w:pPr>
            <w:r>
              <w:rPr>
                <w:rFonts w:ascii="Calibri" w:hAnsi="Calibri" w:cs="Calibri"/>
              </w:rPr>
              <w:t>Verified baseline</w:t>
            </w:r>
          </w:p>
        </w:tc>
        <w:tc>
          <w:tcPr>
            <w:tcW w:w="6660" w:type="dxa"/>
            <w:vAlign w:val="center"/>
          </w:tcPr>
          <w:p>
            <w:pPr>
              <w:pStyle w:val="TableText"/>
              <w:widowControl/>
            </w:pPr>
            <w:r>
              <w:rPr>
                <w:rFonts w:ascii="Calibri" w:hAnsi="Calibri" w:cs="Calibri"/>
              </w:rPr>
              <w:t>9 August 2026, P10B-11 PDP profiles and P10B-13 utility presentation pages</w:t>
            </w:r>
          </w:p>
        </w:tc>
      </w:tr>
      <w:tr>
        <w:trPr/>
        <w:tc>
          <w:tcPr>
            <w:tcW w:w="2700" w:type="dxa"/>
            <w:vAlign w:val="center"/>
          </w:tcPr>
          <w:p>
            <w:pPr>
              <w:pStyle w:val="TableText"/>
              <w:widowControl/>
            </w:pPr>
            <w:r>
              <w:rPr>
                <w:rFonts w:ascii="Calibri" w:hAnsi="Calibri" w:cs="Calibri"/>
              </w:rPr>
              <w:t>Merchant-facing product</w:t>
            </w:r>
          </w:p>
        </w:tc>
        <w:tc>
          <w:tcPr>
            <w:tcW w:w="6660" w:type="dxa"/>
            <w:vAlign w:val="center"/>
          </w:tcPr>
          <w:p>
            <w:pPr>
              <w:pStyle w:val="TableText"/>
              <w:widowControl/>
            </w:pPr>
            <w:r>
              <w:rPr>
                <w:rFonts w:ascii="Calibri" w:hAnsi="Calibri" w:cs="Calibri"/>
              </w:rPr>
              <w:t>Vesko Storefront Studio</w:t>
            </w:r>
          </w:p>
        </w:tc>
      </w:tr>
      <w:tr>
        <w:trPr/>
        <w:tc>
          <w:tcPr>
            <w:tcW w:w="2700" w:type="dxa"/>
            <w:vAlign w:val="center"/>
          </w:tcPr>
          <w:p>
            <w:pPr>
              <w:pStyle w:val="TableText"/>
              <w:widowControl/>
            </w:pPr>
            <w:r>
              <w:rPr>
                <w:rFonts w:ascii="Calibri" w:hAnsi="Calibri" w:cs="Calibri"/>
              </w:rPr>
              <w:t>Internal controlled engine</w:t>
            </w:r>
          </w:p>
        </w:tc>
        <w:tc>
          <w:tcPr>
            <w:tcW w:w="6660" w:type="dxa"/>
            <w:vAlign w:val="center"/>
          </w:tcPr>
          <w:p>
            <w:pPr>
              <w:pStyle w:val="TableText"/>
              <w:widowControl/>
            </w:pPr>
            <w:r>
              <w:rPr>
                <w:rFonts w:ascii="Calibri" w:hAnsi="Calibri" w:cs="Calibri"/>
              </w:rPr>
              <w:t>Veskify</w:t>
            </w:r>
          </w:p>
        </w:tc>
      </w:tr>
      <w:tr>
        <w:trPr/>
        <w:tc>
          <w:tcPr>
            <w:tcW w:w="2700" w:type="dxa"/>
            <w:vAlign w:val="center"/>
          </w:tcPr>
          <w:p>
            <w:pPr>
              <w:pStyle w:val="TableText"/>
              <w:widowControl/>
            </w:pPr>
            <w:r>
              <w:rPr>
                <w:rFonts w:ascii="Calibri" w:hAnsi="Calibri" w:cs="Calibri"/>
              </w:rPr>
              <w:t>Status</w:t>
            </w:r>
          </w:p>
        </w:tc>
        <w:tc>
          <w:tcPr>
            <w:tcW w:w="6660" w:type="dxa"/>
            <w:vAlign w:val="center"/>
          </w:tcPr>
          <w:p>
            <w:pPr>
              <w:pStyle w:val="TableText"/>
              <w:widowControl/>
            </w:pPr>
            <w:r>
              <w:rPr>
                <w:rFonts w:ascii="Calibri" w:hAnsi="Calibri" w:cs="Calibri"/>
              </w:rPr>
              <w:t>Authoritative source specification</w:t>
            </w:r>
          </w:p>
        </w:tc>
      </w:tr>
      <w:tr>
        <w:trPr/>
        <w:tc>
          <w:tcPr>
            <w:tcW w:w="2700" w:type="dxa"/>
            <w:vAlign w:val="center"/>
          </w:tcPr>
          <w:p>
            <w:pPr>
              <w:pStyle w:val="TableText"/>
              <w:widowControl/>
            </w:pPr>
            <w:r>
              <w:rPr>
                <w:rFonts w:ascii="Calibri" w:hAnsi="Calibri" w:cs="Calibri"/>
              </w:rPr>
              <w:t>Overall product status</w:t>
            </w:r>
          </w:p>
        </w:tc>
        <w:tc>
          <w:tcPr>
            <w:tcW w:w="6660" w:type="dxa"/>
            <w:vAlign w:val="center"/>
          </w:tcPr>
          <w:p>
            <w:pPr>
              <w:pStyle w:val="TableText"/>
              <w:widowControl/>
            </w:pPr>
            <w:r>
              <w:rPr>
                <w:rFonts w:ascii="Calibri" w:hAnsi="Calibri" w:cs="Calibri"/>
                <w:b/>
                <w:bCs/>
              </w:rPr>
              <w:t>Partial</w:t>
            </w:r>
          </w:p>
        </w:tc>
      </w:tr>
      <w:tr>
        <w:trPr/>
        <w:tc>
          <w:tcPr>
            <w:tcW w:w="2700" w:type="dxa"/>
            <w:vAlign w:val="center"/>
          </w:tcPr>
          <w:p>
            <w:pPr>
              <w:pStyle w:val="TableText"/>
              <w:widowControl/>
            </w:pPr>
            <w:r>
              <w:rPr>
                <w:rFonts w:ascii="Calibri" w:hAnsi="Calibri" w:cs="Calibri"/>
              </w:rPr>
              <w:t>Binding decisions</w:t>
            </w:r>
          </w:p>
        </w:tc>
        <w:tc>
          <w:tcPr>
            <w:tcW w:w="6660" w:type="dxa"/>
            <w:vAlign w:val="center"/>
          </w:tcPr>
          <w:p>
            <w:pPr>
              <w:pStyle w:val="TableText"/>
              <w:widowControl/>
            </w:pPr>
            <w:r>
              <w:rPr>
                <w:rFonts w:ascii="Calibri" w:hAnsi="Calibri" w:cs="Calibri"/>
              </w:rPr>
              <w:t>ADR-001 through ADR-004</w:t>
            </w:r>
          </w:p>
        </w:tc>
      </w:tr>
      <w:tr>
        <w:trPr/>
        <w:tc>
          <w:tcPr>
            <w:tcW w:w="2700" w:type="dxa"/>
            <w:vAlign w:val="center"/>
          </w:tcPr>
          <w:p>
            <w:pPr>
              <w:pStyle w:val="TableText"/>
              <w:widowControl/>
            </w:pPr>
            <w:r>
              <w:rPr>
                <w:rFonts w:ascii="Calibri" w:hAnsi="Calibri" w:cs="Calibri"/>
              </w:rPr>
              <w:t>Delivery plan</w:t>
            </w:r>
          </w:p>
        </w:tc>
        <w:tc>
          <w:tcPr>
            <w:tcW w:w="6660" w:type="dxa"/>
            <w:vAlign w:val="center"/>
          </w:tcPr>
          <w:p>
            <w:pPr>
              <w:pStyle w:val="TableText"/>
              <w:widowControl/>
            </w:pPr>
            <w:hyperlink r:id="rIdHyperlink1" w:history="1">
              <w:r>
                <w:rPr>
                  <w:rFonts w:ascii="Calibri" w:hAnsi="Calibri" w:cs="Calibri"/>
                  <w:color w:val="2E74B5"/>
                  <w:u w:val="single"/>
                </w:rPr>
                <w:t>VESKIFY_DEVELOPMENT_ROADMAP.md</w:t>
              </w:r>
            </w:hyperlink>
          </w:p>
        </w:tc>
      </w:tr>
      <w:tr>
        <w:trPr/>
        <w:tc>
          <w:tcPr>
            <w:tcW w:w="2700" w:type="dxa"/>
            <w:vAlign w:val="center"/>
          </w:tcPr>
          <w:p>
            <w:pPr>
              <w:pStyle w:val="TableText"/>
              <w:widowControl/>
            </w:pPr>
            <w:r>
              <w:rPr>
                <w:rFonts w:ascii="Calibri" w:hAnsi="Calibri" w:cs="Calibri"/>
              </w:rPr>
              <w:t>Delivery status</w:t>
            </w:r>
          </w:p>
        </w:tc>
        <w:tc>
          <w:tcPr>
            <w:tcW w:w="6660" w:type="dxa"/>
            <w:vAlign w:val="center"/>
          </w:tcPr>
          <w:p>
            <w:pPr>
              <w:pStyle w:val="TableText"/>
              <w:widowControl/>
            </w:pPr>
            <w:hyperlink r:id="rIdHyperlink2" w:history="1">
              <w:r>
                <w:rPr>
                  <w:rFonts w:ascii="Calibri" w:hAnsi="Calibri" w:cs="Calibri"/>
                  <w:color w:val="2E74B5"/>
                  <w:u w:val="single"/>
                </w:rPr>
                <w:t>VESKIFY_DEVELOPMENT_DELIVERY_TRACKER.md</w:t>
              </w:r>
            </w:hyperlink>
          </w:p>
        </w:tc>
      </w:tr>
    </w:tbl>
    <w:p>
      <w:pPr>
        <w:pStyle w:val="Normal"/>
        <w:widowControl/>
      </w:pP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4860"/>
      </w:tblGrid>
      <w:tr>
        <w:trPr>
          <w:tblHeader/>
          <w:cantSplit/>
        </w:trPr>
        <w:tc>
          <w:tcPr>
            <w:tcW w:w="1000" w:type="dxa"/>
            <w:vAlign w:val="center"/>
            <w:shd w:val="clear" w:fill="E8EEF5"/>
          </w:tcPr>
          <w:p>
            <w:pPr>
              <w:pStyle w:val="TableHeader"/>
              <w:jc w:val="center"/>
              <w:widowControl/>
            </w:pPr>
            <w:r>
              <w:rPr>
                <w:rFonts w:ascii="Calibri" w:hAnsi="Calibri" w:cs="Calibri"/>
              </w:rPr>
              <w:t>Revision</w:t>
            </w:r>
          </w:p>
        </w:tc>
        <w:tc>
          <w:tcPr>
            <w:tcW w:w="1500" w:type="dxa"/>
            <w:vAlign w:val="center"/>
            <w:shd w:val="clear" w:fill="E8EEF5"/>
          </w:tcPr>
          <w:p>
            <w:pPr>
              <w:pStyle w:val="TableHeader"/>
              <w:jc w:val="center"/>
              <w:widowControl/>
            </w:pPr>
            <w:r>
              <w:rPr>
                <w:rFonts w:ascii="Calibri" w:hAnsi="Calibri" w:cs="Calibri"/>
              </w:rPr>
              <w:t>Date</w:t>
            </w:r>
          </w:p>
        </w:tc>
        <w:tc>
          <w:tcPr>
            <w:tcW w:w="2000" w:type="dxa"/>
            <w:vAlign w:val="center"/>
            <w:shd w:val="clear" w:fill="E8EEF5"/>
          </w:tcPr>
          <w:p>
            <w:pPr>
              <w:pStyle w:val="TableHeader"/>
              <w:jc w:val="center"/>
              <w:widowControl/>
            </w:pPr>
            <w:r>
              <w:rPr>
                <w:rFonts w:ascii="Calibri" w:hAnsi="Calibri" w:cs="Calibri"/>
              </w:rPr>
              <w:t>Baseline</w:t>
            </w:r>
          </w:p>
        </w:tc>
        <w:tc>
          <w:tcPr>
            <w:tcW w:w="4860" w:type="dxa"/>
            <w:vAlign w:val="center"/>
            <w:shd w:val="clear" w:fill="E8EEF5"/>
          </w:tcPr>
          <w:p>
            <w:pPr>
              <w:pStyle w:val="TableHeader"/>
              <w:jc w:val="center"/>
              <w:widowControl/>
            </w:pPr>
            <w:r>
              <w:rPr>
                <w:rFonts w:ascii="Calibri" w:hAnsi="Calibri" w:cs="Calibri"/>
              </w:rPr>
              <w:t>Purpose</w:t>
            </w:r>
          </w:p>
        </w:tc>
      </w:tr>
      <w:tr>
        <w:trPr/>
        <w:tc>
          <w:tcPr>
            <w:tcW w:w="1000" w:type="dxa"/>
            <w:vAlign w:val="center"/>
          </w:tcPr>
          <w:p>
            <w:pPr>
              <w:pStyle w:val="TableText"/>
              <w:jc w:val="center"/>
              <w:widowControl/>
            </w:pPr>
            <w:r>
              <w:rPr>
                <w:rFonts w:ascii="Calibri" w:hAnsi="Calibri" w:cs="Calibri"/>
              </w:rPr>
              <w:t>1.3.0 P10B-10</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P10B-10 delivery</w:t>
            </w:r>
          </w:p>
        </w:tc>
        <w:tc>
          <w:tcPr>
            <w:tcW w:w="4860" w:type="dxa"/>
            <w:vAlign w:val="center"/>
          </w:tcPr>
          <w:p>
            <w:pPr>
              <w:pStyle w:val="TableText"/>
              <w:widowControl/>
            </w:pPr>
            <w:r>
              <w:rPr>
                <w:rFonts w:ascii="Calibri" w:hAnsi="Calibri" w:cs="Calibri"/>
              </w:rPr>
              <w:t>Establish four fingerprinted commercial collection/search PageBlueprint profiles with exact canonical commerce, product-card and media authority, transient fail-closed zero-result context,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P10B-11</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P10B-11 delivery</w:t>
            </w:r>
          </w:p>
        </w:tc>
        <w:tc>
          <w:tcPr>
            <w:tcW w:w="4860" w:type="dxa"/>
            <w:vAlign w:val="center"/>
          </w:tcPr>
          <w:p>
            <w:pPr>
              <w:pStyle w:val="TableText"/>
              <w:widowControl/>
            </w:pPr>
            <w:r>
              <w:rPr>
                <w:rFonts w:ascii="Calibri" w:hAnsi="Calibri" w:cs="Calibri"/>
              </w:rPr>
              <w:t>Establish four fingerprinted commercial PDP PageBlueprint profiles inside the canonical dynamic PDP runtime, retain generic canonical option/media/card authority, ground optional high-consideration support in approved evidence, preserve lifecycle/publishing, and provide four-width browser evidence.</w:t>
            </w:r>
          </w:p>
        </w:tc>
      </w:tr>
      <w:tr>
        <w:trPr/>
        <w:tc>
          <w:tcPr>
            <w:tcW w:w="1000" w:type="dxa"/>
            <w:vAlign w:val="center"/>
          </w:tcPr>
          <w:p>
            <w:pPr>
              <w:pStyle w:val="TableText"/>
              <w:jc w:val="center"/>
              <w:widowControl/>
            </w:pPr>
            <w:r>
              <w:rPr>
                <w:rFonts w:ascii="Calibri" w:hAnsi="Calibri" w:cs="Calibri"/>
              </w:rPr>
              <w:t>1.3.0 P10B-13</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P10B-13 delivery</w:t>
            </w:r>
          </w:p>
        </w:tc>
        <w:tc>
          <w:tcPr>
            <w:tcW w:w="4860" w:type="dxa"/>
            <w:vAlign w:val="center"/>
          </w:tcPr>
          <w:p>
            <w:pPr>
              <w:pStyle w:val="TableText"/>
              <w:widowControl/>
            </w:pPr>
            <w:r>
              <w:rPr>
                <w:rFonts w:ascii="Calibri" w:hAnsi="Calibri" w:cs="Calibri"/>
              </w:rPr>
              <w:t>Establish six fingerprinted commerce-utility PageBlueprint profiles plus route-local loading state with transient read-only cart/checkout/search/runtime state, fail-closed executable actions, snapshot configuration preservation, and retained four-width browser evidence.</w:t>
            </w:r>
          </w:p>
        </w:tc>
      </w:tr>
      <w:tr>
        <w:trPr/>
        <w:tc>
          <w:tcPr>
            <w:tcW w:w="1000" w:type="dxa"/>
            <w:vAlign w:val="center"/>
          </w:tcPr>
          <w:p>
            <w:pPr>
              <w:pStyle w:val="TableText"/>
              <w:jc w:val="center"/>
              <w:widowControl/>
            </w:pPr>
            <w:r>
              <w:rPr>
                <w:rFonts w:ascii="Calibri" w:hAnsi="Calibri" w:cs="Calibri"/>
              </w:rPr>
              <w:t>1.3.0 P10B-09</w:t>
            </w:r>
          </w:p>
        </w:tc>
        <w:tc>
          <w:tcPr>
            <w:tcW w:w="1500" w:type="dxa"/>
            <w:vAlign w:val="center"/>
          </w:tcPr>
          <w:p>
            <w:pPr>
              <w:pStyle w:val="TableText"/>
              <w:jc w:val="center"/>
              <w:widowControl/>
            </w:pPr>
            <w:r>
              <w:rPr>
                <w:rFonts w:ascii="Calibri" w:hAnsi="Calibri" w:cs="Calibri"/>
              </w:rPr>
              <w:t>9 August 2026</w:t>
            </w:r>
          </w:p>
        </w:tc>
        <w:tc>
          <w:tcPr>
            <w:tcW w:w="2000" w:type="dxa"/>
            <w:vAlign w:val="center"/>
          </w:tcPr>
          <w:p>
            <w:pPr>
              <w:pStyle w:val="TableText"/>
              <w:widowControl/>
            </w:pPr>
            <w:r>
              <w:rPr>
                <w:rFonts w:ascii="Calibri" w:hAnsi="Calibri" w:cs="Calibri"/>
              </w:rPr>
              <w:t>P10B-09 delivery</w:t>
            </w:r>
          </w:p>
        </w:tc>
        <w:tc>
          <w:tcPr>
            <w:tcW w:w="4860" w:type="dxa"/>
            <w:vAlign w:val="center"/>
          </w:tcPr>
          <w:p>
            <w:pPr>
              <w:pStyle w:val="TableText"/>
              <w:widowControl/>
            </w:pPr>
            <w:r>
              <w:rPr>
                <w:rFonts w:ascii="Calibri" w:hAnsi="Calibri" w:cs="Calibri"/>
              </w:rPr>
              <w:t>Establish six fingerprinted commercial homepage PageBlueprint profiles with evidence/cardinality authority, exact frame/story/card composition, deterministic lifecycle reachability, and retained four-width browser evidence.</w:t>
            </w:r>
          </w:p>
        </w:tc>
      </w:tr>
      <w:tr>
        <w:trPr/>
        <w:tc>
          <w:tcPr>
            <w:tcW w:w="1000" w:type="dxa"/>
            <w:vAlign w:val="center"/>
          </w:tcPr>
          <w:p>
            <w:pPr>
              <w:pStyle w:val="TableText"/>
              <w:jc w:val="center"/>
              <w:widowControl/>
            </w:pPr>
            <w:r>
              <w:rPr>
                <w:rFonts w:ascii="Calibri" w:hAnsi="Calibri" w:cs="Calibri"/>
              </w:rPr>
              <w:t>1.3.0 P10B-07</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P10B-07 delivery</w:t>
            </w:r>
          </w:p>
        </w:tc>
        <w:tc>
          <w:tcPr>
            <w:tcW w:w="4860" w:type="dxa"/>
            <w:vAlign w:val="center"/>
          </w:tcPr>
          <w:p>
            <w:pPr>
              <w:pStyle w:val="TableText"/>
              <w:widowControl/>
            </w:pPr>
            <w:r>
              <w:rPr>
                <w:rFonts w:ascii="Calibri" w:hAnsi="Calibri" w:cs="Calibri"/>
              </w:rPr>
              <w:t>Establish commercial-ready hero, editorial, campaign, service and evidence-grounded proof families with six meaningful hero anatomies, canonical art direction, PageBlueprint generation reachability, lifecycle preservation and four-width browser evidence.</w:t>
            </w:r>
          </w:p>
        </w:tc>
      </w:tr>
      <w:tr>
        <w:trPr/>
        <w:tc>
          <w:tcPr>
            <w:tcW w:w="1000" w:type="dxa"/>
            <w:vAlign w:val="center"/>
          </w:tcPr>
          <w:p>
            <w:pPr>
              <w:pStyle w:val="TableText"/>
              <w:jc w:val="center"/>
              <w:widowControl/>
            </w:pPr>
            <w:r>
              <w:rPr>
                <w:rFonts w:ascii="Calibri" w:hAnsi="Calibri" w:cs="Calibri"/>
              </w:rPr>
              <w:t>1.3.0 P10B-08</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P10B-08 delivery</w:t>
            </w:r>
          </w:p>
        </w:tc>
        <w:tc>
          <w:tcPr>
            <w:tcW w:w="4860" w:type="dxa"/>
            <w:vAlign w:val="center"/>
          </w:tcPr>
          <w:p>
            <w:pPr>
              <w:pStyle w:val="TableText"/>
              <w:widowControl/>
            </w:pPr>
            <w:r>
              <w:rPr>
                <w:rFonts w:ascii="Calibri" w:hAnsi="Calibri" w:cs="Calibri"/>
              </w:rPr>
              <w:t>Establish one fingerprinted product-card authority and renderer, five meaningful anatomies, exact protected-commerce and P10B-04 media lineage, deterministic legacy migration, generation/publish reachability, and four-width browser evidence.</w:t>
            </w:r>
          </w:p>
        </w:tc>
      </w:tr>
      <w:tr>
        <w:trPr/>
        <w:tc>
          <w:tcPr>
            <w:tcW w:w="1000" w:type="dxa"/>
            <w:vAlign w:val="center"/>
          </w:tcPr>
          <w:p>
            <w:pPr>
              <w:pStyle w:val="TableText"/>
              <w:jc w:val="center"/>
              <w:widowControl/>
            </w:pPr>
            <w:r>
              <w:rPr>
                <w:rFonts w:ascii="Calibri" w:hAnsi="Calibri" w:cs="Calibri"/>
              </w:rPr>
              <w:t>1.3.0 P10B-06</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P10B-06 delivery</w:t>
            </w:r>
          </w:p>
        </w:tc>
        <w:tc>
          <w:tcPr>
            <w:tcW w:w="4860" w:type="dxa"/>
            <w:vAlign w:val="center"/>
          </w:tcPr>
          <w:p>
            <w:pPr>
              <w:pStyle w:val="TableText"/>
              <w:widowControl/>
            </w:pPr>
            <w:r>
              <w:rPr>
                <w:rFonts w:ascii="Calibri" w:hAnsi="Calibri" w:cs="Calibri"/>
              </w:rPr>
              <w:t>Establish one canonical root shared-frame authority with four structural profiles, three mobile modes, four footer compositions, exact commercial-anatomy selection, cross-page/lifecycle preservation, and retained four-width browser evidence.</w:t>
            </w:r>
          </w:p>
        </w:tc>
      </w:tr>
      <w:tr>
        <w:trPr/>
        <w:tc>
          <w:tcPr>
            <w:tcW w:w="1000" w:type="dxa"/>
            <w:vAlign w:val="center"/>
          </w:tcPr>
          <w:p>
            <w:pPr>
              <w:pStyle w:val="TableText"/>
              <w:jc w:val="center"/>
              <w:widowControl/>
            </w:pPr>
            <w:r>
              <w:rPr>
                <w:rFonts w:ascii="Calibri" w:hAnsi="Calibri" w:cs="Calibri"/>
              </w:rPr>
              <w:t>1.3.0 P10B-04</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P10B-04 delivery</w:t>
            </w:r>
          </w:p>
        </w:tc>
        <w:tc>
          <w:tcPr>
            <w:tcW w:w="4860" w:type="dxa"/>
            <w:vAlign w:val="center"/>
          </w:tcPr>
          <w:p>
            <w:pPr>
              <w:pStyle w:val="TableText"/>
              <w:widowControl/>
            </w:pPr>
            <w:r>
              <w:rPr>
                <w:rFonts w:ascii="Calibri" w:hAnsi="Calibri" w:cs="Calibri"/>
              </w:rPr>
              <w:t>Establish one versioned responsive image/art-direction authority with exact lineage, normalized geometry, Design DNA/anatomy narrowing, protected product media, deterministic fallback/fingerprint/migration, shared semantic rendering, and four-width evidence.</w:t>
            </w:r>
          </w:p>
        </w:tc>
      </w:tr>
      <w:tr>
        <w:trPr/>
        <w:tc>
          <w:tcPr>
            <w:tcW w:w="1000" w:type="dxa"/>
            <w:vAlign w:val="center"/>
          </w:tcPr>
          <w:p>
            <w:pPr>
              <w:pStyle w:val="TableText"/>
              <w:jc w:val="center"/>
              <w:widowControl/>
            </w:pPr>
            <w:r>
              <w:rPr>
                <w:rFonts w:ascii="Calibri" w:hAnsi="Calibri" w:cs="Calibri"/>
              </w:rPr>
              <w:t>1.3.0 P10B-05</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P10B-05 delivery</w:t>
            </w:r>
          </w:p>
        </w:tc>
        <w:tc>
          <w:tcPr>
            <w:tcW w:w="4860" w:type="dxa"/>
            <w:vAlign w:val="center"/>
          </w:tcPr>
          <w:p>
            <w:pPr>
              <w:pStyle w:val="TableText"/>
              <w:widowControl/>
            </w:pPr>
            <w:r>
              <w:rPr>
                <w:rFonts w:ascii="Calibri" w:hAnsi="Calibri" w:cs="Calibri"/>
              </w:rPr>
              <w:t>Establish registered page-family, route, navigation, evidence, locale, shared-frame, deterministic site-map materialization, and lifecycle authority without a second page graph or component-anatomy claim.</w:t>
            </w:r>
          </w:p>
        </w:tc>
      </w:tr>
      <w:tr>
        <w:trPr/>
        <w:tc>
          <w:tcPr>
            <w:tcW w:w="1000" w:type="dxa"/>
            <w:vAlign w:val="center"/>
          </w:tcPr>
          <w:p>
            <w:pPr>
              <w:pStyle w:val="TableText"/>
              <w:jc w:val="center"/>
              <w:widowControl/>
            </w:pPr>
            <w:r>
              <w:rPr>
                <w:rFonts w:ascii="Calibri" w:hAnsi="Calibri" w:cs="Calibri"/>
              </w:rPr>
              <w:t>1.3.0 P10B-03</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P10B-03 delivery</w:t>
            </w:r>
          </w:p>
        </w:tc>
        <w:tc>
          <w:tcPr>
            <w:tcW w:w="4860" w:type="dxa"/>
            <w:vAlign w:val="center"/>
          </w:tcPr>
          <w:p>
            <w:pPr>
              <w:pStyle w:val="TableText"/>
              <w:widowControl/>
            </w:pPr>
            <w:r>
              <w:rPr>
                <w:rFonts w:ascii="Calibri" w:hAnsi="Calibri" w:cs="Calibri"/>
              </w:rPr>
              <w:t>Establish typed semantic anatomy, structural-difference validation, conservative complete registry classification, generated commercial-capability queries, and deterministic anatomy migration without falsely promoting current variants.</w:t>
            </w:r>
          </w:p>
        </w:tc>
      </w:tr>
      <w:tr>
        <w:trPr/>
        <w:tc>
          <w:tcPr>
            <w:tcW w:w="1000" w:type="dxa"/>
            <w:vAlign w:val="center"/>
          </w:tcPr>
          <w:p>
            <w:pPr>
              <w:pStyle w:val="TableText"/>
              <w:jc w:val="center"/>
              <w:widowControl/>
            </w:pPr>
            <w:r>
              <w:rPr>
                <w:rFonts w:ascii="Calibri" w:hAnsi="Calibri" w:cs="Calibri"/>
              </w:rPr>
              <w:t>1.3.0 P10B-02</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P10B-02 delivery</w:t>
            </w:r>
          </w:p>
        </w:tc>
        <w:tc>
          <w:tcPr>
            <w:tcW w:w="4860" w:type="dxa"/>
            <w:vAlign w:val="center"/>
          </w:tcPr>
          <w:p>
            <w:pPr>
              <w:pStyle w:val="TableText"/>
              <w:widowControl/>
            </w:pPr>
            <w:r>
              <w:rPr>
                <w:rFonts w:ascii="Calibri" w:hAnsi="Calibri" w:cs="Calibri"/>
              </w:rPr>
              <w:t>Establish canonical parametric Design DNA, deterministic legacy BrandSystem migration, semantic renderer projection, contrast-safe colour authority, and bounded cross-page foundations.</w:t>
            </w:r>
          </w:p>
        </w:tc>
      </w:tr>
      <w:tr>
        <w:trPr/>
        <w:tc>
          <w:tcPr>
            <w:tcW w:w="1000" w:type="dxa"/>
            <w:vAlign w:val="center"/>
          </w:tcPr>
          <w:p>
            <w:pPr>
              <w:pStyle w:val="TableText"/>
              <w:jc w:val="center"/>
              <w:widowControl/>
            </w:pPr>
            <w:r>
              <w:rPr>
                <w:rFonts w:ascii="Calibri" w:hAnsi="Calibri" w:cs="Calibri"/>
              </w:rPr>
              <w:t>1.3.0 P10B-01</w:t>
            </w:r>
          </w:p>
        </w:tc>
        <w:tc>
          <w:tcPr>
            <w:tcW w:w="1500" w:type="dxa"/>
            <w:vAlign w:val="center"/>
          </w:tcPr>
          <w:p>
            <w:pPr>
              <w:pStyle w:val="TableText"/>
              <w:jc w:val="center"/>
              <w:widowControl/>
            </w:pPr>
            <w:r>
              <w:rPr>
                <w:rFonts w:ascii="Calibri" w:hAnsi="Calibri" w:cs="Calibri"/>
              </w:rPr>
              <w:t>8 August 2026</w:t>
            </w:r>
          </w:p>
        </w:tc>
        <w:tc>
          <w:tcPr>
            <w:tcW w:w="2000" w:type="dxa"/>
            <w:vAlign w:val="center"/>
          </w:tcPr>
          <w:p>
            <w:pPr>
              <w:pStyle w:val="TableText"/>
              <w:widowControl/>
            </w:pPr>
            <w:r>
              <w:rPr>
                <w:rFonts w:ascii="Calibri" w:hAnsi="Calibri" w:cs="Calibri"/>
              </w:rPr>
              <w:t>P10B-01 delivery</w:t>
            </w:r>
          </w:p>
        </w:tc>
        <w:tc>
          <w:tcPr>
            <w:tcW w:w="4860" w:type="dxa"/>
            <w:vAlign w:val="center"/>
          </w:tcPr>
          <w:p>
            <w:pPr>
              <w:pStyle w:val="TableText"/>
              <w:widowControl/>
            </w:pPr>
            <w:r>
              <w:rPr>
                <w:rFonts w:ascii="Calibri" w:hAnsi="Calibri" w:cs="Calibri"/>
              </w:rPr>
              <w:t>Establish the closed, owned, narrowing-only commercial grammar, generated query authority, deterministic migration, compatibility language, and typed fail-closed evidence; make P10B Partial.</w:t>
            </w:r>
          </w:p>
        </w:tc>
      </w:tr>
      <w:tr>
        <w:trPr/>
        <w:tc>
          <w:tcPr>
            <w:tcW w:w="1000" w:type="dxa"/>
            <w:vAlign w:val="center"/>
          </w:tcPr>
          <w:p>
            <w:pPr>
              <w:pStyle w:val="TableText"/>
              <w:jc w:val="center"/>
              <w:widowControl/>
            </w:pPr>
            <w:r>
              <w:rPr>
                <w:rFonts w:ascii="Calibri" w:hAnsi="Calibri" w:cs="Calibri"/>
              </w:rPr>
              <w:t>1.3.0 P10B lock</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cd7b25a</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#171</w:t>
            </w:r>
          </w:p>
        </w:tc>
        <w:tc>
          <w:tcPr>
            <w:tcW w:w="4860" w:type="dxa"/>
            <w:vAlign w:val="center"/>
          </w:tcPr>
          <w:p>
            <w:pPr>
              <w:pStyle w:val="TableText"/>
              <w:widowControl/>
            </w:pPr>
            <w:r>
              <w:rPr>
                <w:rFonts w:ascii="Calibri" w:hAnsi="Calibri" w:cs="Calibri"/>
              </w:rPr>
              <w:t>Lock the complete-storefront generation architecture, broaden the P10B phase name, and replace its provisional 12-task plan with 18 implementation-ready tasks.</w:t>
            </w:r>
          </w:p>
        </w:tc>
      </w:tr>
      <w:tr>
        <w:trPr/>
        <w:tc>
          <w:tcPr>
            <w:tcW w:w="1000" w:type="dxa"/>
            <w:vAlign w:val="center"/>
          </w:tcPr>
          <w:p>
            <w:pPr>
              <w:pStyle w:val="TableText"/>
              <w:jc w:val="center"/>
              <w:widowControl/>
            </w:pPr>
            <w:r>
              <w:rPr>
                <w:rFonts w:ascii="Calibri" w:hAnsi="Calibri" w:cs="Calibri"/>
              </w:rPr>
              <w:t>1.3.0 closure sync</w:t>
            </w:r>
          </w:p>
        </w:tc>
        <w:tc>
          <w:tcPr>
            <w:tcW w:w="1500" w:type="dxa"/>
            <w:vAlign w:val="center"/>
          </w:tcPr>
          <w:p>
            <w:pPr>
              <w:pStyle w:val="TableText"/>
              <w:jc w:val="center"/>
              <w:widowControl/>
            </w:pPr>
            <w:r>
              <w:rPr>
                <w:rFonts w:ascii="Calibri" w:hAnsi="Calibri" w:cs="Calibri"/>
              </w:rPr>
              <w:t>7 August 2026</w:t>
            </w:r>
          </w:p>
        </w:tc>
        <w:tc>
          <w:tcPr>
            <w:tcW w:w="2000" w:type="dxa"/>
            <w:vAlign w:val="center"/>
          </w:tcPr>
          <w:p>
            <w:pPr>
              <w:pStyle w:val="TableText"/>
              <w:widowControl/>
            </w:pPr>
            <w:r>
              <w:rPr>
                <w:rFonts w:ascii="Consolas" w:hAnsi="Consolas" w:cs="Consolas"/>
                <w:sz w:val="19"/>
                <w:szCs w:val="19"/>
              </w:rPr>
              <w:t>3d36f54</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#170</w:t>
            </w:r>
          </w:p>
        </w:tc>
        <w:tc>
          <w:tcPr>
            <w:tcW w:w="4860" w:type="dxa"/>
            <w:vAlign w:val="center"/>
          </w:tcPr>
          <w:p>
            <w:pPr>
              <w:pStyle w:val="TableText"/>
              <w:widowControl/>
            </w:pPr>
            <w:r>
              <w:rPr>
                <w:rFonts w:ascii="Calibri" w:hAnsi="Calibri" w:cs="Calibri"/>
              </w:rPr>
              <w:t>Close P10A from current governed-provider, accepted-receipt, atomic-publication, rollback, and correlated publication evidence; make Planned P10B the next active phase.</w:t>
            </w:r>
          </w:p>
        </w:tc>
      </w:tr>
      <w:tr>
        <w:trPr/>
        <w:tc>
          <w:tcPr>
            <w:tcW w:w="1000" w:type="dxa"/>
            <w:vAlign w:val="center"/>
          </w:tcPr>
          <w:p>
            <w:pPr>
              <w:pStyle w:val="TableText"/>
              <w:jc w:val="center"/>
              <w:widowControl/>
            </w:pPr>
            <w:r>
              <w:rPr>
                <w:rFonts w:ascii="Calibri" w:hAnsi="Calibri" w:cs="Calibri"/>
              </w:rPr>
              <w:t>1.3.0</w:t>
            </w:r>
          </w:p>
        </w:tc>
        <w:tc>
          <w:tcPr>
            <w:tcW w:w="1500" w:type="dxa"/>
            <w:vAlign w:val="center"/>
          </w:tcPr>
          <w:p>
            <w:pPr>
              <w:pStyle w:val="TableText"/>
              <w:jc w:val="center"/>
              <w:widowControl/>
            </w:pPr>
            <w:r>
              <w:rPr>
                <w:rFonts w:ascii="Calibri" w:hAnsi="Calibri" w:cs="Calibri"/>
              </w:rPr>
              <w:t>6 August 2026</w:t>
            </w:r>
          </w:p>
        </w:tc>
        <w:tc>
          <w:tcPr>
            <w:tcW w:w="2000" w:type="dxa"/>
            <w:vAlign w:val="center"/>
          </w:tcPr>
          <w:p>
            <w:pPr>
              <w:pStyle w:val="TableText"/>
              <w:widowControl/>
            </w:pPr>
            <w:r>
              <w:rPr>
                <w:rFonts w:ascii="Consolas" w:hAnsi="Consolas" w:cs="Consolas"/>
                <w:sz w:val="19"/>
                <w:szCs w:val="19"/>
              </w:rPr>
              <w:t>27e08a0</w:t>
            </w:r>
            <w:r>
              <w:rPr>
                <w:rFonts w:ascii="Calibri" w:hAnsi="Calibri" w:cs="Calibri"/>
              </w:rPr>
              <w:t xml:space="preserve">, current </w:t>
            </w:r>
            <w:r>
              <w:rPr>
                <w:rFonts w:ascii="Consolas" w:hAnsi="Consolas" w:cs="Consolas"/>
                <w:sz w:val="19"/>
                <w:szCs w:val="19"/>
              </w:rPr>
              <w:t>main</w:t>
            </w:r>
            <w:r>
              <w:rPr>
                <w:rFonts w:ascii="Calibri" w:hAnsi="Calibri" w:cs="Calibri"/>
              </w:rPr>
              <w:t xml:space="preserve"> after merged PR #165</w:t>
            </w:r>
          </w:p>
        </w:tc>
        <w:tc>
          <w:tcPr>
            <w:tcW w:w="4860" w:type="dxa"/>
            <w:vAlign w:val="center"/>
          </w:tcPr>
          <w:p>
            <w:pPr>
              <w:pStyle w:val="TableText"/>
              <w:widowControl/>
            </w:pPr>
            <w:r>
              <w:rPr>
                <w:rFonts w:ascii="Calibri" w:hAnsi="Calibri" w:cs="Calibri"/>
              </w:rPr>
              <w:t>Consolidate verified product truth, current architecture, commercial-design work, Studio ownership, and Vesko contract readiness.</w:t>
            </w:r>
          </w:p>
        </w:tc>
      </w:tr>
      <w:tr>
        <w:trPr/>
        <w:tc>
          <w:tcPr>
            <w:tcW w:w="1000" w:type="dxa"/>
            <w:vAlign w:val="center"/>
          </w:tcPr>
          <w:p>
            <w:pPr>
              <w:pStyle w:val="TableText"/>
              <w:jc w:val="center"/>
              <w:widowControl/>
            </w:pPr>
            <w:r>
              <w:rPr>
                <w:rFonts w:ascii="Calibri" w:hAnsi="Calibri" w:cs="Calibri"/>
              </w:rPr>
              <w:t>1.2.2</w:t>
            </w:r>
          </w:p>
        </w:tc>
        <w:tc>
          <w:tcPr>
            <w:tcW w:w="1500" w:type="dxa"/>
            <w:vAlign w:val="center"/>
          </w:tcPr>
          <w:p>
            <w:pPr>
              <w:pStyle w:val="TableText"/>
              <w:jc w:val="center"/>
              <w:widowControl/>
            </w:pPr>
            <w:r>
              <w:rPr>
                <w:rFonts w:ascii="Calibri" w:hAnsi="Calibri" w:cs="Calibri"/>
              </w:rPr>
              <w:t>31 July 2026</w:t>
            </w:r>
          </w:p>
        </w:tc>
        <w:tc>
          <w:tcPr>
            <w:tcW w:w="2000" w:type="dxa"/>
            <w:vAlign w:val="center"/>
          </w:tcPr>
          <w:p>
            <w:pPr>
              <w:pStyle w:val="TableText"/>
              <w:widowControl/>
            </w:pPr>
            <w:r>
              <w:rPr>
                <w:rFonts w:ascii="Calibri" w:hAnsi="Calibri" w:cs="Calibri"/>
              </w:rPr>
              <w:t>Historical source and DOCX export</w:t>
            </w:r>
          </w:p>
        </w:tc>
        <w:tc>
          <w:tcPr>
            <w:tcW w:w="4860" w:type="dxa"/>
            <w:vAlign w:val="center"/>
          </w:tcPr>
          <w:p>
            <w:pPr>
              <w:pStyle w:val="TableText"/>
              <w:widowControl/>
            </w:pPr>
            <w:r>
              <w:rPr>
                <w:rFonts w:ascii="Calibri" w:hAnsi="Calibri" w:cs="Calibri"/>
              </w:rPr>
              <w:t>Preserve the earlier commercial-vocabulary amendment and its historical evidence context.</w:t>
            </w:r>
          </w:p>
        </w:tc>
      </w:tr>
    </w:tbl>
    <w:p>
      <w:pPr>
        <w:pStyle w:val="Normal"/>
        <w:widowControl/>
      </w:pPr>
    </w:p>
    <w:p>
      <w:pPr>
        <w:pStyle w:val="Normal"/>
        <w:widowControl/>
      </w:pPr>
      <w:r>
        <w:rPr>
          <w:rFonts w:ascii="Calibri" w:hAnsi="Calibri" w:cs="Calibri"/>
        </w:rPr>
        <w:t>This document replaces the v1.2.2 source specification as the consolidated statement of current product truth and approved architecture. Historical task reports and evidence records remain historical. They do not override current code, contracts, tests, accepted evidence, ADRs, this specification, or the current roadmap.</w:t>
      </w:r>
    </w:p>
    <w:p>
      <w:pPr>
        <w:pStyle w:val="Normal"/>
        <w:widowControl/>
      </w:pPr>
      <w:r>
        <w:rPr>
          <w:rFonts w:ascii="Calibri" w:hAnsi="Calibri" w:cs="Calibri"/>
        </w:rPr>
        <w:t xml:space="preserve">The synchronized human-readable export is </w:t>
      </w:r>
      <w:hyperlink r:id="rIdHyperlink3" w:history="1">
        <w:r>
          <w:rPr>
            <w:rFonts w:ascii="Calibri" w:hAnsi="Calibri" w:cs="Calibri"/>
            <w:color w:val="2E74B5"/>
            <w:u w:val="single"/>
          </w:rPr>
          <w:t>VESKIFY_SDD_v1.3.0.docx</w:t>
        </w:r>
      </w:hyperlink>
      <w:r>
        <w:rPr>
          <w:rFonts w:ascii="Calibri" w:hAnsi="Calibri" w:cs="Calibri"/>
        </w:rPr>
        <w:t xml:space="preserve">. The superseded v1.2.2 export is retained only as </w:t>
      </w:r>
      <w:hyperlink r:id="rIdHyperlink4" w:history="1">
        <w:r>
          <w:rPr>
            <w:rFonts w:ascii="Calibri" w:hAnsi="Calibri" w:cs="Calibri"/>
            <w:color w:val="2E74B5"/>
            <w:u w:val="single"/>
          </w:rPr>
          <w:t>archive/VESKIFY_SDD_v1.2.2.docx</w:t>
        </w:r>
      </w:hyperlink>
      <w:r>
        <w:rPr>
          <w:rFonts w:ascii="Calibri" w:hAnsi="Calibri" w:cs="Calibri"/>
        </w:rPr>
        <w:t xml:space="preserve"> historical evidence.</w:t>
      </w:r>
    </w:p>
    <w:p>
      <w:pPr>
        <w:pStyle w:val="Heading2"/>
        <w:keepNext/>
        <w:widowControl/>
      </w:pPr>
      <w:r>
        <w:rPr>
          <w:rFonts w:ascii="Calibri" w:hAnsi="Calibri" w:cs="Calibri"/>
        </w:rPr>
        <w:t>1.1 Status and evidence vocabulary</w:t>
      </w:r>
    </w:p>
    <w:p>
      <w:pPr>
        <w:pStyle w:val="Normal"/>
        <w:widowControl/>
      </w:pPr>
      <w:r>
        <w:rPr>
          <w:rFonts w:ascii="Calibri" w:hAnsi="Calibri" w:cs="Calibri"/>
        </w:rPr>
        <w:t>Every capability uses exactly one implementation status:</w:t>
      </w:r>
    </w:p>
    <w:p>
      <w:pPr>
        <w:pStyle w:val="Normal"/>
        <w:numPr>
          <w:ilvl w:val="0"/>
          <w:numId w:val="1"/>
        </w:numPr>
        <w:widowControl/>
      </w:pPr>
      <w:r>
        <w:rPr>
          <w:rFonts w:ascii="Calibri" w:hAnsi="Calibri" w:cs="Calibri"/>
          <w:b/>
          <w:bCs/>
        </w:rPr>
        <w:t>Baseline</w:t>
      </w:r>
      <w:r>
        <w:rPr>
          <w:rFonts w:ascii="Calibri" w:hAnsi="Calibri" w:cs="Calibri"/>
        </w:rPr>
        <w:t xml:space="preserve"> — implemented through the canonical lifecycle with sufficient evidence for its stated outcome;</w:t>
      </w:r>
    </w:p>
    <w:p>
      <w:pPr>
        <w:pStyle w:val="Normal"/>
        <w:numPr>
          <w:ilvl w:val="0"/>
          <w:numId w:val="1"/>
        </w:numPr>
        <w:widowControl/>
      </w:pPr>
      <w:r>
        <w:rPr>
          <w:rFonts w:ascii="Calibri" w:hAnsi="Calibri" w:cs="Calibri"/>
          <w:b/>
          <w:bCs/>
        </w:rPr>
        <w:t>Partial</w:t>
      </w:r>
      <w:r>
        <w:rPr>
          <w:rFonts w:ascii="Calibri" w:hAnsi="Calibri" w:cs="Calibri"/>
        </w:rPr>
        <w:t xml:space="preserve"> — real implementation exists, but merchant delivery, reachability, or required evidence is incomplete;</w:t>
      </w:r>
    </w:p>
    <w:p>
      <w:pPr>
        <w:pStyle w:val="Normal"/>
        <w:numPr>
          <w:ilvl w:val="0"/>
          <w:numId w:val="1"/>
        </w:numPr>
        <w:widowControl/>
      </w:pPr>
      <w:r>
        <w:rPr>
          <w:rFonts w:ascii="Calibri" w:hAnsi="Calibri" w:cs="Calibri"/>
          <w:b/>
          <w:bCs/>
        </w:rPr>
        <w:t>Planned</w:t>
      </w:r>
      <w:r>
        <w:rPr>
          <w:rFonts w:ascii="Calibri" w:hAnsi="Calibri" w:cs="Calibri"/>
        </w:rPr>
        <w:t xml:space="preserve"> — approved future work without a current implementation claim;</w:t>
      </w:r>
    </w:p>
    <w:p>
      <w:pPr>
        <w:pStyle w:val="Normal"/>
        <w:numPr>
          <w:ilvl w:val="0"/>
          <w:numId w:val="1"/>
        </w:numPr>
        <w:widowControl/>
      </w:pPr>
      <w:r>
        <w:rPr>
          <w:rFonts w:ascii="Calibri" w:hAnsi="Calibri" w:cs="Calibri"/>
          <w:b/>
          <w:bCs/>
        </w:rPr>
        <w:t>Deprecated</w:t>
      </w:r>
      <w:r>
        <w:rPr>
          <w:rFonts w:ascii="Calibri" w:hAnsi="Calibri" w:cs="Calibri"/>
        </w:rPr>
        <w:t xml:space="preserve"> — compatibility-only implementation intended for retirement or migration;</w:t>
      </w:r>
    </w:p>
    <w:p>
      <w:pPr>
        <w:pStyle w:val="Normal"/>
        <w:numPr>
          <w:ilvl w:val="0"/>
          <w:numId w:val="1"/>
        </w:numPr>
        <w:widowControl/>
      </w:pPr>
      <w:r>
        <w:rPr>
          <w:rFonts w:ascii="Calibri" w:hAnsi="Calibri" w:cs="Calibri"/>
          <w:b/>
          <w:bCs/>
        </w:rPr>
        <w:t>Blocked</w:t>
      </w:r>
      <w:r>
        <w:rPr>
          <w:rFonts w:ascii="Calibri" w:hAnsi="Calibri" w:cs="Calibri"/>
        </w:rPr>
        <w:t xml:space="preserve"> — unsafe to proceed without an unresolved authority, contract, or external system.</w:t>
      </w:r>
    </w:p>
    <w:p>
      <w:pPr>
        <w:pStyle w:val="Normal"/>
        <w:widowControl/>
      </w:pPr>
      <w:r>
        <w:rPr>
          <w:rFonts w:ascii="Calibri" w:hAnsi="Calibri" w:cs="Calibri"/>
        </w:rPr>
        <w:t>Evidence is classified separately as contract/schema, deterministic unit, integration, browser/E2E, real-provider, retained human visual review, Vesko staging, or production. A higher implementation status does not manufacture a stronger evidence level. Deterministic fixtures are not real-provider, human visual, staging, or production evidence.</w:t>
      </w:r>
    </w:p>
    <w:p>
      <w:pPr>
        <w:pStyle w:val="Heading1"/>
        <w:keepNext/>
        <w:widowControl/>
      </w:pPr>
      <w:r>
        <w:rPr>
          <w:rFonts w:ascii="Calibri" w:hAnsi="Calibri" w:cs="Calibri"/>
        </w:rPr>
        <w:t>2. Executive product truth</w:t>
      </w:r>
    </w:p>
    <w:p>
      <w:pPr>
        <w:pStyle w:val="Normal"/>
        <w:widowControl/>
      </w:pPr>
      <w:r>
        <w:rPr>
          <w:rFonts w:ascii="Calibri" w:hAnsi="Calibri" w:cs="Calibri"/>
        </w:rPr>
        <w:t>Veskify is a controlled storefront-design engine. It is not a general website generator and not a commerce system. The repository contains a substantial deterministic foundation: canonical storefront state, registered capabilities, PageBlueprint materialization, governed initial and follow-up proposal execution, strict internal scope authority, editing adapters, history, draft persistence, an authoritative publishing gateway, a deterministic publish compiler, and published home, collection, and product-detail rendering.</w:t>
      </w:r>
    </w:p>
    <w:p>
      <w:pPr>
        <w:pStyle w:val="Normal"/>
        <w:widowControl/>
      </w:pPr>
      <w:r>
        <w:rPr>
          <w:rFonts w:ascii="Calibri" w:hAnsi="Calibri" w:cs="Calibri"/>
        </w:rPr>
        <w:t xml:space="preserve">The product remains </w:t>
      </w:r>
      <w:r>
        <w:rPr>
          <w:rFonts w:ascii="Calibri" w:hAnsi="Calibri" w:cs="Calibri"/>
          <w:b/>
          <w:bCs/>
        </w:rPr>
        <w:t>Partial</w:t>
      </w:r>
      <w:r>
        <w:rPr>
          <w:rFonts w:ascii="Calibri" w:hAnsi="Calibri" w:cs="Calibri"/>
        </w:rPr>
        <w:t xml:space="preserve">. Phase 9 is closed by product-owner handoff, and P10A grounded orchestration and publishing is </w:t>
      </w:r>
      <w:r>
        <w:rPr>
          <w:rFonts w:ascii="Calibri" w:hAnsi="Calibri" w:cs="Calibri"/>
          <w:b/>
          <w:bCs/>
        </w:rPr>
        <w:t>Baseline / closed</w:t>
      </w:r>
      <w:r>
        <w:rPr>
          <w:rFonts w:ascii="Calibri" w:hAnsi="Calibri" w:cs="Calibri"/>
        </w:rPr>
        <w:t xml:space="preserve"> under the formal </w:t>
      </w:r>
      <w:hyperlink r:id="rIdHyperlink5" w:history="1">
        <w:r>
          <w:rPr>
            <w:rFonts w:ascii="Calibri" w:hAnsi="Calibri" w:cs="Calibri"/>
            <w:color w:val="2E74B5"/>
            <w:u w:val="single"/>
          </w:rPr>
          <w:t>P10A_PHASE_CLOSURE.md</w:t>
        </w:r>
      </w:hyperlink>
      <w:r>
        <w:rPr>
          <w:rFonts w:ascii="Calibri" w:hAnsi="Calibri" w:cs="Calibri"/>
        </w:rPr>
        <w:t xml:space="preserve"> exit audit. P10B is now </w:t>
      </w:r>
      <w:r>
        <w:rPr>
          <w:rFonts w:ascii="Calibri" w:hAnsi="Calibri" w:cs="Calibri"/>
          <w:b/>
          <w:bCs/>
        </w:rPr>
        <w:t>Partial / active</w:t>
      </w:r>
      <w:r>
        <w:rPr>
          <w:rFonts w:ascii="Calibri" w:hAnsi="Calibri" w:cs="Calibri"/>
        </w:rPr>
        <w:t>: P10B-01 commercial grammar, P10B-02 parametric BrandSystem / Design DNA, P10B-03 component anatomy, P10B-04 responsive image/art-direction authority, P10B-05 site-map/page-family authority, P10B-06 commercial shared-frame families, P10B-07 hero/editorial/campaign/proof families, P10B-08 canonical product-card authority, P10B-09 commercial homepage profiles, and P10B-10 commercial collection/search profiles, P10B-11 commercial PDP profiles, and P10B-13 commerce utility presentation are Baseline. P10B-12 and P10B-14 through P10B-18 remain Planned. The current merchant editor does not yet expose the governed routing and scoped editing authorities; that is intentionally P10C work, not a P10A closure requirement.</w:t>
      </w:r>
    </w:p>
    <w:p>
      <w:pPr>
        <w:pStyle w:val="Normal"/>
        <w:widowControl/>
      </w:pPr>
      <w:r>
        <w:rPr>
          <w:rFonts w:ascii="Calibri" w:hAnsi="Calibri" w:cs="Calibri"/>
        </w:rPr>
        <w:t>The current visual ceiling is a clean, responsive catalogue storefront with useful commerce depth but limited brand distinction. P10B is the first phase allowed to claim a commercially credible generation system. The next major customer milestone is:</w:t>
      </w:r>
    </w:p>
    <w:p>
      <w:pPr>
        <w:pStyle w:val="Quote"/>
        <w:ind w:left="360"/>
        <w:pBdr>
          <w:left w:val="single" w:sz="18" w:space="12" w:color="2E74B5"/>
        </w:pBdr>
        <w:shd w:val="clear" w:fill="F4F6F9"/>
        <w:widowControl/>
      </w:pPr>
      <w:r>
        <w:rPr>
          <w:rFonts w:ascii="Calibri" w:hAnsi="Calibri" w:cs="Calibri"/>
        </w:rPr>
        <w:t>Generate a complete storefront that a serious retailer can publish without a designer rebuilding it.</w:t>
      </w:r>
    </w:p>
    <w:p>
      <w:pPr>
        <w:pStyle w:val="Normal"/>
        <w:widowControl/>
      </w:pPr>
      <w:r>
        <w:rPr>
          <w:rFonts w:ascii="Calibri" w:hAnsi="Calibri" w:cs="Calibri"/>
        </w:rPr>
        <w:t>Vesko's OpenAPI 3.0 contract has been obtained and audited. It exposes useful store, catalogue, media, inventory, Puck, and storefront product surfaces, but is insufficient for safe production integration. Typed responses, security and tenancy authority, revision semantics, navigation and synchronization contracts, and canonical Veskify draft/history/publication APIs remain unresolved. There is no Vesko staging or production evidence.</w:t>
      </w:r>
    </w:p>
    <w:p>
      <w:pPr>
        <w:pStyle w:val="Heading1"/>
        <w:keepNext/>
        <w:widowControl/>
      </w:pPr>
      <w:r>
        <w:rPr>
          <w:rFonts w:ascii="Calibri" w:hAnsi="Calibri" w:cs="Calibri"/>
        </w:rPr>
        <w:t>3. Mission and product boundary</w:t>
      </w:r>
    </w:p>
    <w:p>
      <w:pPr>
        <w:pStyle w:val="Heading2"/>
        <w:keepNext/>
        <w:widowControl/>
      </w:pPr>
      <w:r>
        <w:rPr>
          <w:rFonts w:ascii="Calibri" w:hAnsi="Calibri" w:cs="Calibri"/>
        </w:rPr>
        <w:t>3.1 Mission</w:t>
      </w:r>
    </w:p>
    <w:p>
      <w:pPr>
        <w:pStyle w:val="Normal"/>
        <w:widowControl/>
      </w:pPr>
      <w:r>
        <w:rPr>
          <w:rFonts w:ascii="Calibri" w:hAnsi="Calibri" w:cs="Calibri"/>
        </w:rPr>
        <w:t>Vesko Storefront Studio lets a retailer combine approved website and brand evidence, product media, and canonical Vesko commerce data; approve a storefront brief; generate and improve a complete storefront through controlled edits; and explicitly save, preview, and publish it.</w:t>
      </w:r>
    </w:p>
    <w:p>
      <w:pPr>
        <w:pStyle w:val="Normal"/>
        <w:widowControl/>
      </w:pPr>
      <w:r>
        <w:rPr>
          <w:rFonts w:ascii="Calibri" w:hAnsi="Calibri" w:cs="Calibri"/>
        </w:rPr>
        <w:t>The product reduces the design and composition burden of Vesko onboarding. It serves merchants who may have a logo and product imagery but no complete design system. Jewellery and watches remain the first deep reference domain, while the architecture must safely support unknown product types.</w:t>
      </w:r>
    </w:p>
    <w:p>
      <w:pPr>
        <w:pStyle w:val="Heading2"/>
        <w:keepNext/>
        <w:widowControl/>
      </w:pPr>
      <w:r>
        <w:rPr>
          <w:rFonts w:ascii="Calibri" w:hAnsi="Calibri" w:cs="Calibri"/>
        </w:rPr>
        <w:t>3.2 Veskify authority</w:t>
      </w:r>
    </w:p>
    <w:p>
      <w:pPr>
        <w:pStyle w:val="Normal"/>
        <w:widowControl/>
      </w:pPr>
      <w:r>
        <w:rPr>
          <w:rFonts w:ascii="Calibri" w:hAnsi="Calibri" w:cs="Calibri"/>
        </w:rPr>
        <w:t>Veskify owns storefront creation, presentation, and composition:</w:t>
      </w:r>
    </w:p>
    <w:p>
      <w:pPr>
        <w:pStyle w:val="Normal"/>
        <w:numPr>
          <w:ilvl w:val="0"/>
          <w:numId w:val="1"/>
        </w:numPr>
        <w:widowControl/>
      </w:pPr>
      <w:r>
        <w:rPr>
          <w:rFonts w:ascii="Calibri" w:hAnsi="Calibri" w:cs="Calibri"/>
        </w:rPr>
        <w:t>site-map decisions, page creation, routes, navigation, shared frame, projects, brand systems, pages, sections, snapshots, drafts, and history;</w:t>
      </w:r>
    </w:p>
    <w:p>
      <w:pPr>
        <w:pStyle w:val="Normal"/>
        <w:numPr>
          <w:ilvl w:val="0"/>
          <w:numId w:val="1"/>
        </w:numPr>
        <w:widowControl/>
      </w:pPr>
      <w:r>
        <w:rPr>
          <w:rFonts w:ascii="Calibri" w:hAnsi="Calibri" w:cs="Calibri"/>
        </w:rPr>
        <w:t>homepage, collection/category, PDP, About/brand-story, Contact/locations, FAQ, shipping/returns/policy, campaign/editorial, generic content, search/results, cart, checkout, empty, error, and 404 presentation;</w:t>
      </w:r>
    </w:p>
    <w:p>
      <w:pPr>
        <w:pStyle w:val="Normal"/>
        <w:numPr>
          <w:ilvl w:val="0"/>
          <w:numId w:val="1"/>
        </w:numPr>
        <w:widowControl/>
      </w:pPr>
      <w:r>
        <w:rPr>
          <w:rFonts w:ascii="Calibri" w:hAnsi="Calibri" w:cs="Calibri"/>
        </w:rPr>
        <w:t>registered component families, meaningful variants, slots, and bounded parameters;</w:t>
      </w:r>
    </w:p>
    <w:p>
      <w:pPr>
        <w:pStyle w:val="Normal"/>
        <w:numPr>
          <w:ilvl w:val="0"/>
          <w:numId w:val="1"/>
        </w:numPr>
        <w:widowControl/>
      </w:pPr>
      <w:r>
        <w:rPr>
          <w:rFonts w:ascii="Calibri" w:hAnsi="Calibri" w:cs="Calibri"/>
        </w:rPr>
        <w:t>PageBlueprints and registered profiles;</w:t>
      </w:r>
    </w:p>
    <w:p>
      <w:pPr>
        <w:pStyle w:val="Normal"/>
        <w:numPr>
          <w:ilvl w:val="0"/>
          <w:numId w:val="1"/>
        </w:numPr>
        <w:widowControl/>
      </w:pPr>
      <w:r>
        <w:rPr>
          <w:rFonts w:ascii="Calibri" w:hAnsi="Calibri" w:cs="Calibri"/>
        </w:rPr>
        <w:t>presentation bindings and product-presentation contexts;</w:t>
      </w:r>
    </w:p>
    <w:p>
      <w:pPr>
        <w:pStyle w:val="Normal"/>
        <w:numPr>
          <w:ilvl w:val="0"/>
          <w:numId w:val="1"/>
        </w:numPr>
        <w:widowControl/>
      </w:pPr>
      <w:r>
        <w:rPr>
          <w:rFonts w:ascii="Calibri" w:hAnsi="Calibri" w:cs="Calibri"/>
        </w:rPr>
        <w:t>source evidence, asset inventory, approved asset roles, and storefront design briefs;</w:t>
      </w:r>
    </w:p>
    <w:p>
      <w:pPr>
        <w:pStyle w:val="Normal"/>
        <w:numPr>
          <w:ilvl w:val="0"/>
          <w:numId w:val="1"/>
        </w:numPr>
        <w:widowControl/>
      </w:pPr>
      <w:r>
        <w:rPr>
          <w:rFonts w:ascii="Calibri" w:hAnsi="Calibri" w:cs="Calibri"/>
        </w:rPr>
        <w:t>governed storefront synthesis, skills, plans, operations, proposals, acceptance, and restoration;</w:t>
      </w:r>
    </w:p>
    <w:p>
      <w:pPr>
        <w:pStyle w:val="Normal"/>
        <w:numPr>
          <w:ilvl w:val="0"/>
          <w:numId w:val="1"/>
        </w:numPr>
        <w:widowControl/>
      </w:pPr>
      <w:r>
        <w:rPr>
          <w:rFonts w:ascii="Calibri" w:hAnsi="Calibri" w:cs="Calibri"/>
        </w:rPr>
        <w:t>deterministic publication compilation and Veskify publication authority;</w:t>
      </w:r>
    </w:p>
    <w:p>
      <w:pPr>
        <w:pStyle w:val="Normal"/>
        <w:numPr>
          <w:ilvl w:val="0"/>
          <w:numId w:val="1"/>
        </w:numPr>
        <w:widowControl/>
      </w:pPr>
      <w:r>
        <w:rPr>
          <w:rFonts w:ascii="Calibri" w:hAnsi="Calibri" w:cs="Calibri"/>
        </w:rPr>
        <w:t>editor, preview, and published-renderer projections.</w:t>
      </w:r>
    </w:p>
    <w:p>
      <w:pPr>
        <w:pStyle w:val="Heading2"/>
        <w:keepNext/>
        <w:widowControl/>
      </w:pPr>
      <w:r>
        <w:rPr>
          <w:rFonts w:ascii="Calibri" w:hAnsi="Calibri" w:cs="Calibri"/>
        </w:rPr>
        <w:t>3.3 Vesko authority</w:t>
      </w:r>
    </w:p>
    <w:p>
      <w:pPr>
        <w:pStyle w:val="Normal"/>
        <w:widowControl/>
      </w:pPr>
      <w:r>
        <w:rPr>
          <w:rFonts w:ascii="Calibri" w:hAnsi="Calibri" w:cs="Calibri"/>
        </w:rPr>
        <w:t>Vesko owns operational commerce and sellability. Veskify consumes these facts read-only and must never mutate or replace:</w:t>
      </w:r>
    </w:p>
    <w:p>
      <w:pPr>
        <w:pStyle w:val="Normal"/>
        <w:numPr>
          <w:ilvl w:val="0"/>
          <w:numId w:val="1"/>
        </w:numPr>
        <w:widowControl/>
      </w:pPr>
      <w:r>
        <w:rPr>
          <w:rFonts w:ascii="Calibri" w:hAnsi="Calibri" w:cs="Calibri"/>
        </w:rPr>
        <w:t>product, variant, option, and SKU identity;</w:t>
      </w:r>
    </w:p>
    <w:p>
      <w:pPr>
        <w:pStyle w:val="Normal"/>
        <w:numPr>
          <w:ilvl w:val="0"/>
          <w:numId w:val="1"/>
        </w:numPr>
        <w:widowControl/>
      </w:pPr>
      <w:r>
        <w:rPr>
          <w:rFonts w:ascii="Calibri" w:hAnsi="Calibri" w:cs="Calibri"/>
        </w:rPr>
        <w:t>canonical product type and attributes;</w:t>
      </w:r>
    </w:p>
    <w:p>
      <w:pPr>
        <w:pStyle w:val="Normal"/>
        <w:numPr>
          <w:ilvl w:val="0"/>
          <w:numId w:val="1"/>
        </w:numPr>
        <w:widowControl/>
      </w:pPr>
      <w:r>
        <w:rPr>
          <w:rFonts w:ascii="Calibri" w:hAnsi="Calibri" w:cs="Calibri"/>
        </w:rPr>
        <w:t>price, compare-at price, stock, availability, and inventory;</w:t>
      </w:r>
    </w:p>
    <w:p>
      <w:pPr>
        <w:pStyle w:val="Normal"/>
        <w:numPr>
          <w:ilvl w:val="0"/>
          <w:numId w:val="1"/>
        </w:numPr>
        <w:widowControl/>
      </w:pPr>
      <w:r>
        <w:rPr>
          <w:rFonts w:ascii="Calibri" w:hAnsi="Calibri" w:cs="Calibri"/>
        </w:rPr>
        <w:t>canonical product and variant media;</w:t>
      </w:r>
    </w:p>
    <w:p>
      <w:pPr>
        <w:pStyle w:val="Normal"/>
        <w:numPr>
          <w:ilvl w:val="0"/>
          <w:numId w:val="1"/>
        </w:numPr>
        <w:widowControl/>
      </w:pPr>
      <w:r>
        <w:rPr>
          <w:rFonts w:ascii="Calibri" w:hAnsi="Calibri" w:cs="Calibri"/>
        </w:rPr>
        <w:t>cart and checkout operations, orders, payments, shipping, tax, returns, logistics, and merchant/store operational facts.</w:t>
      </w:r>
    </w:p>
    <w:p>
      <w:pPr>
        <w:pStyle w:val="Normal"/>
        <w:widowControl/>
      </w:pPr>
      <w:r>
        <w:rPr>
          <w:rFonts w:ascii="Calibri" w:hAnsi="Calibri" w:cs="Calibri"/>
        </w:rPr>
        <w:t>Public source evidence can inform presentation but cannot override Vesko commerce truth. Generated copy must not invent materials, certifications, policies, service claims, guarantees, delivery promises, compliance facts, availability, or price facts. Legal/policy/service presentation requires approved merchant or Vesko evidence.</w:t>
      </w:r>
    </w:p>
    <w:p>
      <w:pPr>
        <w:pStyle w:val="Heading2"/>
        <w:keepNext/>
        <w:widowControl/>
      </w:pPr>
      <w:r>
        <w:rPr>
          <w:rFonts w:ascii="Calibri" w:hAnsi="Calibri" w:cs="Calibri"/>
        </w:rPr>
        <w:t>3.4 Explicit product boundary</w:t>
      </w:r>
    </w:p>
    <w:p>
      <w:pPr>
        <w:pStyle w:val="Normal"/>
        <w:widowControl/>
      </w:pPr>
      <w:r>
        <w:rPr>
          <w:rFonts w:ascii="Calibri" w:hAnsi="Calibri" w:cs="Calibri"/>
        </w:rPr>
        <w:t>Veskify is not a catalogue importer, product-information manager, inventory agent, arbitrary code generator, merchant-specific component factory, unrestricted CMS, or replacement for Vesko services. AI may select and parameterize registered authority. It may not generate executable React, HTML, CSS, JavaScript, scripts, shaders, or arbitrary Three.js implementations.</w:t>
      </w:r>
    </w:p>
    <w:p>
      <w:pPr>
        <w:pStyle w:val="Heading1"/>
        <w:keepNext/>
        <w:widowControl/>
      </w:pPr>
      <w:r>
        <w:rPr>
          <w:rFonts w:ascii="Calibri" w:hAnsi="Calibri" w:cs="Calibri"/>
        </w:rPr>
        <w:t>4. Canonical architecture</w:t>
      </w:r>
    </w:p>
    <w:p>
      <w:pPr>
        <w:pStyle w:val="Heading2"/>
        <w:keepNext/>
        <w:widowControl/>
      </w:pPr>
      <w:r>
        <w:rPr>
          <w:rFonts w:ascii="Calibri" w:hAnsi="Calibri" w:cs="Calibri"/>
        </w:rPr>
        <w:t>4.1 Authority flow</w:t>
      </w:r>
    </w:p>
    <w:p>
      <w:pPr>
        <w:pStyle w:val="Normal"/>
        <w:widowControl/>
      </w:pPr>
      <w:r>
        <w:rPr>
          <w:rFonts w:ascii="Calibri" w:hAnsi="Calibri" w:cs="Calibri"/>
        </w:rPr>
        <w:t>The canonical storefront lifecycle is:</w:t>
      </w:r>
    </w:p>
    <w:p>
      <w:pPr>
        <w:pStyle w:val="CodeBlock"/>
        <w:shd w:val="clear" w:fill="F4F6F9"/>
        <w:ind w:left="180" w:right="180"/>
        <w:widowControl/>
      </w:pPr>
      <w:r>
        <w:rPr>
          <w:rFonts w:ascii="Consolas" w:hAnsi="Consolas" w:cs="Consolas"/>
          <w:sz w:val="19"/>
          <w:szCs w:val="19"/>
        </w:rPr>
        <w:t>approved evidence and read-only Vesko commerce</w:t>
      </w:r>
    </w:p>
    <w:p>
      <w:pPr>
        <w:pStyle w:val="CodeBlock"/>
        <w:shd w:val="clear" w:fill="F4F6F9"/>
        <w:ind w:left="180" w:right="180"/>
        <w:widowControl/>
      </w:pPr>
      <w:r>
        <w:rPr>
          <w:rFonts w:ascii="Consolas" w:hAnsi="Consolas" w:cs="Consolas"/>
          <w:sz w:val="19"/>
          <w:szCs w:val="19"/>
        </w:rPr>
        <w:t xml:space="preserve">  → Veskify site-map and page-set decision</w:t>
      </w:r>
    </w:p>
    <w:p>
      <w:pPr>
        <w:pStyle w:val="CodeBlock"/>
        <w:shd w:val="clear" w:fill="F4F6F9"/>
        <w:ind w:left="180" w:right="180"/>
        <w:widowControl/>
      </w:pPr>
      <w:r>
        <w:rPr>
          <w:rFonts w:ascii="Consolas" w:hAnsi="Consolas" w:cs="Consolas"/>
          <w:sz w:val="19"/>
          <w:szCs w:val="19"/>
        </w:rPr>
        <w:t xml:space="preserve">  → bounded BrandSystem / Design DNA</w:t>
      </w:r>
    </w:p>
    <w:p>
      <w:pPr>
        <w:pStyle w:val="CodeBlock"/>
        <w:shd w:val="clear" w:fill="F4F6F9"/>
        <w:ind w:left="180" w:right="180"/>
        <w:widowControl/>
      </w:pPr>
      <w:r>
        <w:rPr>
          <w:rFonts w:ascii="Consolas" w:hAnsi="Consolas" w:cs="Consolas"/>
          <w:sz w:val="19"/>
          <w:szCs w:val="19"/>
        </w:rPr>
        <w:t xml:space="preserve">  → registered PageBlueprint profile per page</w:t>
      </w:r>
    </w:p>
    <w:p>
      <w:pPr>
        <w:pStyle w:val="CodeBlock"/>
        <w:shd w:val="clear" w:fill="F4F6F9"/>
        <w:ind w:left="180" w:right="180"/>
        <w:widowControl/>
      </w:pPr>
      <w:r>
        <w:rPr>
          <w:rFonts w:ascii="Consolas" w:hAnsi="Consolas" w:cs="Consolas"/>
          <w:sz w:val="19"/>
          <w:szCs w:val="19"/>
        </w:rPr>
        <w:t xml:space="preserve">  → compatible component family and meaningful structural variant</w:t>
      </w:r>
    </w:p>
    <w:p>
      <w:pPr>
        <w:pStyle w:val="CodeBlock"/>
        <w:shd w:val="clear" w:fill="F4F6F9"/>
        <w:ind w:left="180" w:right="180"/>
        <w:widowControl/>
      </w:pPr>
      <w:r>
        <w:rPr>
          <w:rFonts w:ascii="Consolas" w:hAnsi="Consolas" w:cs="Consolas"/>
          <w:sz w:val="19"/>
          <w:szCs w:val="19"/>
        </w:rPr>
        <w:t xml:space="preserve">  → bounded validated parameters</w:t>
      </w:r>
    </w:p>
    <w:p>
      <w:pPr>
        <w:pStyle w:val="CodeBlock"/>
        <w:shd w:val="clear" w:fill="F4F6F9"/>
        <w:ind w:left="180" w:right="180"/>
        <w:widowControl/>
      </w:pPr>
      <w:r>
        <w:rPr>
          <w:rFonts w:ascii="Consolas" w:hAnsi="Consolas" w:cs="Consolas"/>
          <w:sz w:val="19"/>
          <w:szCs w:val="19"/>
        </w:rPr>
        <w:t xml:space="preserve">  → approved asset placement and art direction</w:t>
      </w:r>
    </w:p>
    <w:p>
      <w:pPr>
        <w:pStyle w:val="CodeBlock"/>
        <w:shd w:val="clear" w:fill="F4F6F9"/>
        <w:ind w:left="180" w:right="180"/>
        <w:widowControl/>
      </w:pPr>
      <w:r>
        <w:rPr>
          <w:rFonts w:ascii="Consolas" w:hAnsi="Consolas" w:cs="Consolas"/>
          <w:sz w:val="19"/>
          <w:szCs w:val="19"/>
        </w:rPr>
        <w:t xml:space="preserve">  → narrative and compatibility validation</w:t>
      </w:r>
    </w:p>
    <w:p>
      <w:pPr>
        <w:pStyle w:val="CodeBlock"/>
        <w:shd w:val="clear" w:fill="F4F6F9"/>
        <w:ind w:left="180" w:right="180"/>
        <w:widowControl/>
      </w:pPr>
      <w:r>
        <w:rPr>
          <w:rFonts w:ascii="Consolas" w:hAnsi="Consolas" w:cs="Consolas"/>
          <w:sz w:val="19"/>
          <w:szCs w:val="19"/>
        </w:rPr>
        <w:t xml:space="preserve">  → complete StorefrontSnapshot</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explicit publish</w:t>
      </w:r>
    </w:p>
    <w:p>
      <w:pPr>
        <w:pStyle w:val="Normal"/>
        <w:widowControl/>
      </w:pPr>
    </w:p>
    <w:p>
      <w:pPr>
        <w:pStyle w:val="Normal"/>
        <w:widowControl/>
      </w:pPr>
      <w:r>
        <w:rPr>
          <w:rFonts w:ascii="Consolas" w:hAnsi="Consolas" w:cs="Consolas"/>
          <w:sz w:val="19"/>
          <w:szCs w:val="19"/>
        </w:rPr>
        <w:t>StorefrontSnapshot</w:t>
      </w:r>
      <w:r>
        <w:rPr>
          <w:rFonts w:ascii="Calibri" w:hAnsi="Calibri" w:cs="Calibri"/>
        </w:rPr>
        <w:t xml:space="preserve"> is the sole canonical editable aggregate across generation, editing, preview, save, history, restore, and publication. Planner payloads, proposals, Puck data, compiler input, and renderer projections are transient. No task may introduce a second page graph, storefront plan, component inventory, blueprint engine, asset inventory, commerce model, or publish model.</w:t>
      </w:r>
    </w:p>
    <w:p>
      <w:pPr>
        <w:pStyle w:val="Heading2"/>
        <w:keepNext/>
        <w:widowControl/>
      </w:pPr>
      <w:r>
        <w:rPr>
          <w:rFonts w:ascii="Calibri" w:hAnsi="Calibri" w:cs="Calibri"/>
        </w:rPr>
        <w:t>4.2 Architectural layers</w:t>
      </w:r>
    </w:p>
    <w:p>
      <w:pPr>
        <w:pStyle w:val="Normal"/>
        <w:numPr>
          <w:ilvl w:val="0"/>
          <w:numId w:val="2"/>
        </w:numPr>
        <w:widowControl/>
      </w:pPr>
      <w:r>
        <w:rPr>
          <w:rFonts w:ascii="Calibri" w:hAnsi="Calibri" w:cs="Calibri"/>
          <w:b/>
          <w:bCs/>
        </w:rPr>
        <w:t>Domain contracts</w:t>
      </w:r>
      <w:r>
        <w:rPr>
          <w:rFonts w:ascii="Calibri" w:hAnsi="Calibri" w:cs="Calibri"/>
        </w:rPr>
        <w:t xml:space="preserve"> define projects, </w:t>
      </w:r>
      <w:r>
        <w:rPr>
          <w:rFonts w:ascii="Consolas" w:hAnsi="Consolas" w:cs="Consolas"/>
          <w:sz w:val="19"/>
          <w:szCs w:val="19"/>
        </w:rPr>
        <w:t>BrandSystem</w:t>
      </w:r>
      <w:r>
        <w:rPr>
          <w:rFonts w:ascii="Calibri" w:hAnsi="Calibri" w:cs="Calibri"/>
        </w:rPr>
        <w:t xml:space="preserve">, </w:t>
      </w:r>
      <w:r>
        <w:rPr>
          <w:rFonts w:ascii="Consolas" w:hAnsi="Consolas" w:cs="Consolas"/>
          <w:sz w:val="19"/>
          <w:szCs w:val="19"/>
        </w:rPr>
        <w:t>StorefrontSnapshot</w:t>
      </w:r>
      <w:r>
        <w:rPr>
          <w:rFonts w:ascii="Calibri" w:hAnsi="Calibri" w:cs="Calibri"/>
        </w:rPr>
        <w:t>, commerce projections, bindings, proposals, receipts, and publication records without UI, provider, or Puck types.</w:t>
      </w:r>
    </w:p>
    <w:p>
      <w:pPr>
        <w:pStyle w:val="Normal"/>
        <w:numPr>
          <w:ilvl w:val="0"/>
          <w:numId w:val="2"/>
        </w:numPr>
        <w:widowControl/>
      </w:pPr>
      <w:r>
        <w:rPr>
          <w:rFonts w:ascii="Calibri" w:hAnsi="Calibri" w:cs="Calibri"/>
          <w:b/>
          <w:bCs/>
        </w:rPr>
        <w:t>Registered capability platform</w:t>
      </w:r>
      <w:r>
        <w:rPr>
          <w:rFonts w:ascii="Calibri" w:hAnsi="Calibri" w:cs="Calibri"/>
        </w:rPr>
        <w:t xml:space="preserve"> defines component families, variants, fields, slots, migrations, PageBlueprints, profiles, render targets, and generated queryable manifests.</w:t>
      </w:r>
    </w:p>
    <w:p>
      <w:pPr>
        <w:pStyle w:val="Normal"/>
        <w:numPr>
          <w:ilvl w:val="0"/>
          <w:numId w:val="2"/>
        </w:numPr>
        <w:widowControl/>
      </w:pPr>
      <w:r>
        <w:rPr>
          <w:rFonts w:ascii="Calibri" w:hAnsi="Calibri" w:cs="Calibri"/>
          <w:b/>
          <w:bCs/>
        </w:rPr>
        <w:t>Application authorities</w:t>
      </w:r>
      <w:r>
        <w:rPr>
          <w:rFonts w:ascii="Calibri" w:hAnsi="Calibri" w:cs="Calibri"/>
        </w:rPr>
        <w:t xml:space="preserve"> resolve briefs, route governed requests, compile proposals, apply acceptance, manage draft/history, and compile publications.</w:t>
      </w:r>
    </w:p>
    <w:p>
      <w:pPr>
        <w:pStyle w:val="Normal"/>
        <w:numPr>
          <w:ilvl w:val="0"/>
          <w:numId w:val="2"/>
        </w:numPr>
        <w:widowControl/>
      </w:pPr>
      <w:r>
        <w:rPr>
          <w:rFonts w:ascii="Calibri" w:hAnsi="Calibri" w:cs="Calibri"/>
          <w:b/>
          <w:bCs/>
        </w:rPr>
        <w:t>Adapters</w:t>
      </w:r>
      <w:r>
        <w:rPr>
          <w:rFonts w:ascii="Calibri" w:hAnsi="Calibri" w:cs="Calibri"/>
        </w:rPr>
        <w:t xml:space="preserve"> isolate providers, Puck, browsers, files, databases, Vesko, media, discovery, and publishing transports.</w:t>
      </w:r>
    </w:p>
    <w:p>
      <w:pPr>
        <w:pStyle w:val="Normal"/>
        <w:numPr>
          <w:ilvl w:val="0"/>
          <w:numId w:val="2"/>
        </w:numPr>
        <w:widowControl/>
      </w:pPr>
      <w:r>
        <w:rPr>
          <w:rFonts w:ascii="Calibri" w:hAnsi="Calibri" w:cs="Calibri"/>
          <w:b/>
          <w:bCs/>
        </w:rPr>
        <w:t>Renderers</w:t>
      </w:r>
      <w:r>
        <w:rPr>
          <w:rFonts w:ascii="Calibri" w:hAnsi="Calibri" w:cs="Calibri"/>
        </w:rPr>
        <w:t xml:space="preserve"> project the same canonical snapshot into editor, preview, and published routes.</w:t>
      </w:r>
    </w:p>
    <w:p>
      <w:pPr>
        <w:pStyle w:val="Heading2"/>
        <w:keepNext/>
        <w:widowControl/>
      </w:pPr>
      <w:r>
        <w:rPr>
          <w:rFonts w:ascii="Calibri" w:hAnsi="Calibri" w:cs="Calibri"/>
        </w:rPr>
        <w:t>4.3 Binding architecture decisions</w:t>
      </w:r>
    </w:p>
    <w:p>
      <w:pPr>
        <w:pStyle w:val="Normal"/>
        <w:numPr>
          <w:ilvl w:val="0"/>
          <w:numId w:val="1"/>
        </w:numPr>
        <w:widowControl/>
      </w:pPr>
      <w:r>
        <w:rPr>
          <w:rFonts w:ascii="Calibri" w:hAnsi="Calibri" w:cs="Calibri"/>
          <w:b/>
          <w:bCs/>
        </w:rPr>
        <w:t>ADR-001:</w:t>
      </w:r>
      <w:r>
        <w:rPr>
          <w:rFonts w:ascii="Calibri" w:hAnsi="Calibri" w:cs="Calibri"/>
        </w:rPr>
        <w:t xml:space="preserve"> Puck is an isolated editor foundation, not canonical state or persistence.</w:t>
      </w:r>
    </w:p>
    <w:p>
      <w:pPr>
        <w:pStyle w:val="Normal"/>
        <w:numPr>
          <w:ilvl w:val="0"/>
          <w:numId w:val="1"/>
        </w:numPr>
        <w:widowControl/>
      </w:pPr>
      <w:r>
        <w:rPr>
          <w:rFonts w:ascii="Calibri" w:hAnsi="Calibri" w:cs="Calibri"/>
          <w:b/>
          <w:bCs/>
        </w:rPr>
        <w:t>ADR-002:</w:t>
      </w:r>
      <w:r>
        <w:rPr>
          <w:rFonts w:ascii="Calibri" w:hAnsi="Calibri" w:cs="Calibri"/>
        </w:rPr>
        <w:t xml:space="preserve"> AI is a controlled design agent producing validated structured operations.</w:t>
      </w:r>
    </w:p>
    <w:p>
      <w:pPr>
        <w:pStyle w:val="Normal"/>
        <w:numPr>
          <w:ilvl w:val="0"/>
          <w:numId w:val="1"/>
        </w:numPr>
        <w:widowControl/>
      </w:pPr>
      <w:r>
        <w:rPr>
          <w:rFonts w:ascii="Calibri" w:hAnsi="Calibri" w:cs="Calibri"/>
          <w:b/>
          <w:bCs/>
        </w:rPr>
        <w:t>ADR-003:</w:t>
      </w:r>
      <w:r>
        <w:rPr>
          <w:rFonts w:ascii="Calibri" w:hAnsi="Calibri" w:cs="Calibri"/>
        </w:rPr>
        <w:t xml:space="preserve"> URL discovery is untrusted evidence with provenance and reconciliation.</w:t>
      </w:r>
    </w:p>
    <w:p>
      <w:pPr>
        <w:pStyle w:val="Normal"/>
        <w:numPr>
          <w:ilvl w:val="0"/>
          <w:numId w:val="1"/>
        </w:numPr>
        <w:widowControl/>
      </w:pPr>
      <w:r>
        <w:rPr>
          <w:rFonts w:ascii="Calibri" w:hAnsi="Calibri" w:cs="Calibri"/>
          <w:b/>
          <w:bCs/>
        </w:rPr>
        <w:t>ADR-004:</w:t>
      </w:r>
      <w:r>
        <w:rPr>
          <w:rFonts w:ascii="Calibri" w:hAnsi="Calibri" w:cs="Calibri"/>
        </w:rPr>
        <w:t xml:space="preserve"> commerce components bind dynamically to canonical projections and preserve every available option group through a generic fallback architecture.</w:t>
      </w:r>
    </w:p>
    <w:p>
      <w:pPr>
        <w:pStyle w:val="Heading1"/>
        <w:keepNext/>
        <w:widowControl/>
      </w:pPr>
      <w:r>
        <w:rPr>
          <w:rFonts w:ascii="Calibri" w:hAnsi="Calibri" w:cs="Calibri"/>
        </w:rPr>
        <w:t>5. Current verified capability baseline</w:t>
      </w:r>
    </w:p>
    <w:p>
      <w:pPr>
        <w:pStyle w:val="Normal"/>
        <w:widowControl/>
      </w:pPr>
      <w:r>
        <w:rPr>
          <w:rFonts w:ascii="Calibri" w:hAnsi="Calibri" w:cs="Calibri"/>
        </w:rPr>
        <w:t>The current baseline is code-grounded in the capability evidence ledger and truth audit.</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3000"/>
        <w:gridCol w:w="1300"/>
        <w:gridCol w:w="5060"/>
      </w:tblGrid>
      <w:tr>
        <w:trPr>
          <w:tblHeader/>
          <w:cantSplit/>
        </w:trPr>
        <w:tc>
          <w:tcPr>
            <w:tcW w:w="3000" w:type="dxa"/>
            <w:vAlign w:val="center"/>
            <w:shd w:val="clear" w:fill="E8EEF5"/>
          </w:tcPr>
          <w:p>
            <w:pPr>
              <w:pStyle w:val="TableHeader"/>
              <w:jc w:val="center"/>
              <w:widowControl/>
            </w:pPr>
            <w:r>
              <w:rPr>
                <w:rFonts w:ascii="Calibri" w:hAnsi="Calibri" w:cs="Calibri"/>
              </w:rPr>
              <w:t>Capability area</w:t>
            </w:r>
          </w:p>
        </w:tc>
        <w:tc>
          <w:tcPr>
            <w:tcW w:w="1300" w:type="dxa"/>
            <w:vAlign w:val="center"/>
            <w:shd w:val="clear" w:fill="E8EEF5"/>
          </w:tcPr>
          <w:p>
            <w:pPr>
              <w:pStyle w:val="TableHeader"/>
              <w:jc w:val="center"/>
              <w:widowControl/>
            </w:pPr>
            <w:r>
              <w:rPr>
                <w:rFonts w:ascii="Calibri" w:hAnsi="Calibri" w:cs="Calibri"/>
              </w:rPr>
              <w:t>Status</w:t>
            </w:r>
          </w:p>
        </w:tc>
        <w:tc>
          <w:tcPr>
            <w:tcW w:w="5060" w:type="dxa"/>
            <w:vAlign w:val="center"/>
            <w:shd w:val="clear" w:fill="E8EEF5"/>
          </w:tcPr>
          <w:p>
            <w:pPr>
              <w:pStyle w:val="TableHeader"/>
              <w:jc w:val="center"/>
              <w:widowControl/>
            </w:pPr>
            <w:r>
              <w:rPr>
                <w:rFonts w:ascii="Calibri" w:hAnsi="Calibri" w:cs="Calibri"/>
              </w:rPr>
              <w:t>Verified truth</w:t>
            </w:r>
          </w:p>
        </w:tc>
      </w:tr>
      <w:tr>
        <w:trPr/>
        <w:tc>
          <w:tcPr>
            <w:tcW w:w="3000" w:type="dxa"/>
            <w:vAlign w:val="center"/>
          </w:tcPr>
          <w:p>
            <w:pPr>
              <w:pStyle w:val="TableText"/>
              <w:widowControl/>
            </w:pPr>
            <w:r>
              <w:rPr>
                <w:rFonts w:ascii="Calibri" w:hAnsi="Calibri" w:cs="Calibri"/>
              </w:rPr>
              <w:t>Canonical storefront and brand contracts</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onsolas" w:hAnsi="Consolas" w:cs="Consolas"/>
                <w:sz w:val="19"/>
                <w:szCs w:val="19"/>
              </w:rPr>
              <w:t>StorefrontSnapshot</w:t>
            </w:r>
            <w:r>
              <w:rPr>
                <w:rFonts w:ascii="Calibri" w:hAnsi="Calibri" w:cs="Calibri"/>
              </w:rPr>
              <w:t xml:space="preserve"> and </w:t>
            </w:r>
            <w:r>
              <w:rPr>
                <w:rFonts w:ascii="Consolas" w:hAnsi="Consolas" w:cs="Consolas"/>
                <w:sz w:val="19"/>
                <w:szCs w:val="19"/>
              </w:rPr>
              <w:t>BrandSystem</w:t>
            </w:r>
            <w:r>
              <w:rPr>
                <w:rFonts w:ascii="Calibri" w:hAnsi="Calibri" w:cs="Calibri"/>
              </w:rPr>
              <w:t xml:space="preserve"> govern editable presentation state.</w:t>
            </w:r>
          </w:p>
        </w:tc>
      </w:tr>
      <w:tr>
        <w:trPr/>
        <w:tc>
          <w:tcPr>
            <w:tcW w:w="3000" w:type="dxa"/>
            <w:vAlign w:val="center"/>
          </w:tcPr>
          <w:p>
            <w:pPr>
              <w:pStyle w:val="TableText"/>
              <w:widowControl/>
            </w:pPr>
            <w:r>
              <w:rPr>
                <w:rFonts w:ascii="Calibri" w:hAnsi="Calibri" w:cs="Calibri"/>
              </w:rPr>
              <w:t>ComponentDefinitionV2 and generated manifest</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definitions are runtime-queryable without a parallel inventory.</w:t>
            </w:r>
          </w:p>
        </w:tc>
      </w:tr>
      <w:tr>
        <w:trPr/>
        <w:tc>
          <w:tcPr>
            <w:tcW w:w="3000" w:type="dxa"/>
            <w:vAlign w:val="center"/>
          </w:tcPr>
          <w:p>
            <w:pPr>
              <w:pStyle w:val="TableText"/>
              <w:widowControl/>
            </w:pPr>
            <w:r>
              <w:rPr>
                <w:rFonts w:ascii="Calibri" w:hAnsi="Calibri" w:cs="Calibri"/>
              </w:rPr>
              <w:t>PageBlueprint profiles and materialization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Registered profiles materialize canonical page composition.</w:t>
            </w:r>
          </w:p>
        </w:tc>
      </w:tr>
      <w:tr>
        <w:trPr/>
        <w:tc>
          <w:tcPr>
            <w:tcW w:w="3000" w:type="dxa"/>
            <w:vAlign w:val="center"/>
          </w:tcPr>
          <w:p>
            <w:pPr>
              <w:pStyle w:val="TableText"/>
              <w:widowControl/>
            </w:pPr>
            <w:r>
              <w:rPr>
                <w:rFonts w:ascii="Calibri" w:hAnsi="Calibri" w:cs="Calibri"/>
              </w:rPr>
              <w:t>Site-map and registered page-family authority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Nineteen registered families materialize deterministic canonical pages/navigation with route, locale, evidence, context, and lifecycle validation.</w:t>
            </w:r>
          </w:p>
        </w:tc>
      </w:tr>
      <w:tr>
        <w:trPr/>
        <w:tc>
          <w:tcPr>
            <w:tcW w:w="3000" w:type="dxa"/>
            <w:vAlign w:val="center"/>
          </w:tcPr>
          <w:p>
            <w:pPr>
              <w:pStyle w:val="TableText"/>
              <w:widowControl/>
            </w:pPr>
            <w:r>
              <w:rPr>
                <w:rFonts w:ascii="Calibri" w:hAnsi="Calibri" w:cs="Calibri"/>
              </w:rPr>
              <w:t>Dynamic collection and PDP commerce presentation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bindings, option groups, variants, media, price, and availability render safely.</w:t>
            </w:r>
          </w:p>
        </w:tc>
      </w:tr>
      <w:tr>
        <w:trPr/>
        <w:tc>
          <w:tcPr>
            <w:tcW w:w="3000" w:type="dxa"/>
            <w:vAlign w:val="center"/>
          </w:tcPr>
          <w:p>
            <w:pPr>
              <w:pStyle w:val="TableText"/>
              <w:widowControl/>
            </w:pPr>
            <w:r>
              <w:rPr>
                <w:rFonts w:ascii="Calibri" w:hAnsi="Calibri" w:cs="Calibri"/>
              </w:rPr>
              <w:t>Source evidence, asset inventory, and approved brief</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Provenance and protected-commerce reconciliation are contracted and tested.</w:t>
            </w:r>
          </w:p>
        </w:tc>
      </w:tr>
      <w:tr>
        <w:trPr/>
        <w:tc>
          <w:tcPr>
            <w:tcW w:w="3000" w:type="dxa"/>
            <w:vAlign w:val="center"/>
          </w:tcPr>
          <w:p>
            <w:pPr>
              <w:pStyle w:val="TableText"/>
              <w:widowControl/>
            </w:pPr>
            <w:r>
              <w:rPr>
                <w:rFonts w:ascii="Calibri" w:hAnsi="Calibri" w:cs="Calibri"/>
              </w:rPr>
              <w:t>Governed initial generation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Governed follow-up editing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authority exists; normal merchant editor reach is P10C work.</w:t>
            </w:r>
          </w:p>
        </w:tc>
      </w:tr>
      <w:tr>
        <w:trPr/>
        <w:tc>
          <w:tcPr>
            <w:tcW w:w="3000" w:type="dxa"/>
            <w:vAlign w:val="center"/>
          </w:tcPr>
          <w:p>
            <w:pPr>
              <w:pStyle w:val="TableText"/>
              <w:widowControl/>
            </w:pPr>
            <w:r>
              <w:rPr>
                <w:rFonts w:ascii="Calibri" w:hAnsi="Calibri" w:cs="Calibri"/>
              </w:rPr>
              <w:t>Strict scope routing</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Internal fail-closed authority exists; merchant clarification UI is P10C work.</w:t>
            </w:r>
          </w:p>
        </w:tc>
      </w:tr>
      <w:tr>
        <w:trPr/>
        <w:tc>
          <w:tcPr>
            <w:tcW w:w="3000" w:type="dxa"/>
            <w:vAlign w:val="center"/>
          </w:tcPr>
          <w:p>
            <w:pPr>
              <w:pStyle w:val="TableText"/>
              <w:widowControl/>
            </w:pPr>
            <w:r>
              <w:rPr>
                <w:rFonts w:ascii="Calibri" w:hAnsi="Calibri" w:cs="Calibri"/>
              </w:rPr>
              <w:t>Proposal review, atomic acceptance, undo/redo</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lifecycle and stale/invalid rejection are deterministically covered.</w:t>
            </w:r>
          </w:p>
        </w:tc>
      </w:tr>
      <w:tr>
        <w:trPr/>
        <w:tc>
          <w:tcPr>
            <w:tcW w:w="3000" w:type="dxa"/>
            <w:vAlign w:val="center"/>
          </w:tcPr>
          <w:p>
            <w:pPr>
              <w:pStyle w:val="TableText"/>
              <w:widowControl/>
            </w:pPr>
            <w:r>
              <w:rPr>
                <w:rFonts w:ascii="Calibri" w:hAnsi="Calibri" w:cs="Calibri"/>
              </w:rPr>
              <w:t>Puck/editor projection</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Real adapter and editor exist; the full merchant-operable Studio chain is incomplete.</w:t>
            </w:r>
          </w:p>
        </w:tc>
      </w:tr>
      <w:tr>
        <w:trPr/>
        <w:tc>
          <w:tcPr>
            <w:tcW w:w="3000" w:type="dxa"/>
            <w:vAlign w:val="center"/>
          </w:tcPr>
          <w:p>
            <w:pPr>
              <w:pStyle w:val="TableText"/>
              <w:widowControl/>
            </w:pPr>
            <w:r>
              <w:rPr>
                <w:rFonts w:ascii="Calibri" w:hAnsi="Calibri" w:cs="Calibri"/>
              </w:rPr>
              <w:t>Draft save, history, and restore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Standalone canonical persistence and lifecycle evidence exist.</w:t>
            </w:r>
          </w:p>
        </w:tc>
      </w:tr>
      <w:tr>
        <w:trPr/>
        <w:tc>
          <w:tcPr>
            <w:tcW w:w="3000" w:type="dxa"/>
            <w:vAlign w:val="center"/>
          </w:tcPr>
          <w:p>
            <w:pPr>
              <w:pStyle w:val="TableText"/>
              <w:widowControl/>
            </w:pPr>
            <w:r>
              <w:rPr>
                <w:rFonts w:ascii="Calibri" w:hAnsi="Calibri" w:cs="Calibri"/>
              </w:rPr>
              <w:t>Controlled real-provider acceptance</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authorized initial case and then one hero follow-up case passed with two total calls and no retry.</w:t>
            </w:r>
          </w:p>
        </w:tc>
      </w:tr>
      <w:tr>
        <w:trPr/>
        <w:tc>
          <w:tcPr>
            <w:tcW w:w="3000" w:type="dxa"/>
            <w:vAlign w:val="center"/>
          </w:tcPr>
          <w:p>
            <w:pPr>
              <w:pStyle w:val="TableText"/>
              <w:widowControl/>
            </w:pPr>
            <w:r>
              <w:rPr>
                <w:rFonts w:ascii="Calibri" w:hAnsi="Calibri" w:cs="Calibri"/>
              </w:rPr>
              <w:t>Accepted-AI receipt-to-gateway composition</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 acceptance mints durable create-once authority used by active prepare/confirm.</w:t>
            </w:r>
          </w:p>
        </w:tc>
      </w:tr>
      <w:tr>
        <w:trPr/>
        <w:tc>
          <w:tcPr>
            <w:tcW w:w="3000" w:type="dxa"/>
            <w:vAlign w:val="center"/>
          </w:tcPr>
          <w:p>
            <w:pPr>
              <w:pStyle w:val="TableText"/>
              <w:widowControl/>
            </w:pPr>
            <w:r>
              <w:rPr>
                <w:rFonts w:ascii="Calibri" w:hAnsi="Calibri" w:cs="Calibri"/>
              </w:rPr>
              <w:t>Authoritative merchant publishing gateway</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Server-side auth, permission, preparation, confirmation, and idempotency exist.</w:t>
            </w:r>
          </w:p>
        </w:tc>
      </w:tr>
      <w:tr>
        <w:trPr/>
        <w:tc>
          <w:tcPr>
            <w:tcW w:w="3000" w:type="dxa"/>
            <w:vAlign w:val="center"/>
          </w:tcPr>
          <w:p>
            <w:pPr>
              <w:pStyle w:val="TableText"/>
              <w:widowControl/>
            </w:pPr>
            <w:r>
              <w:rPr>
                <w:rFonts w:ascii="Calibri" w:hAnsi="Calibri" w:cs="Calibri"/>
              </w:rPr>
              <w:t>Deterministic publish compiler</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Exact snapshot and live authority compile to deterministic immutable output.</w:t>
            </w:r>
          </w:p>
        </w:tc>
      </w:tr>
      <w:tr>
        <w:trPr/>
        <w:tc>
          <w:tcPr>
            <w:tcW w:w="3000" w:type="dxa"/>
            <w:vAlign w:val="center"/>
          </w:tcPr>
          <w:p>
            <w:pPr>
              <w:pStyle w:val="TableText"/>
              <w:widowControl/>
            </w:pPr>
            <w:r>
              <w:rPr>
                <w:rFonts w:ascii="Calibri" w:hAnsi="Calibri" w:cs="Calibri"/>
              </w:rPr>
              <w:t>Compiled-artifact persistence and rollback</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One atomic transaction retains immutable artifacts, versions, history, operations, and active pointers; rollback restores a new draft before explicit republish.</w:t>
            </w:r>
          </w:p>
        </w:tc>
      </w:tr>
      <w:tr>
        <w:trPr/>
        <w:tc>
          <w:tcPr>
            <w:tcW w:w="3000" w:type="dxa"/>
            <w:vAlign w:val="center"/>
          </w:tcPr>
          <w:p>
            <w:pPr>
              <w:pStyle w:val="TableText"/>
              <w:widowControl/>
            </w:pPr>
            <w:r>
              <w:rPr>
                <w:rFonts w:ascii="Calibri" w:hAnsi="Calibri" w:cs="Calibri"/>
              </w:rPr>
              <w:t>Published home, collection, and PDP rendering</w:t>
            </w:r>
          </w:p>
        </w:tc>
        <w:tc>
          <w:tcPr>
            <w:tcW w:w="1300" w:type="dxa"/>
            <w:vAlign w:val="center"/>
          </w:tcPr>
          <w:p>
            <w:pPr>
              <w:pStyle w:val="TableText"/>
              <w:jc w:val="center"/>
              <w:widowControl/>
            </w:pPr>
            <w:r>
              <w:rPr>
                <w:rFonts w:ascii="Calibri" w:hAnsi="Calibri" w:cs="Calibri"/>
                <w:b/>
                <w:bCs/>
              </w:rPr>
              <w:t>Baseline</w:t>
            </w:r>
          </w:p>
        </w:tc>
        <w:tc>
          <w:tcPr>
            <w:tcW w:w="5060" w:type="dxa"/>
            <w:vAlign w:val="center"/>
          </w:tcPr>
          <w:p>
            <w:pPr>
              <w:pStyle w:val="TableText"/>
              <w:widowControl/>
            </w:pPr>
            <w:r>
              <w:rPr>
                <w:rFonts w:ascii="Calibri" w:hAnsi="Calibri" w:cs="Calibri"/>
              </w:rPr>
              <w:t>Canonical published routes bind the exact active compiled version, artifact, and snapshot for manual and accepted-AI publication.</w:t>
            </w:r>
          </w:p>
        </w:tc>
      </w:tr>
      <w:tr>
        <w:trPr/>
        <w:tc>
          <w:tcPr>
            <w:tcW w:w="3000" w:type="dxa"/>
            <w:vAlign w:val="center"/>
          </w:tcPr>
          <w:p>
            <w:pPr>
              <w:pStyle w:val="TableText"/>
              <w:widowControl/>
            </w:pPr>
            <w:r>
              <w:rPr>
                <w:rFonts w:ascii="Calibri" w:hAnsi="Calibri" w:cs="Calibri"/>
              </w:rPr>
              <w:t>Commercial storefront generation system</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P10B-01 grammar, P10B-02 Design DNA, P10B-03 anatomy, P10B-04 art direction, P10B-05 page-set authority, P10B-06 shared-frame authority, P10B-07 commercial content families, P10B-08 product-card authority, P10B-09 homepage profiles, and P10B-10 collection/search profiles are Baseline; complete-storefront commercial quality/diversity remains Planned.</w:t>
            </w:r>
          </w:p>
        </w:tc>
      </w:tr>
      <w:tr>
        <w:trPr/>
        <w:tc>
          <w:tcPr>
            <w:tcW w:w="3000" w:type="dxa"/>
            <w:vAlign w:val="center"/>
          </w:tcPr>
          <w:p>
            <w:pPr>
              <w:pStyle w:val="TableText"/>
              <w:widowControl/>
            </w:pPr>
            <w:r>
              <w:rPr>
                <w:rFonts w:ascii="Calibri" w:hAnsi="Calibri" w:cs="Calibri"/>
              </w:rPr>
              <w:t>Vesko reference integration</w:t>
            </w:r>
          </w:p>
        </w:tc>
        <w:tc>
          <w:tcPr>
            <w:tcW w:w="1300" w:type="dxa"/>
            <w:vAlign w:val="center"/>
          </w:tcPr>
          <w:p>
            <w:pPr>
              <w:pStyle w:val="TableText"/>
              <w:jc w:val="center"/>
              <w:widowControl/>
            </w:pPr>
            <w:r>
              <w:rPr>
                <w:rFonts w:ascii="Calibri" w:hAnsi="Calibri" w:cs="Calibri"/>
                <w:b/>
                <w:bCs/>
              </w:rPr>
              <w:t>Blocked</w:t>
            </w:r>
          </w:p>
        </w:tc>
        <w:tc>
          <w:tcPr>
            <w:tcW w:w="5060" w:type="dxa"/>
            <w:vAlign w:val="center"/>
          </w:tcPr>
          <w:p>
            <w:pPr>
              <w:pStyle w:val="TableText"/>
              <w:widowControl/>
            </w:pPr>
            <w:r>
              <w:rPr>
                <w:rFonts w:ascii="Calibri" w:hAnsi="Calibri" w:cs="Calibri"/>
              </w:rPr>
              <w:t>OpenAPI exists but is incomplete and no staging authority or evidence exists.</w:t>
            </w:r>
          </w:p>
        </w:tc>
      </w:tr>
      <w:tr>
        <w:trPr/>
        <w:tc>
          <w:tcPr>
            <w:tcW w:w="3000" w:type="dxa"/>
            <w:vAlign w:val="center"/>
          </w:tcPr>
          <w:p>
            <w:pPr>
              <w:pStyle w:val="TableText"/>
              <w:widowControl/>
            </w:pPr>
            <w:r>
              <w:rPr>
                <w:rFonts w:ascii="Calibri" w:hAnsi="Calibri" w:cs="Calibri"/>
              </w:rPr>
              <w:t>Authentication, tenancy, observability, deployment</w:t>
            </w:r>
          </w:p>
        </w:tc>
        <w:tc>
          <w:tcPr>
            <w:tcW w:w="1300" w:type="dxa"/>
            <w:vAlign w:val="center"/>
          </w:tcPr>
          <w:p>
            <w:pPr>
              <w:pStyle w:val="TableText"/>
              <w:jc w:val="center"/>
              <w:widowControl/>
            </w:pPr>
            <w:r>
              <w:rPr>
                <w:rFonts w:ascii="Calibri" w:hAnsi="Calibri" w:cs="Calibri"/>
                <w:b/>
                <w:bCs/>
              </w:rPr>
              <w:t>Partial</w:t>
            </w:r>
          </w:p>
        </w:tc>
        <w:tc>
          <w:tcPr>
            <w:tcW w:w="5060" w:type="dxa"/>
            <w:vAlign w:val="center"/>
          </w:tcPr>
          <w:p>
            <w:pPr>
              <w:pStyle w:val="TableText"/>
              <w:widowControl/>
            </w:pPr>
            <w:r>
              <w:rPr>
                <w:rFonts w:ascii="Calibri" w:hAnsi="Calibri" w:cs="Calibri"/>
              </w:rPr>
              <w:t>Foundations exist; production service closure belongs to P11/P12.</w:t>
            </w:r>
          </w:p>
        </w:tc>
      </w:tr>
    </w:tbl>
    <w:p>
      <w:pPr>
        <w:pStyle w:val="Normal"/>
        <w:widowControl/>
      </w:pPr>
    </w:p>
    <w:p>
      <w:pPr>
        <w:pStyle w:val="Normal"/>
        <w:widowControl/>
      </w:pPr>
      <w:r>
        <w:rPr>
          <w:rFonts w:ascii="Calibri" w:hAnsi="Calibri" w:cs="Calibri"/>
        </w:rPr>
        <w:t>Phase 9 is closed by product-owner handoff. Its retained records remain evidence with their stated limits; closure does not convert deterministic or narrow human review into current commercial, real-provider, staging, or production proof.</w:t>
      </w:r>
    </w:p>
    <w:p>
      <w:pPr>
        <w:pStyle w:val="Heading1"/>
        <w:keepNext/>
        <w:widowControl/>
      </w:pPr>
      <w:r>
        <w:rPr>
          <w:rFonts w:ascii="Calibri" w:hAnsi="Calibri" w:cs="Calibri"/>
        </w:rPr>
        <w:t>6. AI generation and editing governance</w:t>
      </w:r>
    </w:p>
    <w:p>
      <w:pPr>
        <w:pStyle w:val="Heading2"/>
        <w:keepNext/>
        <w:widowControl/>
      </w:pPr>
      <w:r>
        <w:rPr>
          <w:rFonts w:ascii="Calibri" w:hAnsi="Calibri" w:cs="Calibri"/>
        </w:rPr>
        <w:t>6.1 Required lifecycle</w:t>
      </w:r>
    </w:p>
    <w:p>
      <w:pPr>
        <w:pStyle w:val="Normal"/>
        <w:widowControl/>
      </w:pPr>
      <w:r>
        <w:rPr>
          <w:rFonts w:ascii="Calibri" w:hAnsi="Calibri" w:cs="Calibri"/>
        </w:rPr>
        <w:t>All AI-assisted design changes follow:</w:t>
      </w:r>
    </w:p>
    <w:p>
      <w:pPr>
        <w:pStyle w:val="CodeBlock"/>
        <w:shd w:val="clear" w:fill="F4F6F9"/>
        <w:ind w:left="180" w:right="180"/>
        <w:widowControl/>
      </w:pPr>
      <w:r>
        <w:rPr>
          <w:rFonts w:ascii="Consolas" w:hAnsi="Consolas" w:cs="Consolas"/>
          <w:sz w:val="19"/>
          <w:szCs w:val="19"/>
        </w:rPr>
        <w:t>merchant instruction</w:t>
      </w:r>
    </w:p>
    <w:p>
      <w:pPr>
        <w:pStyle w:val="CodeBlock"/>
        <w:shd w:val="clear" w:fill="F4F6F9"/>
        <w:ind w:left="180" w:right="180"/>
        <w:widowControl/>
      </w:pPr>
      <w:r>
        <w:rPr>
          <w:rFonts w:ascii="Consolas" w:hAnsi="Consolas" w:cs="Consolas"/>
          <w:sz w:val="19"/>
          <w:szCs w:val="19"/>
        </w:rPr>
        <w:t xml:space="preserve">  → normalized intent and explicit scope</w:t>
      </w:r>
    </w:p>
    <w:p>
      <w:pPr>
        <w:pStyle w:val="CodeBlock"/>
        <w:shd w:val="clear" w:fill="F4F6F9"/>
        <w:ind w:left="180" w:right="180"/>
        <w:widowControl/>
      </w:pPr>
      <w:r>
        <w:rPr>
          <w:rFonts w:ascii="Consolas" w:hAnsi="Consolas" w:cs="Consolas"/>
          <w:sz w:val="19"/>
          <w:szCs w:val="19"/>
        </w:rPr>
        <w:t xml:space="preserve">  → authorized initial or follow-up skill package</w:t>
      </w:r>
    </w:p>
    <w:p>
      <w:pPr>
        <w:pStyle w:val="CodeBlock"/>
        <w:shd w:val="clear" w:fill="F4F6F9"/>
        <w:ind w:left="180" w:right="180"/>
        <w:widowControl/>
      </w:pPr>
      <w:r>
        <w:rPr>
          <w:rFonts w:ascii="Consolas" w:hAnsi="Consolas" w:cs="Consolas"/>
          <w:sz w:val="19"/>
          <w:szCs w:val="19"/>
        </w:rPr>
        <w:t xml:space="preserve">  → structured operations</w:t>
      </w:r>
    </w:p>
    <w:p>
      <w:pPr>
        <w:pStyle w:val="CodeBlock"/>
        <w:shd w:val="clear" w:fill="F4F6F9"/>
        <w:ind w:left="180" w:right="180"/>
        <w:widowControl/>
      </w:pPr>
      <w:r>
        <w:rPr>
          <w:rFonts w:ascii="Consolas" w:hAnsi="Consolas" w:cs="Consolas"/>
          <w:sz w:val="19"/>
          <w:szCs w:val="19"/>
        </w:rPr>
        <w:t xml:space="preserve">  → schema and semantic validation</w:t>
      </w:r>
    </w:p>
    <w:p>
      <w:pPr>
        <w:pStyle w:val="CodeBlock"/>
        <w:shd w:val="clear" w:fill="F4F6F9"/>
        <w:ind w:left="180" w:right="180"/>
        <w:widowControl/>
      </w:pPr>
      <w:r>
        <w:rPr>
          <w:rFonts w:ascii="Consolas" w:hAnsi="Consolas" w:cs="Consolas"/>
          <w:sz w:val="19"/>
          <w:szCs w:val="19"/>
        </w:rPr>
        <w:t xml:space="preserve">  → protected-commerce and authority guards</w:t>
      </w:r>
    </w:p>
    <w:p>
      <w:pPr>
        <w:pStyle w:val="CodeBlock"/>
        <w:shd w:val="clear" w:fill="F4F6F9"/>
        <w:ind w:left="180" w:right="180"/>
        <w:widowControl/>
      </w:pPr>
      <w:r>
        <w:rPr>
          <w:rFonts w:ascii="Consolas" w:hAnsi="Consolas" w:cs="Consolas"/>
          <w:sz w:val="19"/>
          <w:szCs w:val="19"/>
        </w:rPr>
        <w:t xml:space="preserve">  → isolated proposal transaction</w:t>
      </w:r>
    </w:p>
    <w:p>
      <w:pPr>
        <w:pStyle w:val="CodeBlock"/>
        <w:shd w:val="clear" w:fill="F4F6F9"/>
        <w:ind w:left="180" w:right="180"/>
        <w:widowControl/>
      </w:pPr>
      <w:r>
        <w:rPr>
          <w:rFonts w:ascii="Consolas" w:hAnsi="Consolas" w:cs="Consolas"/>
          <w:sz w:val="19"/>
          <w:szCs w:val="19"/>
        </w:rPr>
        <w:t xml:space="preserve">  → merchant review</w:t>
      </w:r>
    </w:p>
    <w:p>
      <w:pPr>
        <w:pStyle w:val="CodeBlock"/>
        <w:shd w:val="clear" w:fill="F4F6F9"/>
        <w:ind w:left="180" w:right="180"/>
        <w:widowControl/>
      </w:pPr>
      <w:r>
        <w:rPr>
          <w:rFonts w:ascii="Consolas" w:hAnsi="Consolas" w:cs="Consolas"/>
          <w:sz w:val="19"/>
          <w:szCs w:val="19"/>
        </w:rPr>
        <w:t xml:space="preserve">  → accept, revise, or reject</w:t>
      </w:r>
    </w:p>
    <w:p>
      <w:pPr>
        <w:pStyle w:val="CodeBlock"/>
        <w:shd w:val="clear" w:fill="F4F6F9"/>
        <w:ind w:left="180" w:right="180"/>
        <w:widowControl/>
      </w:pPr>
      <w:r>
        <w:rPr>
          <w:rFonts w:ascii="Consolas" w:hAnsi="Consolas" w:cs="Consolas"/>
          <w:sz w:val="19"/>
          <w:szCs w:val="19"/>
        </w:rPr>
        <w:t xml:space="preserve">  → explicit save or publish</w:t>
      </w:r>
    </w:p>
    <w:p>
      <w:pPr>
        <w:pStyle w:val="Normal"/>
        <w:widowControl/>
      </w:pPr>
    </w:p>
    <w:p>
      <w:pPr>
        <w:pStyle w:val="Normal"/>
        <w:widowControl/>
      </w:pPr>
      <w:r>
        <w:rPr>
          <w:rFonts w:ascii="Calibri" w:hAnsi="Calibri" w:cs="Calibri"/>
        </w:rPr>
        <w:t>Provider output is untrusted data. Unknown operations, fields, components, variants, bindings, assets, profiles, or parameters fail closed. Invalid, failed, stale, or rejected proposals leave the active draft and history unchanged. Whole-storefront proposals apply and undo atomically.</w:t>
      </w:r>
    </w:p>
    <w:p>
      <w:pPr>
        <w:pStyle w:val="Heading2"/>
        <w:keepNext/>
        <w:widowControl/>
      </w:pPr>
      <w:r>
        <w:rPr>
          <w:rFonts w:ascii="Calibri" w:hAnsi="Calibri" w:cs="Calibri"/>
        </w:rPr>
        <w:t>6.2 Package and routing authority</w:t>
      </w:r>
    </w:p>
    <w:p>
      <w:pPr>
        <w:pStyle w:val="Normal"/>
        <w:widowControl/>
      </w:pPr>
      <w:r>
        <w:rPr>
          <w:rFonts w:ascii="Calibri" w:hAnsi="Calibri" w:cs="Calibri"/>
        </w:rPr>
        <w:t>Initial generation and follow-up editing use distinct governed packages with different permissions, input authority, and evidence requirements. The strict router resolves selected-section, current-page, shared-frame, and whole-storefront scope. Ambiguous requests require clarification; they must not silently broaden scope.</w:t>
      </w:r>
    </w:p>
    <w:p>
      <w:pPr>
        <w:pStyle w:val="Normal"/>
        <w:widowControl/>
      </w:pPr>
      <w:r>
        <w:rPr>
          <w:rFonts w:ascii="Calibri" w:hAnsi="Calibri" w:cs="Calibri"/>
        </w:rPr>
        <w:t>P10A owns these internal authorities and their functional evidence. P10C owns their merchant-operable presentation in Storefront Studio: routing feedback, clarification UI, frame/page scope controls, and execution from the normal editor. Merchant-facing wiring is not a P10A closure requirement.</w:t>
      </w:r>
    </w:p>
    <w:p>
      <w:pPr>
        <w:pStyle w:val="Heading2"/>
        <w:keepNext/>
        <w:widowControl/>
      </w:pPr>
      <w:r>
        <w:rPr>
          <w:rFonts w:ascii="Calibri" w:hAnsi="Calibri" w:cs="Calibri"/>
        </w:rPr>
        <w:t>6.3 Parameters and providers</w:t>
      </w:r>
    </w:p>
    <w:p>
      <w:pPr>
        <w:pStyle w:val="Normal"/>
        <w:widowControl/>
      </w:pPr>
      <w:r>
        <w:rPr>
          <w:rFonts w:ascii="Calibri" w:hAnsi="Calibri" w:cs="Calibri"/>
        </w:rPr>
        <w:t>Only registered bounded parameters may be expressed. Unsupported canonical runtime projection must fail with a typed deterministic error before proposal compilation; parameters may never be silently discarded. Provider-specific request and response formats stay behind adapters. The deterministic provider remains the default for reliable tests.</w:t>
      </w:r>
    </w:p>
    <w:p>
      <w:pPr>
        <w:pStyle w:val="Normal"/>
        <w:widowControl/>
      </w:pPr>
      <w:r>
        <w:rPr>
          <w:rFonts w:ascii="Calibri" w:hAnsi="Calibri" w:cs="Calibri"/>
        </w:rPr>
        <w:t>P10A-07C-03R controlled real-provider acceptance completed on 7 August 2026 through an explicitly authorized eligible trusted OpenAI configuration. One initial-generation case succeeded before one hero follow-up case; each used one provider call, neither retried, safe evidence was retained, and no save or publication occurred.</w:t>
      </w:r>
    </w:p>
    <w:p>
      <w:pPr>
        <w:pStyle w:val="Heading1"/>
        <w:keepNext/>
        <w:widowControl/>
      </w:pPr>
      <w:r>
        <w:rPr>
          <w:rFonts w:ascii="Calibri" w:hAnsi="Calibri" w:cs="Calibri"/>
        </w:rPr>
        <w:t>7. Component, PageBlueprint and direction model</w:t>
      </w:r>
    </w:p>
    <w:p>
      <w:pPr>
        <w:pStyle w:val="Heading2"/>
        <w:keepNext/>
        <w:widowControl/>
      </w:pPr>
      <w:r>
        <w:rPr>
          <w:rFonts w:ascii="Calibri" w:hAnsi="Calibri" w:cs="Calibri"/>
        </w:rPr>
        <w:t>7.1 One registered capability platform</w:t>
      </w:r>
    </w:p>
    <w:p>
      <w:pPr>
        <w:pStyle w:val="Normal"/>
        <w:widowControl/>
      </w:pPr>
      <w:r>
        <w:rPr>
          <w:rFonts w:ascii="Consolas" w:hAnsi="Consolas" w:cs="Consolas"/>
          <w:sz w:val="19"/>
          <w:szCs w:val="19"/>
        </w:rPr>
        <w:t>ComponentDefinitionV2</w:t>
      </w:r>
      <w:r>
        <w:rPr>
          <w:rFonts w:ascii="Calibri" w:hAnsi="Calibri" w:cs="Calibri"/>
        </w:rPr>
        <w:t xml:space="preserve"> is the canonical component definition. Its generated capability manifest must be derived from live definitions and expose versions, families, meaningful variants, slots, fields, bindings, permissions, renderer identities, and migrations. Planners, compilers, editors, and renderers query this authority; they do not maintain duplicate component inventories.</w:t>
      </w:r>
    </w:p>
    <w:p>
      <w:pPr>
        <w:pStyle w:val="Normal"/>
        <w:widowControl/>
      </w:pPr>
      <w:r>
        <w:rPr>
          <w:rFonts w:ascii="Calibri" w:hAnsi="Calibri" w:cs="Calibri"/>
        </w:rPr>
        <w:t xml:space="preserve">Composite collection and product-detail PageBlueprint slots resolve through their canonical runtime owners, including </w:t>
      </w:r>
      <w:r>
        <w:rPr>
          <w:rFonts w:ascii="Consolas" w:hAnsi="Consolas" w:cs="Consolas"/>
          <w:sz w:val="19"/>
          <w:szCs w:val="19"/>
        </w:rPr>
        <w:t>dynamicCollectionCommerce</w:t>
      </w:r>
      <w:r>
        <w:rPr>
          <w:rFonts w:ascii="Calibri" w:hAnsi="Calibri" w:cs="Calibri"/>
        </w:rPr>
        <w:t xml:space="preserve"> and </w:t>
      </w:r>
      <w:r>
        <w:rPr>
          <w:rFonts w:ascii="Consolas" w:hAnsi="Consolas" w:cs="Consolas"/>
          <w:sz w:val="19"/>
          <w:szCs w:val="19"/>
        </w:rPr>
        <w:t>dynamicProductDetail</w:t>
      </w:r>
      <w:r>
        <w:rPr>
          <w:rFonts w:ascii="Calibri" w:hAnsi="Calibri" w:cs="Calibri"/>
        </w:rPr>
        <w:t>. Shared-frame and page selections bind to exact materialized slots. A registered but different variant is not an equivalent authority.</w:t>
      </w:r>
    </w:p>
    <w:p>
      <w:pPr>
        <w:pStyle w:val="Heading2"/>
        <w:keepNext/>
        <w:widowControl/>
      </w:pPr>
      <w:r>
        <w:rPr>
          <w:rFonts w:ascii="Calibri" w:hAnsi="Calibri" w:cs="Calibri"/>
        </w:rPr>
        <w:t>7.2 PageBlueprint authority</w:t>
      </w:r>
    </w:p>
    <w:p>
      <w:pPr>
        <w:pStyle w:val="Normal"/>
        <w:widowControl/>
      </w:pPr>
      <w:r>
        <w:rPr>
          <w:rFonts w:ascii="Calibri" w:hAnsi="Calibri" w:cs="Calibri"/>
        </w:rPr>
        <w:t xml:space="preserve">A commercial page recipe is only a registered constrained </w:t>
      </w:r>
      <w:r>
        <w:rPr>
          <w:rFonts w:ascii="Consolas" w:hAnsi="Consolas" w:cs="Consolas"/>
          <w:sz w:val="19"/>
          <w:szCs w:val="19"/>
        </w:rPr>
        <w:t>PageBlueprint</w:t>
      </w:r>
      <w:r>
        <w:rPr>
          <w:rFonts w:ascii="Calibri" w:hAnsi="Calibri" w:cs="Calibri"/>
        </w:rPr>
        <w:t xml:space="preserve"> profile. It may define permitted and default slots, component/variant compatibility, order, omission/fallback rules, bindings, assets, responsive constraints, and bounded parameters. It never becomes another page tree, template runtime, or independently executable recipe engine.</w:t>
      </w:r>
    </w:p>
    <w:p>
      <w:pPr>
        <w:pStyle w:val="Normal"/>
        <w:widowControl/>
      </w:pPr>
      <w:r>
        <w:rPr>
          <w:rFonts w:ascii="Calibri" w:hAnsi="Calibri" w:cs="Calibri"/>
        </w:rPr>
        <w:t>Materialization produces the exact canonical slots that proposal compilation, snapshot storage, editor projection, preview, and publication preserve. Optional authority may be inferred only from the exact current executable materialization; stale, unknown, or ambiguous authority fails closed.</w:t>
      </w:r>
    </w:p>
    <w:p>
      <w:pPr>
        <w:pStyle w:val="Heading2"/>
        <w:keepNext/>
        <w:widowControl/>
      </w:pPr>
      <w:r>
        <w:rPr>
          <w:rFonts w:ascii="Calibri" w:hAnsi="Calibri" w:cs="Calibri"/>
        </w:rPr>
        <w:t>7.3 Design inheritance</w:t>
      </w:r>
    </w:p>
    <w:p>
      <w:pPr>
        <w:pStyle w:val="Normal"/>
        <w:widowControl/>
      </w:pPr>
      <w:r>
        <w:rPr>
          <w:rFonts w:ascii="Calibri" w:hAnsi="Calibri" w:cs="Calibri"/>
        </w:rPr>
        <w:t>The exact inheritance chain is: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registered PageBlueprint profile</w:t>
      </w:r>
    </w:p>
    <w:p>
      <w:pPr>
        <w:pStyle w:val="CodeBlock"/>
        <w:shd w:val="clear" w:fill="F4F6F9"/>
        <w:ind w:left="180" w:right="180"/>
        <w:widowControl/>
      </w:pPr>
      <w:r>
        <w:rPr>
          <w:rFonts w:ascii="Consolas" w:hAnsi="Consolas" w:cs="Consolas"/>
          <w:sz w:val="19"/>
          <w:szCs w:val="19"/>
        </w:rPr>
        <w:t xml:space="preserve">  → compatible component family and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onsolas" w:hAnsi="Consolas" w:cs="Consolas"/>
          <w:sz w:val="19"/>
          <w:szCs w:val="19"/>
        </w:rPr>
        <w:t>BrandSystem</w:t>
      </w:r>
      <w:r>
        <w:rPr>
          <w:rFonts w:ascii="Calibri" w:hAnsi="Calibri" w:cs="Calibri"/>
        </w:rPr>
        <w:t xml:space="preserve"> owns global semantic presentation tokens. A PageBlueprint profile constrains page composition. A family and variant provide a maintained renderer implementation. An instance override may alter only registered bounded values. Direction packages select compatible combinations across this chain; they are not a second token system, recipe authority, or page authority.</w:t>
      </w:r>
    </w:p>
    <w:p>
      <w:pPr>
        <w:pStyle w:val="Heading2"/>
        <w:keepNext/>
        <w:widowControl/>
      </w:pPr>
      <w:r>
        <w:rPr>
          <w:rFonts w:ascii="Calibri" w:hAnsi="Calibri" w:cs="Calibri"/>
        </w:rPr>
        <w:t>7.4 Responsive and dynamic commerce rules</w:t>
      </w:r>
    </w:p>
    <w:p>
      <w:pPr>
        <w:pStyle w:val="Normal"/>
        <w:widowControl/>
      </w:pPr>
      <w:r>
        <w:rPr>
          <w:rFonts w:ascii="Calibri" w:hAnsi="Calibri" w:cs="Calibri"/>
        </w:rPr>
        <w:t>The same registered implementation renders in editor, preview, and published routes. Components must be keyboard accessible and responsive at 375, 768, 1024, and 1440 px. Product pages render all option groups supplied by canonical commerce, resolve selected variant price, availability, and media without mutation, handle incomplete and unavailable selections, and retain unknown attributes through a safe generic fallback.</w:t>
      </w:r>
    </w:p>
    <w:p>
      <w:pPr>
        <w:pStyle w:val="Heading2"/>
        <w:keepNext/>
        <w:widowControl/>
      </w:pPr>
      <w:r>
        <w:rPr>
          <w:rFonts w:ascii="Calibri" w:hAnsi="Calibri" w:cs="Calibri"/>
        </w:rPr>
        <w:t>7.5 Registered dynamicCollectionCommerce contract</w:t>
      </w:r>
    </w:p>
    <w:p>
      <w:pPr>
        <w:pStyle w:val="Normal"/>
        <w:widowControl/>
      </w:pPr>
      <w:r>
        <w:rPr>
          <w:rFonts w:ascii="Calibri" w:hAnsi="Calibri" w:cs="Calibri"/>
        </w:rPr>
        <w:t xml:space="preserve">The registered </w:t>
      </w:r>
      <w:r>
        <w:rPr>
          <w:rFonts w:ascii="Consolas" w:hAnsi="Consolas" w:cs="Consolas"/>
          <w:sz w:val="19"/>
          <w:szCs w:val="19"/>
        </w:rPr>
        <w:t>dynamicCollectionCommerce</w:t>
      </w:r>
      <w:r>
        <w:rPr>
          <w:rFonts w:ascii="Calibri" w:hAnsi="Calibri" w:cs="Calibri"/>
        </w:rPr>
        <w:t xml:space="preserve"> component uses a required, revision-bound </w:t>
      </w:r>
      <w:r>
        <w:rPr>
          <w:rFonts w:ascii="Consolas" w:hAnsi="Consolas" w:cs="Consolas"/>
          <w:sz w:val="19"/>
          <w:szCs w:val="19"/>
        </w:rPr>
        <w:t>primaryCollection</w:t>
      </w:r>
      <w:r>
        <w:rPr>
          <w:rFonts w:ascii="Calibri" w:hAnsi="Calibri" w:cs="Calibri"/>
        </w:rPr>
        <w:t xml:space="preserve"> binding for the exact canonical collection identity and revision, and a required, revision-bound </w:t>
      </w:r>
      <w:r>
        <w:rPr>
          <w:rFonts w:ascii="Consolas" w:hAnsi="Consolas" w:cs="Consolas"/>
          <w:sz w:val="19"/>
          <w:szCs w:val="19"/>
        </w:rPr>
        <w:t>collectionProducts</w:t>
      </w:r>
      <w:r>
        <w:rPr>
          <w:rFonts w:ascii="Calibri" w:hAnsi="Calibri" w:cs="Calibri"/>
        </w:rPr>
        <w:t xml:space="preserve"> binding for its exact canonical ordered product membership. Where applicable, the optional </w:t>
      </w:r>
      <w:r>
        <w:rPr>
          <w:rFonts w:ascii="Consolas" w:hAnsi="Consolas" w:cs="Consolas"/>
          <w:sz w:val="19"/>
          <w:szCs w:val="19"/>
        </w:rPr>
        <w:t>childCollections</w:t>
      </w:r>
      <w:r>
        <w:rPr>
          <w:rFonts w:ascii="Calibri" w:hAnsi="Calibri" w:cs="Calibri"/>
        </w:rPr>
        <w:t xml:space="preserve"> binding carries the ordered canonical child-collection list. Filtering and sorting interactions emit typed presentation intents rather than mutating canonical commerce truth. Collection membership, price, stock, availability, and canonical media remain protected, and the same registered component renders through editor, preview, and published targets.</w:t>
      </w:r>
    </w:p>
    <w:p>
      <w:pPr>
        <w:pStyle w:val="Heading2"/>
        <w:keepNext/>
        <w:widowControl/>
      </w:pPr>
      <w:r>
        <w:rPr>
          <w:rFonts w:ascii="Calibri" w:hAnsi="Calibri" w:cs="Calibri"/>
        </w:rPr>
        <w:t>7.6 Registered dynamicProductDetail contract</w:t>
      </w:r>
    </w:p>
    <w:p>
      <w:pPr>
        <w:pStyle w:val="Normal"/>
        <w:widowControl/>
      </w:pPr>
      <w:r>
        <w:rPr>
          <w:rFonts w:ascii="Calibri" w:hAnsi="Calibri" w:cs="Calibri"/>
        </w:rPr>
        <w:t xml:space="preserve">The registered </w:t>
      </w:r>
      <w:r>
        <w:rPr>
          <w:rFonts w:ascii="Consolas" w:hAnsi="Consolas" w:cs="Consolas"/>
          <w:sz w:val="19"/>
          <w:szCs w:val="19"/>
        </w:rPr>
        <w:t>dynamicProductDetail</w:t>
      </w:r>
      <w:r>
        <w:rPr>
          <w:rFonts w:ascii="Calibri" w:hAnsi="Calibri" w:cs="Calibri"/>
        </w:rPr>
        <w:t xml:space="preserve"> component uses a required, revision-bound </w:t>
      </w:r>
      <w:r>
        <w:rPr>
          <w:rFonts w:ascii="Consolas" w:hAnsi="Consolas" w:cs="Consolas"/>
          <w:sz w:val="19"/>
          <w:szCs w:val="19"/>
        </w:rPr>
        <w:t>primaryProduct</w:t>
      </w:r>
      <w:r>
        <w:rPr>
          <w:rFonts w:ascii="Calibri" w:hAnsi="Calibri" w:cs="Calibri"/>
        </w:rPr>
        <w:t xml:space="preserve"> binding for the exact canonical product identity and revision. Its optional </w:t>
      </w:r>
      <w:r>
        <w:rPr>
          <w:rFonts w:ascii="Consolas" w:hAnsi="Consolas" w:cs="Consolas"/>
          <w:sz w:val="19"/>
          <w:szCs w:val="19"/>
        </w:rPr>
        <w:t>relatedProducts</w:t>
      </w:r>
      <w:r>
        <w:rPr>
          <w:rFonts w:ascii="Calibri" w:hAnsi="Calibri" w:cs="Calibri"/>
        </w:rPr>
        <w:t xml:space="preserve"> binding carries the ordered canonical related-product list, while </w:t>
      </w:r>
      <w:r>
        <w:rPr>
          <w:rFonts w:ascii="Consolas" w:hAnsi="Consolas" w:cs="Consolas"/>
          <w:sz w:val="19"/>
          <w:szCs w:val="19"/>
        </w:rPr>
        <w:t>productMedia</w:t>
      </w:r>
      <w:r>
        <w:rPr>
          <w:rFonts w:ascii="Calibri" w:hAnsi="Calibri" w:cs="Calibri"/>
        </w:rPr>
        <w:t xml:space="preserve"> remains the canonical protected product-media authority. Option selection uses the existing P6 option-resolution engine. The component emits typed selection and primary-action intent rather than mutating price, SKU, stock, availability, variants, or media. Unsupported or unknown option structures retain the generic option architecture, and the same registered component renders through editor, preview, and published targets.</w:t>
      </w:r>
    </w:p>
    <w:p>
      <w:pPr>
        <w:pStyle w:val="Heading1"/>
        <w:keepNext/>
        <w:widowControl/>
      </w:pPr>
      <w:r>
        <w:rPr>
          <w:rFonts w:ascii="Calibri" w:hAnsi="Calibri" w:cs="Calibri"/>
        </w:rPr>
        <w:t>8. State, editor and lifecycle</w:t>
      </w:r>
    </w:p>
    <w:p>
      <w:pPr>
        <w:pStyle w:val="Heading2"/>
        <w:keepNext/>
        <w:widowControl/>
      </w:pPr>
      <w:r>
        <w:rPr>
          <w:rFonts w:ascii="Calibri" w:hAnsi="Calibri" w:cs="Calibri"/>
        </w:rPr>
        <w:t>8.1 Canonical state</w:t>
      </w:r>
    </w:p>
    <w:p>
      <w:pPr>
        <w:pStyle w:val="Normal"/>
        <w:widowControl/>
      </w:pPr>
      <w:r>
        <w:rPr>
          <w:rFonts w:ascii="Consolas" w:hAnsi="Consolas" w:cs="Consolas"/>
          <w:sz w:val="19"/>
          <w:szCs w:val="19"/>
        </w:rPr>
        <w:t>StorefrontSnapshot</w:t>
      </w:r>
      <w:r>
        <w:rPr>
          <w:rFonts w:ascii="Calibri" w:hAnsi="Calibri" w:cs="Calibri"/>
        </w:rPr>
        <w:t xml:space="preserve"> contains the editable brand system, shared frame/navigation, pages, sections, bindings, presentation references, revisions, and provenance needed by the controlled lifecycle. </w:t>
      </w:r>
      <w:r>
        <w:rPr>
          <w:rFonts w:ascii="Consolas" w:hAnsi="Consolas" w:cs="Consolas"/>
          <w:sz w:val="19"/>
          <w:szCs w:val="19"/>
        </w:rPr>
        <w:t>PageModel</w:t>
      </w:r>
      <w:r>
        <w:rPr>
          <w:rFonts w:ascii="Calibri" w:hAnsi="Calibri" w:cs="Calibri"/>
        </w:rPr>
        <w:t xml:space="preserve"> is a member of that aggregate, not a competing canonical graph.</w:t>
      </w:r>
    </w:p>
    <w:p>
      <w:pPr>
        <w:pStyle w:val="Normal"/>
        <w:widowControl/>
      </w:pPr>
      <w:r>
        <w:rPr>
          <w:rFonts w:ascii="Calibri" w:hAnsi="Calibri" w:cs="Calibri"/>
        </w:rPr>
        <w:t>Draft mutation occurs only through validated commands and proposal acceptance. Every operation is scoped, reversible where required, and correlated to the current revision. A stale operation must not partially apply.</w:t>
      </w:r>
    </w:p>
    <w:p>
      <w:pPr>
        <w:pStyle w:val="Heading2"/>
        <w:keepNext/>
        <w:widowControl/>
      </w:pPr>
      <w:r>
        <w:rPr>
          <w:rFonts w:ascii="Calibri" w:hAnsi="Calibri" w:cs="Calibri"/>
        </w:rPr>
        <w:t>8.2 Puck boundary</w:t>
      </w:r>
    </w:p>
    <w:p>
      <w:pPr>
        <w:pStyle w:val="Normal"/>
        <w:widowControl/>
      </w:pPr>
      <w:r>
        <w:rPr>
          <w:rFonts w:ascii="Calibri" w:hAnsi="Calibri" w:cs="Calibri"/>
        </w:rPr>
        <w:t xml:space="preserve">Puck provides selection, insertion, drag-and-drop, reordering, fields, canvas mechanics, and viewport controls. Direct Puck types remain inside </w:t>
      </w:r>
      <w:r>
        <w:rPr>
          <w:rFonts w:ascii="Consolas" w:hAnsi="Consolas" w:cs="Consolas"/>
          <w:sz w:val="19"/>
          <w:szCs w:val="19"/>
        </w:rPr>
        <w:t>src/integrations/puck</w:t>
      </w:r>
      <w:r>
        <w:rPr>
          <w:rFonts w:ascii="Calibri" w:hAnsi="Calibri" w:cs="Calibri"/>
        </w:rPr>
        <w:t xml:space="preserve">. Puck data is transient adapter state. Raw Puck payloads, including Vesko's current </w:t>
      </w:r>
      <w:r>
        <w:rPr>
          <w:rFonts w:ascii="Consolas" w:hAnsi="Consolas" w:cs="Consolas"/>
          <w:sz w:val="19"/>
          <w:szCs w:val="19"/>
        </w:rPr>
        <w:t>/puck</w:t>
      </w:r>
      <w:r>
        <w:rPr>
          <w:rFonts w:ascii="Calibri" w:hAnsi="Calibri" w:cs="Calibri"/>
        </w:rPr>
        <w:t xml:space="preserve"> surface, are incompatible with canonical </w:t>
      </w:r>
      <w:r>
        <w:rPr>
          <w:rFonts w:ascii="Consolas" w:hAnsi="Consolas" w:cs="Consolas"/>
          <w:sz w:val="19"/>
          <w:szCs w:val="19"/>
        </w:rPr>
        <w:t>StorefrontSnapshot</w:t>
      </w:r>
      <w:r>
        <w:rPr>
          <w:rFonts w:ascii="Calibri" w:hAnsi="Calibri" w:cs="Calibri"/>
        </w:rPr>
        <w:t xml:space="preserve"> persistence and cannot become a save, history, or publication API.</w:t>
      </w:r>
    </w:p>
    <w:p>
      <w:pPr>
        <w:pStyle w:val="Heading2"/>
        <w:keepNext/>
        <w:widowControl/>
      </w:pPr>
      <w:r>
        <w:rPr>
          <w:rFonts w:ascii="Calibri" w:hAnsi="Calibri" w:cs="Calibri"/>
        </w:rPr>
        <w:t>8.3 Merchant lifecycle</w:t>
      </w:r>
    </w:p>
    <w:p>
      <w:pPr>
        <w:pStyle w:val="Normal"/>
        <w:widowControl/>
      </w:pPr>
      <w:r>
        <w:rPr>
          <w:rFonts w:ascii="Calibri" w:hAnsi="Calibri" w:cs="Calibri"/>
        </w:rPr>
        <w:t>Save draft and Publish changes remain distinct explicit actions. Editor, preview, history, restore, and publication must preserve the same canonical content and bindings. P10C closes the full merchant chain:</w:t>
      </w:r>
    </w:p>
    <w:p>
      <w:pPr>
        <w:pStyle w:val="CodeBlock"/>
        <w:shd w:val="clear" w:fill="F4F6F9"/>
        <w:ind w:left="180" w:right="180"/>
        <w:widowControl/>
      </w:pPr>
      <w:r>
        <w:rPr>
          <w:rFonts w:ascii="Consolas" w:hAnsi="Consolas" w:cs="Consolas"/>
          <w:sz w:val="19"/>
          <w:szCs w:val="19"/>
        </w:rPr>
        <w:t>select frame</w:t>
      </w:r>
    </w:p>
    <w:p>
      <w:pPr>
        <w:pStyle w:val="CodeBlock"/>
        <w:shd w:val="clear" w:fill="F4F6F9"/>
        <w:ind w:left="180" w:right="180"/>
        <w:widowControl/>
      </w:pPr>
      <w:r>
        <w:rPr>
          <w:rFonts w:ascii="Consolas" w:hAnsi="Consolas" w:cs="Consolas"/>
          <w:sz w:val="19"/>
          <w:szCs w:val="19"/>
        </w:rPr>
        <w:t xml:space="preserve">  → manual edit</w:t>
      </w:r>
    </w:p>
    <w:p>
      <w:pPr>
        <w:pStyle w:val="CodeBlock"/>
        <w:shd w:val="clear" w:fill="F4F6F9"/>
        <w:ind w:left="180" w:right="180"/>
        <w:widowControl/>
      </w:pPr>
      <w:r>
        <w:rPr>
          <w:rFonts w:ascii="Consolas" w:hAnsi="Consolas" w:cs="Consolas"/>
          <w:sz w:val="19"/>
          <w:szCs w:val="19"/>
        </w:rPr>
        <w:t xml:space="preserve">  → bounded AI edit elsewhere</w:t>
      </w:r>
    </w:p>
    <w:p>
      <w:pPr>
        <w:pStyle w:val="CodeBlock"/>
        <w:shd w:val="clear" w:fill="F4F6F9"/>
        <w:ind w:left="180" w:right="180"/>
        <w:widowControl/>
      </w:pPr>
      <w:r>
        <w:rPr>
          <w:rFonts w:ascii="Consolas" w:hAnsi="Consolas" w:cs="Consolas"/>
          <w:sz w:val="19"/>
          <w:szCs w:val="19"/>
        </w:rPr>
        <w:t xml:space="preserve">  → add/remove/reorder</w:t>
      </w:r>
    </w:p>
    <w:p>
      <w:pPr>
        <w:pStyle w:val="CodeBlock"/>
        <w:shd w:val="clear" w:fill="F4F6F9"/>
        <w:ind w:left="180" w:right="180"/>
        <w:widowControl/>
      </w:pPr>
      <w:r>
        <w:rPr>
          <w:rFonts w:ascii="Consolas" w:hAnsi="Consolas" w:cs="Consolas"/>
          <w:sz w:val="19"/>
          <w:szCs w:val="19"/>
        </w:rPr>
        <w:t xml:space="preserve">  → undo/redo</w:t>
      </w:r>
    </w:p>
    <w:p>
      <w:pPr>
        <w:pStyle w:val="CodeBlock"/>
        <w:shd w:val="clear" w:fill="F4F6F9"/>
        <w:ind w:left="180" w:right="180"/>
        <w:widowControl/>
      </w:pPr>
      <w:r>
        <w:rPr>
          <w:rFonts w:ascii="Consolas" w:hAnsi="Consolas" w:cs="Consolas"/>
          <w:sz w:val="19"/>
          <w:szCs w:val="19"/>
        </w:rPr>
        <w:t xml:space="preserve">  → save</w:t>
      </w:r>
    </w:p>
    <w:p>
      <w:pPr>
        <w:pStyle w:val="CodeBlock"/>
        <w:shd w:val="clear" w:fill="F4F6F9"/>
        <w:ind w:left="180" w:right="180"/>
        <w:widowControl/>
      </w:pPr>
      <w:r>
        <w:rPr>
          <w:rFonts w:ascii="Consolas" w:hAnsi="Consolas" w:cs="Consolas"/>
          <w:sz w:val="19"/>
          <w:szCs w:val="19"/>
        </w:rPr>
        <w:t xml:space="preserve">  → preview</w:t>
      </w:r>
    </w:p>
    <w:p>
      <w:pPr>
        <w:pStyle w:val="CodeBlock"/>
        <w:shd w:val="clear" w:fill="F4F6F9"/>
        <w:ind w:left="180" w:right="180"/>
        <w:widowControl/>
      </w:pPr>
      <w:r>
        <w:rPr>
          <w:rFonts w:ascii="Consolas" w:hAnsi="Consolas" w:cs="Consolas"/>
          <w:sz w:val="19"/>
          <w:szCs w:val="19"/>
        </w:rPr>
        <w:t xml:space="preserve">  → publish</w:t>
      </w:r>
    </w:p>
    <w:p>
      <w:pPr>
        <w:pStyle w:val="Normal"/>
        <w:widowControl/>
      </w:pPr>
    </w:p>
    <w:p>
      <w:pPr>
        <w:pStyle w:val="Normal"/>
        <w:widowControl/>
      </w:pPr>
      <w:r>
        <w:rPr>
          <w:rFonts w:ascii="Calibri" w:hAnsi="Calibri" w:cs="Calibri"/>
        </w:rPr>
        <w:t>The minimum pilot editor requires the asset library, canonical Puck boundary, stable frame identity, approved manual operations, the required Storefront Studio shell subset, and working save, preview, and publish actions.</w:t>
      </w:r>
    </w:p>
    <w:p>
      <w:pPr>
        <w:pStyle w:val="Heading1"/>
        <w:keepNext/>
        <w:widowControl/>
      </w:pPr>
      <w:r>
        <w:rPr>
          <w:rFonts w:ascii="Calibri" w:hAnsi="Calibri" w:cs="Calibri"/>
        </w:rPr>
        <w:t>9. Publishing architecture</w:t>
      </w:r>
    </w:p>
    <w:p>
      <w:pPr>
        <w:pStyle w:val="Heading2"/>
        <w:keepNext/>
        <w:widowControl/>
      </w:pPr>
      <w:r>
        <w:rPr>
          <w:rFonts w:ascii="Calibri" w:hAnsi="Calibri" w:cs="Calibri"/>
        </w:rPr>
        <w:t>9.1 Authoritative gateway</w:t>
      </w:r>
    </w:p>
    <w:p>
      <w:pPr>
        <w:pStyle w:val="Normal"/>
        <w:widowControl/>
      </w:pPr>
      <w:r>
        <w:rPr>
          <w:rFonts w:ascii="Calibri" w:hAnsi="Calibri" w:cs="Calibri"/>
        </w:rPr>
        <w:t xml:space="preserve">The browser may request and confirm publication but cannot publish directly, advance a pointer, or construct trusted accepted-AI authority. The server authenticates the merchant, checks the </w:t>
      </w:r>
      <w:r>
        <w:rPr>
          <w:rFonts w:ascii="Consolas" w:hAnsi="Consolas" w:cs="Consolas"/>
          <w:sz w:val="19"/>
          <w:szCs w:val="19"/>
        </w:rPr>
        <w:t>publishStorefront</w:t>
      </w:r>
      <w:r>
        <w:rPr>
          <w:rFonts w:ascii="Calibri" w:hAnsi="Calibri" w:cs="Calibri"/>
        </w:rPr>
        <w:t xml:space="preserve"> permission, resolves current project and draft authority, stores a bounded preparation, and invokes the authoritative </w:t>
      </w:r>
      <w:r>
        <w:rPr>
          <w:rFonts w:ascii="Consolas" w:hAnsi="Consolas" w:cs="Consolas"/>
          <w:sz w:val="19"/>
          <w:szCs w:val="19"/>
        </w:rPr>
        <w:t>StorefrontPublishingGateway</w:t>
      </w:r>
      <w:r>
        <w:rPr>
          <w:rFonts w:ascii="Calibri" w:hAnsi="Calibri" w:cs="Calibri"/>
        </w:rPr>
        <w:t>.</w:t>
      </w:r>
    </w:p>
    <w:p>
      <w:pPr>
        <w:pStyle w:val="Normal"/>
        <w:widowControl/>
      </w:pPr>
      <w:r>
        <w:rPr>
          <w:rFonts w:ascii="Calibri" w:hAnsi="Calibri" w:cs="Calibri"/>
        </w:rPr>
        <w:t>Manual and accepted-AI authority remain distinct. Accepted-AI publication resolves a durable, immutable acceptance receipt on the server and validates exact project, draft, proposal, snapshot, registry, manifest, profile, commerce, and approved-asset lineage. Browser-submitted receipt content is invalid. Stale authority, accept-then-undo divergence, and idempotency conflicts fail without moving publication state.</w:t>
      </w:r>
    </w:p>
    <w:p>
      <w:pPr>
        <w:pStyle w:val="Normal"/>
        <w:widowControl/>
      </w:pPr>
      <w:r>
        <w:rPr>
          <w:rFonts w:ascii="Calibri" w:hAnsi="Calibri" w:cs="Calibri"/>
        </w:rPr>
        <w:t>Authoritative governed acceptance accepts only bounded proposal/action identities and optimistic project/draft preconditions from the browser. It resolves the authenticated merchant context, server-retained proposal and review, current lifecycle, canonical draft, materialization, registry, manifest, package, commerce, and approved-asset authority itself. One accepted action owns one deterministic receipt identity; exact retries recover that receipt, while conflicting reuse fails closed. Prepare and confirm reload the persisted receipt and independently resolve current authority again. The same internal authority contract accepts governed initial-generation and follow-up proposals; normal merchant follow-up routing remains P10C-owned.</w:t>
      </w:r>
    </w:p>
    <w:p>
      <w:pPr>
        <w:pStyle w:val="Heading2"/>
        <w:keepNext/>
        <w:widowControl/>
      </w:pPr>
      <w:r>
        <w:rPr>
          <w:rFonts w:ascii="Calibri" w:hAnsi="Calibri" w:cs="Calibri"/>
        </w:rPr>
        <w:t>9.2 Deterministic compiler</w:t>
      </w:r>
    </w:p>
    <w:p>
      <w:pPr>
        <w:pStyle w:val="Normal"/>
        <w:widowControl/>
      </w:pPr>
      <w:r>
        <w:rPr>
          <w:rFonts w:ascii="Calibri" w:hAnsi="Calibri" w:cs="Calibri"/>
        </w:rPr>
        <w:t xml:space="preserve">The publish compiler transforms the exact authorized </w:t>
      </w:r>
      <w:r>
        <w:rPr>
          <w:rFonts w:ascii="Consolas" w:hAnsi="Consolas" w:cs="Consolas"/>
          <w:sz w:val="19"/>
          <w:szCs w:val="19"/>
        </w:rPr>
        <w:t>StorefrontSnapshot</w:t>
      </w:r>
      <w:r>
        <w:rPr>
          <w:rFonts w:ascii="Calibri" w:hAnsi="Calibri" w:cs="Calibri"/>
        </w:rPr>
        <w:t xml:space="preserve"> and current live authorities into an immutable renderer-ready result and deterministic compile receipt. It is write-free and provider-free. It validates component/profile/renderer reachability, bindings, protected commerce, routes, locales, assets, accessibility, and migrations. Confirmation reloads authority and recompiles; any identity drift fails before publication.</w:t>
      </w:r>
    </w:p>
    <w:p>
      <w:pPr>
        <w:pStyle w:val="Heading2"/>
        <w:keepNext/>
        <w:widowControl/>
      </w:pPr>
      <w:r>
        <w:rPr>
          <w:rFonts w:ascii="Calibri" w:hAnsi="Calibri" w:cs="Calibri"/>
        </w:rPr>
        <w:t>9.3 Atomic compiled publication and rollback</w:t>
      </w:r>
    </w:p>
    <w:p>
      <w:pPr>
        <w:pStyle w:val="Normal"/>
        <w:widowControl/>
      </w:pPr>
      <w:r>
        <w:rPr>
          <w:rFonts w:ascii="Calibri" w:hAnsi="Calibri" w:cs="Calibri"/>
        </w:rPr>
        <w:t>P10A-08C-02B atomically persists the canonical published snapshot, immutable compiled artifact, append-only published version/history, completed publication operation, and active artifact/version pointer through the existing repository transaction. The artifact retains the exact deterministic compiler result and receipt, source snapshot fingerprint, manual or accepted-AI lineage, compiler and registry/profile authority, route/locale/asset/commerce fingerprints, operation identity, timestamp, and integrity fingerprint. Reads validate integrity and all correlated identities. Stale active-version, draft, receipt, or compiler authority and injected artifact/version/pointer failures leave the prior live state unchanged.</w:t>
      </w:r>
    </w:p>
    <w:p>
      <w:pPr>
        <w:pStyle w:val="Normal"/>
        <w:widowControl/>
      </w:pPr>
      <w:r>
        <w:rPr>
          <w:rFonts w:ascii="Calibri" w:hAnsi="Calibri" w:cs="Calibri"/>
        </w:rPr>
        <w:t>Rollback restores a selected historical published snapshot as a new canonical draft while the current live version remains unchanged. Only a later explicit Publish performs a fresh compilation, creates a new immutable version, and advances the active pointer. An older artifact is never repointed or reused as a new publication. These derived records are not another editable model or commerce snapshot.</w:t>
      </w:r>
    </w:p>
    <w:p>
      <w:pPr>
        <w:pStyle w:val="Heading2"/>
        <w:keepNext/>
        <w:widowControl/>
      </w:pPr>
      <w:r>
        <w:rPr>
          <w:rFonts w:ascii="Calibri" w:hAnsi="Calibri" w:cs="Calibri"/>
        </w:rPr>
        <w:t>9.4 Complete publication evidence</w:t>
      </w:r>
    </w:p>
    <w:p>
      <w:pPr>
        <w:pStyle w:val="Normal"/>
        <w:widowControl/>
      </w:pPr>
      <w:r>
        <w:rPr>
          <w:rFonts w:ascii="Calibri" w:hAnsi="Calibri" w:cs="Calibri"/>
        </w:rPr>
        <w:t>P10A-08D-02 retains correlated deterministic, integration, browser, and narrow human publication evidence for both manual and accepted-AI authority. It binds the trusted source draft or accepted receipt, preparation, operation, compile receipt/result, immutable artifact/version, active pointer, published snapshot, and exact home, collection, and PDP observations. The evidence also proves draft/published isolation, stale and injected-failure preservation, immutable history, restore-to-new-draft, fresh explicit republish, and zero external AI-provider calls during publication. This is functional publication evidence, not P10B commercial visual acceptance.</w:t>
      </w:r>
    </w:p>
    <w:p>
      <w:pPr>
        <w:pStyle w:val="Normal"/>
        <w:widowControl/>
      </w:pPr>
      <w:r>
        <w:rPr>
          <w:rFonts w:ascii="Calibri" w:hAnsi="Calibri" w:cs="Calibri"/>
        </w:rPr>
        <w:t xml:space="preserve">P10A-09 reconciles this evidence with every other P10A gate in the formal </w:t>
      </w:r>
      <w:hyperlink r:id="rIdHyperlink5" w:history="1">
        <w:r>
          <w:rPr>
            <w:rFonts w:ascii="Calibri" w:hAnsi="Calibri" w:cs="Calibri"/>
            <w:color w:val="2E74B5"/>
            <w:u w:val="single"/>
          </w:rPr>
          <w:t>P10A phase closure record</w:t>
        </w:r>
      </w:hyperlink>
      <w:r>
        <w:rPr>
          <w:rFonts w:ascii="Calibri" w:hAnsi="Calibri" w:cs="Calibri"/>
        </w:rPr>
        <w:t>. P10A is Baseline / closed; this functional publication evidence still does not claim P10B commercial visual acceptance.</w:t>
      </w:r>
    </w:p>
    <w:p>
      <w:pPr>
        <w:pStyle w:val="Heading1"/>
        <w:keepNext/>
        <w:widowControl/>
      </w:pPr>
      <w:r>
        <w:rPr>
          <w:rFonts w:ascii="Calibri" w:hAnsi="Calibri" w:cs="Calibri"/>
        </w:rPr>
        <w:t>10. Commercial Storefront Generation System</w:t>
      </w:r>
    </w:p>
    <w:p>
      <w:pPr>
        <w:pStyle w:val="Heading2"/>
        <w:keepNext/>
        <w:widowControl/>
      </w:pPr>
      <w:r>
        <w:rPr>
          <w:rFonts w:ascii="Calibri" w:hAnsi="Calibri" w:cs="Calibri"/>
        </w:rPr>
        <w:t>10.1 Current ceiling</w:t>
      </w:r>
    </w:p>
    <w:p>
      <w:pPr>
        <w:pStyle w:val="Normal"/>
        <w:widowControl/>
      </w:pPr>
      <w:r>
        <w:rPr>
          <w:rFonts w:ascii="Calibri" w:hAnsi="Calibri" w:cs="Calibri"/>
        </w:rPr>
        <w:t>The current output is a competent, clean, responsive catalogue store. Homepage composition has the most useful range; collection and PDP profiles are functionally safe but visually narrow. Typography, spacing, layout, surfaces, controls, image art direction, shared frame, product cards, and narrative depth do not yet form a sufficiently differentiated commercial system. Valid schemas, component counts, fixture screenshots, and deterministic tests cannot establish commercial quality.</w:t>
      </w:r>
    </w:p>
    <w:p>
      <w:pPr>
        <w:pStyle w:val="Heading2"/>
        <w:keepNext/>
        <w:widowControl/>
      </w:pPr>
      <w:r>
        <w:rPr>
          <w:rFonts w:ascii="Calibri" w:hAnsi="Calibri" w:cs="Calibri"/>
        </w:rPr>
        <w:t>10.2 P10B outcome and binding architecture</w:t>
      </w:r>
    </w:p>
    <w:p>
      <w:pPr>
        <w:pStyle w:val="Normal"/>
        <w:widowControl/>
      </w:pPr>
      <w:r>
        <w:rPr>
          <w:rFonts w:ascii="Calibri" w:hAnsi="Calibri" w:cs="Calibri"/>
        </w:rPr>
        <w:t>P10B delivers Commercial Storefront Generation System v1 through the existing canonical authorities. The internal commercial design system is one P10B subsystem; the phase also owns the site map, complete registered page set, navigation composition, bounded storefront synthesis, diversity control, responsive presentation, and commercial evidence.</w:t>
      </w:r>
    </w:p>
    <w:p>
      <w:pPr>
        <w:pStyle w:val="Normal"/>
        <w:widowControl/>
      </w:pPr>
      <w:r>
        <w:rPr>
          <w:rFonts w:ascii="Calibri" w:hAnsi="Calibri" w:cs="Calibri"/>
        </w:rPr>
        <w:t xml:space="preserve">The binding model and locked 18-task sequence live in </w:t>
      </w:r>
      <w:hyperlink r:id="rIdHyperlink6" w:history="1">
        <w:r>
          <w:rPr>
            <w:rFonts w:ascii="Calibri" w:hAnsi="Calibri" w:cs="Calibri"/>
            <w:color w:val="2E74B5"/>
            <w:u w:val="single"/>
          </w:rPr>
          <w:t>P10B_COMMERCIAL_STOREFRONT_GENERATION_ARCHITECTURE.md</w:t>
        </w:r>
      </w:hyperlink>
      <w:r>
        <w:rPr>
          <w:rFonts w:ascii="Calibri" w:hAnsi="Calibri" w:cs="Calibri"/>
        </w:rPr>
        <w:t xml:space="preserve">. The architecture produces one complete Premium Editorial storefront before broad synthesis and direction expansion. P10B-01 is Baseline; its executable contract and evidence are recorded in </w:t>
      </w:r>
      <w:hyperlink r:id="rIdHyperlink7" w:history="1">
        <w:r>
          <w:rPr>
            <w:rFonts w:ascii="Calibri" w:hAnsi="Calibri" w:cs="Calibri"/>
            <w:color w:val="2E74B5"/>
            <w:u w:val="single"/>
          </w:rPr>
          <w:t>P10B_01_COMMERCIAL_DESIGN_GRAMMAR.md</w:t>
        </w:r>
      </w:hyperlink>
      <w:r>
        <w:rPr>
          <w:rFonts w:ascii="Calibri" w:hAnsi="Calibri" w:cs="Calibri"/>
        </w:rPr>
        <w:t xml:space="preserve">. P10B-02 Design DNA is Baseline under </w:t>
      </w:r>
      <w:hyperlink r:id="rIdHyperlink8" w:history="1">
        <w:r>
          <w:rPr>
            <w:rFonts w:ascii="Calibri" w:hAnsi="Calibri" w:cs="Calibri"/>
            <w:color w:val="2E74B5"/>
            <w:u w:val="single"/>
          </w:rPr>
          <w:t>P10B_02_PARAMETRIC_BRAND_SYSTEM.md</w:t>
        </w:r>
      </w:hyperlink>
      <w:r>
        <w:rPr>
          <w:rFonts w:ascii="Calibri" w:hAnsi="Calibri" w:cs="Calibri"/>
        </w:rPr>
        <w:t xml:space="preserve">, and P10B-03 anatomy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xml:space="preserve">. P10B-04 responsive image/art-direction authority is Baseline under </w:t>
      </w:r>
      <w:hyperlink r:id="rIdHyperlink10" w:history="1">
        <w:r>
          <w:rPr>
            <w:rFonts w:ascii="Calibri" w:hAnsi="Calibri" w:cs="Calibri"/>
            <w:color w:val="2E74B5"/>
            <w:u w:val="single"/>
          </w:rPr>
          <w:t>P10B_04_RESPONSIVE_IMAGE_ART_DIRECTION.md</w:t>
        </w:r>
      </w:hyperlink>
      <w:r>
        <w:rPr>
          <w:rFonts w:ascii="Calibri" w:hAnsi="Calibri" w:cs="Calibri"/>
        </w:rPr>
        <w:t xml:space="preserve">. P10B-05 page-set authority is Baseline under </w:t>
      </w:r>
      <w:hyperlink r:id="rIdHyperlink11" w:history="1">
        <w:r>
          <w:rPr>
            <w:rFonts w:ascii="Calibri" w:hAnsi="Calibri" w:cs="Calibri"/>
            <w:color w:val="2E74B5"/>
            <w:u w:val="single"/>
          </w:rPr>
          <w:t>P10B_05_SITE_MAP_AND_PAGE_FAMILY_AUTHORITY.md</w:t>
        </w:r>
      </w:hyperlink>
      <w:r>
        <w:rPr>
          <w:rFonts w:ascii="Calibri" w:hAnsi="Calibri" w:cs="Calibri"/>
        </w:rPr>
        <w:t xml:space="preserve">. P10B-06 shared-frame authority is Baseline under </w:t>
      </w:r>
      <w:hyperlink r:id="rIdHyperlink12" w:history="1">
        <w:r>
          <w:rPr>
            <w:rFonts w:ascii="Calibri" w:hAnsi="Calibri" w:cs="Calibri"/>
            <w:color w:val="2E74B5"/>
            <w:u w:val="single"/>
          </w:rPr>
          <w:t>P10B_06_COMMERCIAL_SHARED_FRAME_FAMILIES.md</w:t>
        </w:r>
      </w:hyperlink>
      <w:r>
        <w:rPr>
          <w:rFonts w:ascii="Calibri" w:hAnsi="Calibri" w:cs="Calibri"/>
        </w:rPr>
        <w:t xml:space="preserve">. P10B-08 product-card authority is Baseline under </w:t>
      </w:r>
      <w:hyperlink r:id="rIdHyperlink13" w:history="1">
        <w:r>
          <w:rPr>
            <w:rFonts w:ascii="Calibri" w:hAnsi="Calibri" w:cs="Calibri"/>
            <w:color w:val="2E74B5"/>
            <w:u w:val="single"/>
          </w:rPr>
          <w:t>P10B_08_CANONICAL_PRODUCT_CARD_AND_MERCHANDISING.md</w:t>
        </w:r>
      </w:hyperlink>
      <w:r>
        <w:rPr>
          <w:rFonts w:ascii="Calibri" w:hAnsi="Calibri" w:cs="Calibri"/>
        </w:rPr>
        <w:t>. These authorities remain disjoint: P10B-03 consumes P10B-02 compatibility where relevant without duplicating Design DNA authority, and P10B-05 owns only site-map/page-family/PageBlueprint page-set authority.</w:t>
      </w:r>
    </w:p>
    <w:p>
      <w:pPr>
        <w:pStyle w:val="Normal"/>
        <w:widowControl/>
      </w:pPr>
      <w:r>
        <w:rPr>
          <w:rFonts w:ascii="Calibri" w:hAnsi="Calibri" w:cs="Calibri"/>
        </w:rPr>
        <w:t>The canonical inheritance remains:</w:t>
      </w:r>
    </w:p>
    <w:p>
      <w:pPr>
        <w:pStyle w:val="CodeBlock"/>
        <w:shd w:val="clear" w:fill="F4F6F9"/>
        <w:ind w:left="180" w:right="180"/>
        <w:widowControl/>
      </w:pPr>
      <w:r>
        <w:rPr>
          <w:rFonts w:ascii="Consolas" w:hAnsi="Consolas" w:cs="Consolas"/>
          <w:sz w:val="19"/>
          <w:szCs w:val="19"/>
        </w:rPr>
        <w:t>BrandSystem</w:t>
      </w:r>
    </w:p>
    <w:p>
      <w:pPr>
        <w:pStyle w:val="CodeBlock"/>
        <w:shd w:val="clear" w:fill="F4F6F9"/>
        <w:ind w:left="180" w:right="180"/>
        <w:widowControl/>
      </w:pPr>
      <w:r>
        <w:rPr>
          <w:rFonts w:ascii="Consolas" w:hAnsi="Consolas" w:cs="Consolas"/>
          <w:sz w:val="19"/>
          <w:szCs w:val="19"/>
        </w:rPr>
        <w:t xml:space="preserve">  → PageBlueprint profile</w:t>
      </w:r>
    </w:p>
    <w:p>
      <w:pPr>
        <w:pStyle w:val="CodeBlock"/>
        <w:shd w:val="clear" w:fill="F4F6F9"/>
        <w:ind w:left="180" w:right="180"/>
        <w:widowControl/>
      </w:pPr>
      <w:r>
        <w:rPr>
          <w:rFonts w:ascii="Consolas" w:hAnsi="Consolas" w:cs="Consolas"/>
          <w:sz w:val="19"/>
          <w:szCs w:val="19"/>
        </w:rPr>
        <w:t xml:space="preserve">  → component family / meaningful variant</w:t>
      </w:r>
    </w:p>
    <w:p>
      <w:pPr>
        <w:pStyle w:val="CodeBlock"/>
        <w:shd w:val="clear" w:fill="F4F6F9"/>
        <w:ind w:left="180" w:right="180"/>
        <w:widowControl/>
      </w:pPr>
      <w:r>
        <w:rPr>
          <w:rFonts w:ascii="Consolas" w:hAnsi="Consolas" w:cs="Consolas"/>
          <w:sz w:val="19"/>
          <w:szCs w:val="19"/>
        </w:rPr>
        <w:t xml:space="preserve">  → bounded validated instance override</w:t>
      </w:r>
    </w:p>
    <w:p>
      <w:pPr>
        <w:pStyle w:val="Normal"/>
        <w:widowControl/>
      </w:pPr>
    </w:p>
    <w:p>
      <w:pPr>
        <w:pStyle w:val="Normal"/>
        <w:widowControl/>
      </w:pPr>
      <w:r>
        <w:rPr>
          <w:rFonts w:ascii="Calibri" w:hAnsi="Calibri" w:cs="Calibri"/>
        </w:rPr>
        <w:t>A blueprint owns structure, regions, hierarchy, slots, relationships, responsive transformation, and permitted layouts. Bounded finishing selects typed palette, typography, rhythm, containers, surfaces, controls, shape/elevation, density, image treatment, alignment, and visual weight. Raw CSS, class aliases, React, generated executable frontend code, and parallel token/page/recipe/ registry/direction authorities remain prohibited.</w:t>
      </w:r>
    </w:p>
    <w:p>
      <w:pPr>
        <w:pStyle w:val="Heading2"/>
        <w:keepNext/>
        <w:widowControl/>
      </w:pPr>
      <w:r>
        <w:rPr>
          <w:rFonts w:ascii="Calibri" w:hAnsi="Calibri" w:cs="Calibri"/>
        </w:rPr>
        <w:t>10.3 P10B-01 executable commercial grammar</w:t>
      </w:r>
    </w:p>
    <w:p>
      <w:pPr>
        <w:pStyle w:val="Normal"/>
        <w:widowControl/>
      </w:pPr>
      <w:r>
        <w:rPr>
          <w:rFonts w:ascii="Calibri" w:hAnsi="Calibri" w:cs="Calibri"/>
        </w:rPr>
        <w:t>The existing generated component/PageBlueprint capability manifest now includes one immutable, versioned commercial grammar. It closes typography posture/roles/scale/weight/tracking/line-height; container/rhythm/gutter/grid/alignment/density/visual-weight/balance; surfaces; action/control hierarchy; border/radius/elevation; media ratio/crop/focal-point/overlay/emphasis; responsive transformations; and commercial narrative roles.</w:t>
      </w:r>
    </w:p>
    <w:p>
      <w:pPr>
        <w:pStyle w:val="Normal"/>
        <w:widowControl/>
      </w:pPr>
      <w:r>
        <w:rPr>
          <w:rFonts w:ascii="Calibri" w:hAnsi="Calibri" w:cs="Calibri"/>
        </w:rPr>
        <w:t xml:space="preserve">Every category declares one primary owner plus exact narrowing and selection levels. Resolution follows </w:t>
      </w:r>
      <w:r>
        <w:rPr>
          <w:rFonts w:ascii="Consolas" w:hAnsi="Consolas" w:cs="Consolas"/>
          <w:sz w:val="19"/>
          <w:szCs w:val="19"/>
        </w:rPr>
        <w:t>BrandSystem → PageBlueprint profile → component family/meaningful variant → bounded validated instance override</w:t>
      </w:r>
      <w:r>
        <w:rPr>
          <w:rFonts w:ascii="Calibri" w:hAnsi="Calibri" w:cs="Calibri"/>
        </w:rPr>
        <w:t>; lower levels intersect inherited authority and cannot broaden it. Compatibility rules express allowed, prohibited, required, mutually exclusive, and narrowing- intersection relationships across profiles, components/variants, responsive modes, narrative roles, and asset/media requirements. The manifest and each effective selection have deterministic, order-insensitive fingerprints.</w:t>
      </w:r>
    </w:p>
    <w:p>
      <w:pPr>
        <w:pStyle w:val="Normal"/>
        <w:widowControl/>
      </w:pPr>
      <w:r>
        <w:rPr>
          <w:rFonts w:ascii="Calibri" w:hAnsi="Calibri" w:cs="Calibri"/>
        </w:rPr>
        <w:t>Valid v1.3 BrandSystem and executable PageBlueprint state is adapted deterministically without persisting another model. Unknown or stale authority, unregistered values, conflicts, widening, wrong-owner overrides, raw CSS/class/code, and incompatible protected-media selections fail closed with typed errors before proposal mutation. P10B-01 adds vocabulary/query authority only; it does not implement Design DNA persistence, component anatomy, art direction, site-map/page families, commercial renderers, synthesis, or visual-quality evidence.</w:t>
      </w:r>
    </w:p>
    <w:p>
      <w:pPr>
        <w:pStyle w:val="Heading2"/>
        <w:keepNext/>
        <w:widowControl/>
      </w:pPr>
      <w:r>
        <w:rPr>
          <w:rFonts w:ascii="Calibri" w:hAnsi="Calibri" w:cs="Calibri"/>
        </w:rPr>
        <w:t>10.4 P10B-05 site-map and page-family authority</w:t>
      </w:r>
    </w:p>
    <w:p>
      <w:pPr>
        <w:pStyle w:val="Normal"/>
        <w:widowControl/>
      </w:pPr>
      <w:r>
        <w:rPr>
          <w:rFonts w:ascii="Calibri" w:hAnsi="Calibri" w:cs="Calibri"/>
        </w:rPr>
        <w:t>The canonical page-family registry contains stable versioned authority for home, collection, search/results, product detail, About, Contact, locations, FAQ, shipping, returns, policy/legal, generic content, campaign/editorial landing, cart, checkout, no-results, empty, error, and 404. Each family declares its route class, required or optional commerce context, allowed PageBlueprint profile references, navigation eligibility, all-enabled-locale coverage, shared-frame requirement, approved-fact requirements, omission/fallback policy, and commerce-operation boundary.</w:t>
      </w:r>
    </w:p>
    <w:p>
      <w:pPr>
        <w:pStyle w:val="Normal"/>
        <w:widowControl/>
      </w:pPr>
      <w:r>
        <w:rPr>
          <w:rFonts w:ascii="Calibri" w:hAnsi="Calibri" w:cs="Calibri"/>
        </w:rPr>
        <w:t xml:space="preserve">One bounded transient site-map decision deterministically materializes the existing canonical </w:t>
      </w:r>
      <w:r>
        <w:rPr>
          <w:rFonts w:ascii="Consolas" w:hAnsi="Consolas" w:cs="Consolas"/>
          <w:sz w:val="19"/>
          <w:szCs w:val="19"/>
        </w:rPr>
        <w:t>StorefrontSnapshot.pages</w:t>
      </w:r>
      <w:r>
        <w:rPr>
          <w:rFonts w:ascii="Calibri" w:hAnsi="Calibri" w:cs="Calibri"/>
        </w:rPr>
        <w:t xml:space="preserve"> and </w:t>
      </w:r>
      <w:r>
        <w:rPr>
          <w:rFonts w:ascii="Consolas" w:hAnsi="Consolas" w:cs="Consolas"/>
          <w:sz w:val="19"/>
          <w:szCs w:val="19"/>
        </w:rPr>
        <w:t>StorefrontSnapshot.navigation</w:t>
      </w:r>
      <w:r>
        <w:rPr>
          <w:rFonts w:ascii="Calibri" w:hAnsi="Calibri" w:cs="Calibri"/>
        </w:rPr>
        <w:t xml:space="preserve">. Each resulting </w:t>
      </w:r>
      <w:r>
        <w:rPr>
          <w:rFonts w:ascii="Consolas" w:hAnsi="Consolas" w:cs="Consolas"/>
          <w:sz w:val="19"/>
          <w:szCs w:val="19"/>
        </w:rPr>
        <w:t>PageModel</w:t>
      </w:r>
      <w:r>
        <w:rPr>
          <w:rFonts w:ascii="Calibri" w:hAnsi="Calibri" w:cs="Calibri"/>
        </w:rPr>
        <w:t xml:space="preserve"> retains its exact family/profile/context/locale/shared-frame/evidence reference. There is no persisted site map beside the snapshot and no second page graph. Deterministic IDs and a canonical site-map fingerprint make repeated materialization stable.</w:t>
      </w:r>
    </w:p>
    <w:p>
      <w:pPr>
        <w:pStyle w:val="Normal"/>
        <w:widowControl/>
      </w:pPr>
      <w:r>
        <w:rPr>
          <w:rFonts w:ascii="Calibri" w:hAnsi="Calibri" w:cs="Calibri"/>
        </w:rPr>
        <w:t>Validation fails before mutation for unsafe or duplicate routes, missing or duplicate root, family/type/route mismatch, reserved namespace conflict, missing/cyclic parents, orphan or missing navigation, missing collection/product context, stale family/profile/frame authority, invalid EN/FI coverage, evidence-free factual pages, and utility pages that claim operational commerce authority. Optional evidence-gated pages are omitted with an explicit reason; required ones fail. Legacy P10A home/collection/PDP snapshots remain valid without implicit migration, and governed materialization preserves their exact existing sections and protected bindings through save/reload and deterministic publication compilation.</w:t>
      </w:r>
    </w:p>
    <w:p>
      <w:pPr>
        <w:pStyle w:val="Normal"/>
        <w:widowControl/>
      </w:pPr>
      <w:r>
        <w:rPr>
          <w:rFonts w:ascii="Calibri" w:hAnsi="Calibri" w:cs="Calibri"/>
        </w:rPr>
        <w:t>The minimum site-map profiles intentionally contain no component anatomy. P10B-05 establishes page-family/profile authority only; P10B-03 and P10B-06 through P10B-13 still own commercial component, frame, content/support, search, and utility presentation.</w:t>
      </w:r>
    </w:p>
    <w:p>
      <w:pPr>
        <w:pStyle w:val="Heading2"/>
        <w:keepNext/>
        <w:widowControl/>
      </w:pPr>
      <w:r>
        <w:rPr>
          <w:rFonts w:ascii="Calibri" w:hAnsi="Calibri" w:cs="Calibri"/>
        </w:rPr>
        <w:t>10.5 P10B-03 executable component anatomy</w:t>
      </w:r>
    </w:p>
    <w:p>
      <w:pPr>
        <w:pStyle w:val="Normal"/>
        <w:widowControl/>
      </w:pPr>
      <w:r>
        <w:rPr>
          <w:rFonts w:ascii="Consolas" w:hAnsi="Consolas" w:cs="Consolas"/>
          <w:sz w:val="19"/>
          <w:szCs w:val="19"/>
        </w:rPr>
        <w:t>ComponentDefinitionV2</w:t>
      </w:r>
      <w:r>
        <w:rPr>
          <w:rFonts w:ascii="Calibri" w:hAnsi="Calibri" w:cs="Calibri"/>
        </w:rPr>
        <w:t xml:space="preserve"> now carries optional versioned commercial anatomy with unique semantic regions, typed structural/finishing/content/commerce-binding/asset parameters, P10B-01 responsive transformations, embedded compatibility, exact variant classification, realized structural signatures, and deterministic migration metadata. The generated component capability manifest projects this authority and fails closed when a later consumer requires missing, stale, incompatible, not-ready, or non-meaningful commercial capability.</w:t>
      </w:r>
    </w:p>
    <w:p>
      <w:pPr>
        <w:pStyle w:val="Normal"/>
        <w:widowControl/>
      </w:pPr>
      <w:r>
        <w:rPr>
          <w:rFonts w:ascii="Calibri" w:hAnsi="Calibri" w:cs="Calibri"/>
        </w:rPr>
        <w:t>Required semantic regions and protected content, commerce, and asset inputs are validated fail closed. Mutable parameters remain bounded by their declared kind and cannot overwrite protected content or canonical commerce bindings.</w:t>
      </w:r>
    </w:p>
    <w:p>
      <w:pPr>
        <w:pStyle w:val="Normal"/>
        <w:widowControl/>
      </w:pPr>
      <w:r>
        <w:rPr>
          <w:rFonts w:ascii="Calibri" w:hAnsi="Calibri" w:cs="Calibri"/>
        </w:rPr>
        <w:t xml:space="preserve">All 28 current V2 component definitions and all 111 registered variants have explicit executable metadata. P10B-06 promotes exactly four header and four footer variants through realized shared- frame anatomy. P10B-07 promotes only registered hero, promotion, editorial and proof variants whose implementations declare and realize material hierarchy, region arrangement/presence, asset placement, content/CTA relationship, merchandising emphasis, navigation model, responsive transformation, or presentation-mode differences. All other current families remain explicitly </w:t>
      </w:r>
      <w:r>
        <w:rPr>
          <w:rFonts w:ascii="Consolas" w:hAnsi="Consolas" w:cs="Consolas"/>
          <w:sz w:val="19"/>
          <w:szCs w:val="19"/>
        </w:rPr>
        <w:t>notYetP10BCommercialReady</w:t>
      </w:r>
      <w:r>
        <w:rPr>
          <w:rFonts w:ascii="Calibri" w:hAnsi="Calibri" w:cs="Calibri"/>
        </w:rPr>
        <w:t xml:space="preserve"> unless their owning family task proves the same contract; compatibility aliases remain aliases and do not count as meaningful variants.</w:t>
      </w:r>
    </w:p>
    <w:p>
      <w:pPr>
        <w:pStyle w:val="Normal"/>
        <w:widowControl/>
      </w:pPr>
      <w:r>
        <w:rPr>
          <w:rFonts w:ascii="Calibri" w:hAnsi="Calibri" w:cs="Calibri"/>
        </w:rPr>
        <w:t xml:space="preserve">The contract is Baseline under </w:t>
      </w:r>
      <w:hyperlink r:id="rIdHyperlink9" w:history="1">
        <w:r>
          <w:rPr>
            <w:rFonts w:ascii="Calibri" w:hAnsi="Calibri" w:cs="Calibri"/>
            <w:color w:val="2E74B5"/>
            <w:u w:val="single"/>
          </w:rPr>
          <w:t>P10B_03_COMPONENT_ANATOMY_AND_MEANINGFUL_VARIANTS.md</w:t>
        </w:r>
      </w:hyperlink>
      <w:r>
        <w:rPr>
          <w:rFonts w:ascii="Calibri" w:hAnsi="Calibri" w:cs="Calibri"/>
        </w:rPr>
        <w:t>. P10B-06 delivers the shared-frame subset and P10B-07 delivers the hero/editorial/campaign/proof subset. Product-card, homepage-profile, collection-profile, and PDP-profile minimums remain later work. The anatomy contract does not create another component, compatibility, BrandSystem, or PageBlueprint authority.</w:t>
      </w:r>
    </w:p>
    <w:p>
      <w:pPr>
        <w:pStyle w:val="Heading2"/>
        <w:keepNext/>
        <w:widowControl/>
      </w:pPr>
      <w:r>
        <w:rPr>
          <w:rFonts w:ascii="Calibri" w:hAnsi="Calibri" w:cs="Calibri"/>
        </w:rPr>
        <w:t>10.6 P10B-02 parametric BrandSystem / Design DNA</w:t>
      </w:r>
    </w:p>
    <w:p>
      <w:pPr>
        <w:pStyle w:val="Normal"/>
        <w:widowControl/>
      </w:pPr>
      <w:r>
        <w:rPr>
          <w:rFonts w:ascii="Calibri" w:hAnsi="Calibri" w:cs="Calibri"/>
        </w:rPr>
        <w:t xml:space="preserve">The canonical </w:t>
      </w:r>
      <w:r>
        <w:rPr>
          <w:rFonts w:ascii="Consolas" w:hAnsi="Consolas" w:cs="Consolas"/>
          <w:sz w:val="19"/>
          <w:szCs w:val="19"/>
        </w:rPr>
        <w:t>BrandSystem</w:t>
      </w:r>
      <w:r>
        <w:rPr>
          <w:rFonts w:ascii="Calibri" w:hAnsi="Calibri" w:cs="Calibri"/>
        </w:rPr>
        <w:t xml:space="preserve"> now contains an optional versioned </w:t>
      </w:r>
      <w:r>
        <w:rPr>
          <w:rFonts w:ascii="Consolas" w:hAnsi="Consolas" w:cs="Consolas"/>
          <w:sz w:val="19"/>
          <w:szCs w:val="19"/>
        </w:rPr>
        <w:t>designDna</w:t>
      </w:r>
      <w:r>
        <w:rPr>
          <w:rFonts w:ascii="Calibri" w:hAnsi="Calibri" w:cs="Calibri"/>
        </w:rPr>
        <w:t xml:space="preserve"> field with deterministic legacy migration. Its strict bounded authority covers semantic colour and contrast relationships; approved font pairing and display/heading/body/utility/price roles; type scale, weight, line height, and tracking; spacing rhythm, gutters, gaps, insets, and container postures; surface, border, radius, and elevation grammar; action/control posture; global/page-purpose density; and default media ratio, crop, overlay, and prominence posture. Remote font URLs, raw CSS and spacing, invalid ranges or relationships, stale versions, malformed migration input, and lower-level widening fail closed.</w:t>
      </w:r>
    </w:p>
    <w:p>
      <w:pPr>
        <w:pStyle w:val="Normal"/>
        <w:widowControl/>
      </w:pPr>
      <w:r>
        <w:rPr>
          <w:rFonts w:ascii="Calibri" w:hAnsi="Calibri" w:cs="Calibri"/>
        </w:rPr>
        <w:t xml:space="preserve">One immutable canonical projection feeds the existing editor, preview, and published CSS-variable boundary. Shared frame, homepage, collection, and PDP consume the same fingerprinted foundations; current valid BrandSystem fixtures migrate deterministically, and exact Design DNA survives </w:t>
      </w:r>
      <w:r>
        <w:rPr>
          <w:rFonts w:ascii="Consolas" w:hAnsi="Consolas" w:cs="Consolas"/>
          <w:sz w:val="19"/>
          <w:szCs w:val="19"/>
        </w:rPr>
        <w:t>StorefrontSnapshot</w:t>
      </w:r>
      <w:r>
        <w:rPr>
          <w:rFonts w:ascii="Calibri" w:hAnsi="Calibri" w:cs="Calibri"/>
        </w:rPr>
        <w:t xml:space="preserve">, save/reload, and deterministic publication compilation. Premium Editorial and Modern Technical examples share identical colours while differing materially in typography, rhythm, containers, surfaces, controls, density, and media posture. Contract and lifecycle details are recorded in </w:t>
      </w:r>
      <w:hyperlink r:id="rIdHyperlink8" w:history="1">
        <w:r>
          <w:rPr>
            <w:rFonts w:ascii="Calibri" w:hAnsi="Calibri" w:cs="Calibri"/>
            <w:color w:val="2E74B5"/>
            <w:u w:val="single"/>
          </w:rPr>
          <w:t>P10B_02_PARAMETRIC_BRAND_SYSTEM.md</w:t>
        </w:r>
      </w:hyperlink>
      <w:r>
        <w:rPr>
          <w:rFonts w:ascii="Calibri" w:hAnsi="Calibri" w:cs="Calibri"/>
        </w:rPr>
        <w:t>.</w:t>
      </w:r>
    </w:p>
    <w:p>
      <w:pPr>
        <w:pStyle w:val="Normal"/>
        <w:widowControl/>
      </w:pPr>
      <w:r>
        <w:rPr>
          <w:rFonts w:ascii="Calibri" w:hAnsi="Calibri" w:cs="Calibri"/>
        </w:rPr>
        <w:t>P10B-02 by itself does not claim P10B-03 anatomy, P10B-04 art direction, P10B-05 page families, later commercial render families, synthesis, scale diversity, or retained human quality.</w:t>
      </w:r>
    </w:p>
    <w:p>
      <w:pPr>
        <w:pStyle w:val="Heading2"/>
        <w:keepNext/>
        <w:widowControl/>
      </w:pPr>
      <w:r>
        <w:rPr>
          <w:rFonts w:ascii="Calibri" w:hAnsi="Calibri" w:cs="Calibri"/>
        </w:rPr>
        <w:t>10.7 P10B-04 responsive image and art-direction authority</w:t>
      </w:r>
    </w:p>
    <w:p>
      <w:pPr>
        <w:pStyle w:val="Normal"/>
        <w:widowControl/>
      </w:pPr>
      <w:r>
        <w:rPr>
          <w:rFonts w:ascii="Calibri" w:hAnsi="Calibri" w:cs="Calibri"/>
        </w:rPr>
        <w:t>The existing approved asset presentation now embeds one optional, versioned responsive-image authority. It binds normalized focal point and safe area, typed ratio, bounded crop and overlay, exact registered breakpoints, immutable source and approved-derivative lineage, exact component version/variant/anatomy region/asset slot, and a deterministic material fingerprint. It contains no transformed URL, arbitrary CSS, executable output, second asset registry, or responsive-state store.</w:t>
      </w:r>
    </w:p>
    <w:p>
      <w:pPr>
        <w:pStyle w:val="Normal"/>
        <w:widowControl/>
      </w:pPr>
      <w:r>
        <w:rPr>
          <w:rFonts w:ascii="Calibri" w:hAnsi="Calibri" w:cs="Calibri"/>
        </w:rPr>
        <w:t>Validation consumes current P10B-02 Design DNA and P10B-03 anatomy/slot authority. Lower-level treatments can narrow but cannot broaden DNA media defaults or component role/cardinality. Exact breakpoint selection falls back deterministically through compatible registered breakpoints and the valid source treatment; optional omission remains owned by the component slot. Invalid geometry, unsafe safe-area exclusion, stale fingerprints/definitions, wrong role/slot/anatomy/source, unapproved derivatives, and broadening fail closed.</w:t>
      </w:r>
    </w:p>
    <w:p>
      <w:pPr>
        <w:pStyle w:val="Normal"/>
        <w:widowControl/>
      </w:pPr>
      <w:r>
        <w:rPr>
          <w:rFonts w:ascii="Calibri" w:hAnsi="Calibri" w:cs="Calibri"/>
        </w:rPr>
        <w:t xml:space="preserve">Canonical product media remains commerce-owned. Presentation authority retains exact product ID, media ID, role, revision, membership and order; wrong-product lineage, editorial replacement, and editorial product crop geometry fail. Homepage editorial, collection-card and PDP media share one semantic </w:t>
      </w:r>
      <w:r>
        <w:rPr>
          <w:rFonts w:ascii="Consolas" w:hAnsi="Consolas" w:cs="Consolas"/>
          <w:sz w:val="19"/>
          <w:szCs w:val="19"/>
        </w:rPr>
        <w:t>picture</w:t>
      </w:r>
      <w:r>
        <w:rPr>
          <w:rFonts w:ascii="Calibri" w:hAnsi="Calibri" w:cs="Calibri"/>
        </w:rPr>
        <w:t xml:space="preserve"> renderer across editor, preview and published targets. Legacy presentations default deterministically without fixture rewrites, while authored authority survives snapshot, save/reload, compiler fingerprinting and compiled output exactly.</w:t>
      </w:r>
    </w:p>
    <w:p>
      <w:pPr>
        <w:pStyle w:val="Normal"/>
        <w:widowControl/>
      </w:pPr>
      <w:r>
        <w:rPr>
          <w:rFonts w:ascii="Calibri" w:hAnsi="Calibri" w:cs="Calibri"/>
        </w:rPr>
        <w:t xml:space="preserve">The contract and deterministic/browser evidence are recorded in </w:t>
      </w:r>
      <w:hyperlink r:id="rIdHyperlink10" w:history="1">
        <w:r>
          <w:rPr>
            <w:rFonts w:ascii="Calibri" w:hAnsi="Calibri" w:cs="Calibri"/>
            <w:color w:val="2E74B5"/>
            <w:u w:val="single"/>
          </w:rPr>
          <w:t>P10B_04_RESPONSIVE_IMAGE_ART_DIRECTION.md</w:t>
        </w:r>
      </w:hyperlink>
      <w:r>
        <w:rPr>
          <w:rFonts w:ascii="Calibri" w:hAnsi="Calibri" w:cs="Calibri"/>
        </w:rPr>
        <w:t>. Production CDN derivative materialization, media editing, generated media, later commercial families and retained human commercial acceptance remain deferred.</w:t>
      </w:r>
    </w:p>
    <w:p>
      <w:pPr>
        <w:pStyle w:val="Heading2"/>
        <w:keepNext/>
        <w:widowControl/>
      </w:pPr>
      <w:r>
        <w:rPr>
          <w:rFonts w:ascii="Calibri" w:hAnsi="Calibri" w:cs="Calibri"/>
        </w:rPr>
        <w:t>10.8 P10B-07 hero, editorial, campaign and proof families</w:t>
      </w:r>
    </w:p>
    <w:p>
      <w:pPr>
        <w:pStyle w:val="Normal"/>
        <w:widowControl/>
      </w:pPr>
      <w:r>
        <w:rPr>
          <w:rFonts w:ascii="Calibri" w:hAnsi="Calibri" w:cs="Calibri"/>
        </w:rPr>
        <w:t xml:space="preserve">The existing homepage V2 registry now provides six canonical meaningful hero anatomies: editorial split, media-led, full-bleed overlay, asymmetric editorial, restrained copy-first and campaign merchandising. The legacy </w:t>
      </w:r>
      <w:r>
        <w:rPr>
          <w:rFonts w:ascii="Consolas" w:hAnsi="Consolas" w:cs="Consolas"/>
          <w:sz w:val="19"/>
          <w:szCs w:val="19"/>
        </w:rPr>
        <w:t>editorial</w:t>
      </w:r>
      <w:r>
        <w:rPr>
          <w:rFonts w:ascii="Calibri" w:hAnsi="Calibri" w:cs="Calibri"/>
        </w:rPr>
        <w:t xml:space="preserve">, </w:t>
      </w:r>
      <w:r>
        <w:rPr>
          <w:rFonts w:ascii="Consolas" w:hAnsi="Consolas" w:cs="Consolas"/>
          <w:sz w:val="19"/>
          <w:szCs w:val="19"/>
        </w:rPr>
        <w:t>fullBleed</w:t>
      </w:r>
      <w:r>
        <w:rPr>
          <w:rFonts w:ascii="Calibri" w:hAnsi="Calibri" w:cs="Calibri"/>
        </w:rPr>
        <w:t xml:space="preserve">, and </w:t>
      </w:r>
      <w:r>
        <w:rPr>
          <w:rFonts w:ascii="Consolas" w:hAnsi="Consolas" w:cs="Consolas"/>
          <w:sz w:val="19"/>
          <w:szCs w:val="19"/>
        </w:rPr>
        <w:t>minimal</w:t>
      </w:r>
      <w:r>
        <w:rPr>
          <w:rFonts w:ascii="Calibri" w:hAnsi="Calibri" w:cs="Calibri"/>
        </w:rPr>
        <w:t xml:space="preserve"> identifiers remain loadable compatibility aliases and do not inflate the meaningful count. Each promoted anatomy has an explicit presentation mode and deliberate mobile/tablet transformation.</w:t>
      </w:r>
    </w:p>
    <w:p>
      <w:pPr>
        <w:pStyle w:val="Normal"/>
        <w:widowControl/>
      </w:pPr>
      <w:r>
        <w:rPr>
          <w:rFonts w:ascii="Calibri" w:hAnsi="Calibri" w:cs="Calibri"/>
        </w:rPr>
        <w:t>The same registry and shared renderer provide reusable image/text, brand-story, craft/process, lookbook/gallery and continuation editorial compositions; five campaign/promotion compositions; and quote, proof-grid and service-assurance compositions. Their compatibility is bounded by page family and P10B-01 narrative role. This task enriches existing homepage PageBlueprint slots and did not itself create the later P10B-09 profile library or another component/page authority.</w:t>
      </w:r>
    </w:p>
    <w:p>
      <w:pPr>
        <w:pStyle w:val="Normal"/>
        <w:widowControl/>
      </w:pPr>
      <w:r>
        <w:rPr>
          <w:rFonts w:ascii="Calibri" w:hAnsi="Calibri" w:cs="Calibri"/>
        </w:rPr>
        <w:t>Hero and editorial assets retain P10B-04 responsive focal, crop, safe-area, ratio, overlay, derivative and lineage authority through the shared editor/preview/published image renderer. CSS fallbacks apply only to legacy direct images and do not override explicit art direction. All finishing continues to inherit P10B-02 Design DNA; no family-local palette, typography or spacing authority exists.</w:t>
      </w:r>
    </w:p>
    <w:p>
      <w:pPr>
        <w:pStyle w:val="Normal"/>
        <w:widowControl/>
      </w:pPr>
      <w:r>
        <w:rPr>
          <w:rFonts w:ascii="Calibri" w:hAnsi="Calibri" w:cs="Calibri"/>
        </w:rPr>
        <w:t xml:space="preserve">Proof items carry canonical approved evidence references as protected read-only content, but their embedded approval fields do not establish current authority. Render and publication conformance must match each item to a separately supplied current-evidence projection; changed revisions, revoked approval and stale fingerprints fail closed. Optional proof resolves to omission when no current approved evidence exists; required proof fails closed. The deterministic generation path selects the registered families through the existing executable PageBlueprint, proposal compiler, runtime state, </w:t>
      </w:r>
      <w:r>
        <w:rPr>
          <w:rFonts w:ascii="Consolas" w:hAnsi="Consolas" w:cs="Consolas"/>
          <w:sz w:val="19"/>
          <w:szCs w:val="19"/>
        </w:rPr>
        <w:t>StorefrontSnapshot</w:t>
      </w:r>
      <w:r>
        <w:rPr>
          <w:rFonts w:ascii="Calibri" w:hAnsi="Calibri" w:cs="Calibri"/>
        </w:rPr>
        <w:t xml:space="preserve">, save/reload and publication compiler with zero provider calls. Focused and browser evidence is recorded in </w:t>
      </w:r>
      <w:hyperlink r:id="rIdHyperlink14" w:history="1">
        <w:r>
          <w:rPr>
            <w:rFonts w:ascii="Calibri" w:hAnsi="Calibri" w:cs="Calibri"/>
            <w:color w:val="2E74B5"/>
            <w:u w:val="single"/>
          </w:rPr>
          <w:t>P10B_07_HERO_EDITORIAL_CAMPAIGN_PROOF_FAMILIES.md</w:t>
        </w:r>
      </w:hyperlink>
      <w:r>
        <w:rPr>
          <w:rFonts w:ascii="Calibri" w:hAnsi="Calibri" w:cs="Calibri"/>
        </w:rPr>
        <w:t>.</w:t>
      </w:r>
    </w:p>
    <w:p>
      <w:pPr>
        <w:pStyle w:val="Heading2"/>
        <w:keepNext/>
        <w:widowControl/>
      </w:pPr>
      <w:r>
        <w:rPr>
          <w:rFonts w:ascii="Calibri" w:hAnsi="Calibri" w:cs="Calibri"/>
        </w:rPr>
        <w:t>10.9 P10B-06 commercial shared-frame authority</w:t>
      </w:r>
    </w:p>
    <w:p>
      <w:pPr>
        <w:pStyle w:val="Normal"/>
        <w:widowControl/>
      </w:pPr>
      <w:r>
        <w:rPr>
          <w:rFonts w:ascii="Calibri" w:hAnsi="Calibri" w:cs="Calibri"/>
        </w:rPr>
        <w:t xml:space="preserve">One optional canonical </w:t>
      </w:r>
      <w:r>
        <w:rPr>
          <w:rFonts w:ascii="Consolas" w:hAnsi="Consolas" w:cs="Consolas"/>
          <w:sz w:val="19"/>
          <w:szCs w:val="19"/>
        </w:rPr>
        <w:t>StorefrontSnapshot.sharedFrame</w:t>
      </w:r>
      <w:r>
        <w:rPr>
          <w:rFonts w:ascii="Calibri" w:hAnsi="Calibri" w:cs="Calibri"/>
        </w:rPr>
        <w:t xml:space="preserve"> stores the exact selected commercial frame profile, authority version/fingerprint, and canonical announcement/header/footer sections once for the storefront. Explicit deterministic migration promotes legacy page-local frame sections into this root authority; legacy P9/P10A snapshots remain valid until that selection is requested.</w:t>
      </w:r>
    </w:p>
    <w:p>
      <w:pPr>
        <w:pStyle w:val="Normal"/>
        <w:widowControl/>
      </w:pPr>
      <w:r>
        <w:rPr>
          <w:rFonts w:ascii="Calibri" w:hAnsi="Calibri" w:cs="Calibri"/>
        </w:rPr>
        <w:t>Four registered structural profiles—editorial masthead, commerce utility-led, centred minimal, and compact technical—coordinate brand, canonical primary/service navigation, available search/cart destinations, locale controls, mobile navigation, and footer hierarchy. They resolve through the generated P10B-03 commercial-capability manifest to four meaningful header and four meaningful footer variants. Their three mobile modes are drawer, stacked disclosure, and compact overlay; their four footer compositions are brand/editorial, service/navigation, navigation columns, and compact commerce/legal.</w:t>
      </w:r>
    </w:p>
    <w:p>
      <w:pPr>
        <w:pStyle w:val="Normal"/>
        <w:widowControl/>
      </w:pPr>
      <w:r>
        <w:rPr>
          <w:rFonts w:ascii="Calibri" w:hAnsi="Calibri" w:cs="Calibri"/>
        </w:rPr>
        <w:t>The bounded frame proposal binds the exact source snapshot ID, revision, content fingerprint, profile identity, authority version, and authority fingerprint. A stale proposal fails before projection. Header/footer pairing, responsive transformations, canonical routes, approved asset lineage, and protected commerce also validate fail closed. Search, cart, service, and footer links appear only from P10B-05 page/navigation authority; no policy, location, service, guarantee, or route is invented. P10B-04 art direction applies only to approved frame asset placements that exist. Design DNA controls the visual foundations without changing profile structure or adding a frame-local token system.</w:t>
      </w:r>
    </w:p>
    <w:p>
      <w:pPr>
        <w:pStyle w:val="Normal"/>
        <w:widowControl/>
      </w:pPr>
      <w:r>
        <w:rPr>
          <w:rFonts w:ascii="Calibri" w:hAnsi="Calibri" w:cs="Calibri"/>
        </w:rPr>
        <w:t xml:space="preserve">The same root sections render around home, collection/search, PDP, content/support, and utility pages through the Puck editor root, preview, and published renderer. Save/reload and deterministic publication preserve the exact frame and compile its component, asset, responsive-image, and protected-state authority. Contract, deterministic, lifecycle, accessibility, four-width EN/FI, and retained visual evidence are recorded in </w:t>
      </w:r>
      <w:hyperlink r:id="rIdHyperlink12" w:history="1">
        <w:r>
          <w:rPr>
            <w:rFonts w:ascii="Calibri" w:hAnsi="Calibri" w:cs="Calibri"/>
            <w:color w:val="2E74B5"/>
            <w:u w:val="single"/>
          </w:rPr>
          <w:t>P10B_06_COMMERCIAL_SHARED_FRAME_FAMILIES.md</w:t>
        </w:r>
      </w:hyperlink>
      <w:r>
        <w:rPr>
          <w:rFonts w:ascii="Calibri" w:hAnsi="Calibri" w:cs="Calibri"/>
        </w:rPr>
        <w:t>.</w:t>
      </w:r>
    </w:p>
    <w:p>
      <w:pPr>
        <w:pStyle w:val="Heading2"/>
        <w:keepNext/>
        <w:widowControl/>
      </w:pPr>
      <w:r>
        <w:rPr>
          <w:rFonts w:ascii="Calibri" w:hAnsi="Calibri" w:cs="Calibri"/>
        </w:rPr>
        <w:t>10.10 P10B-08 canonical product-card authority</w:t>
      </w:r>
    </w:p>
    <w:p>
      <w:pPr>
        <w:pStyle w:val="Normal"/>
        <w:widowControl/>
      </w:pPr>
      <w:r>
        <w:rPr>
          <w:rFonts w:ascii="Calibri" w:hAnsi="Calibri" w:cs="Calibri"/>
        </w:rPr>
        <w:t xml:space="preserve">One versioned </w:t>
      </w:r>
      <w:r>
        <w:rPr>
          <w:rFonts w:ascii="Consolas" w:hAnsi="Consolas" w:cs="Consolas"/>
          <w:sz w:val="19"/>
          <w:szCs w:val="19"/>
        </w:rPr>
        <w:t>canonicalProductCardAuthority</w:t>
      </w:r>
      <w:r>
        <w:rPr>
          <w:rFonts w:ascii="Calibri" w:hAnsi="Calibri" w:cs="Calibri"/>
        </w:rPr>
        <w:t xml:space="preserve"> owns five meaningful comparison/information-led, editorial, compact, image-led, and dense anatomies. Each declares P10B-03 semantic structure, material differences, supported contexts, and responsive transformations. One strict renderer is used by homepage merchandising, collection/results, related products, and compatibility wrappers; legacy </w:t>
      </w:r>
      <w:r>
        <w:rPr>
          <w:rFonts w:ascii="Consolas" w:hAnsi="Consolas" w:cs="Consolas"/>
          <w:sz w:val="19"/>
          <w:szCs w:val="19"/>
        </w:rPr>
        <w:t>productGrid</w:t>
      </w:r>
      <w:r>
        <w:rPr>
          <w:rFonts w:ascii="Calibri" w:hAnsi="Calibri" w:cs="Calibri"/>
        </w:rPr>
        <w:t xml:space="preserve"> and </w:t>
      </w:r>
      <w:r>
        <w:rPr>
          <w:rFonts w:ascii="Consolas" w:hAnsi="Consolas" w:cs="Consolas"/>
          <w:sz w:val="19"/>
          <w:szCs w:val="19"/>
        </w:rPr>
        <w:t>relatedProducts</w:t>
      </w:r>
      <w:r>
        <w:rPr>
          <w:rFonts w:ascii="Calibri" w:hAnsi="Calibri" w:cs="Calibri"/>
        </w:rPr>
        <w:t xml:space="preserve"> definitions are explicitly superseded and cannot be promoted by commercial-ready capability queries.</w:t>
      </w:r>
    </w:p>
    <w:p>
      <w:pPr>
        <w:pStyle w:val="Normal"/>
        <w:widowControl/>
      </w:pPr>
      <w:r>
        <w:rPr>
          <w:rFonts w:ascii="Calibri" w:hAnsi="Calibri" w:cs="Calibri"/>
        </w:rPr>
        <w:t xml:space="preserve">Cards consume the existing </w:t>
      </w:r>
      <w:r>
        <w:rPr>
          <w:rFonts w:ascii="Consolas" w:hAnsi="Consolas" w:cs="Consolas"/>
          <w:sz w:val="19"/>
          <w:szCs w:val="19"/>
        </w:rPr>
        <w:t>ProductPresentationContext</w:t>
      </w:r>
      <w:r>
        <w:rPr>
          <w:rFonts w:ascii="Calibri" w:hAnsi="Calibri" w:cs="Calibri"/>
        </w:rPr>
        <w:t xml:space="preserve"> and P10B-04 responsive-image authority. Product ID, title, price/unavailable state, compare-at price, availability, membership, media ID, media role, and exact product source owner remain protected. Editorial or wrong-product media, invented badges or fact overrides, unsupported context/anatomy combinations, and stale publication authority fail closed. Cards emit navigation/detail intent only and own no cart or commerce write.</w:t>
      </w:r>
    </w:p>
    <w:p>
      <w:pPr>
        <w:pStyle w:val="Normal"/>
        <w:widowControl/>
      </w:pPr>
      <w:r>
        <w:rPr>
          <w:rFonts w:ascii="Calibri" w:hAnsi="Calibri" w:cs="Calibri"/>
        </w:rPr>
        <w:t xml:space="preserve">Design-system records reference the canonical anatomy ID rather than repeating card variants or protected-field lists. Deterministic selection reaches PageBlueprint materialization, plan, proposal, accepted </w:t>
      </w:r>
      <w:r>
        <w:rPr>
          <w:rFonts w:ascii="Consolas" w:hAnsi="Consolas" w:cs="Consolas"/>
          <w:sz w:val="19"/>
          <w:szCs w:val="19"/>
        </w:rPr>
        <w:t>StorefrontSnapshot</w:t>
      </w:r>
      <w:r>
        <w:rPr>
          <w:rFonts w:ascii="Calibri" w:hAnsi="Calibri" w:cs="Calibri"/>
        </w:rPr>
        <w:t xml:space="preserve">, save/reload, preview, and the existing publish compiler. The compiler fingerprints and revalidates the exact card authority. Details and evidence are in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Heading2"/>
        <w:keepNext/>
        <w:widowControl/>
      </w:pPr>
      <w:r>
        <w:rPr>
          <w:rFonts w:ascii="Calibri" w:hAnsi="Calibri" w:cs="Calibri"/>
        </w:rPr>
        <w:t>10.11 P10B-09 commercial homepage profile authority</w:t>
      </w:r>
    </w:p>
    <w:p>
      <w:pPr>
        <w:pStyle w:val="Normal"/>
        <w:widowControl/>
      </w:pPr>
      <w:r>
        <w:rPr>
          <w:rFonts w:ascii="Calibri" w:hAnsi="Calibri" w:cs="Calibri"/>
        </w:rPr>
        <w:t>Six versioned executable homepage PageBlueprint profiles now provide editorial storytelling, commerce-led discovery, minimal brand commerce, campaign-led, collection-gateway, and high-consideration architectures. Each declares compatible P10B-06 root frames, exact P10B-07 component families and meaningful variants, a P10B-08 product-card anatomy, evidence requirements, section and commerce-item cardinality, responsive transformations at 375/768/1024/1440 px, and narrowing-only P10B-02 Design DNA compatibility.</w:t>
      </w:r>
    </w:p>
    <w:p>
      <w:pPr>
        <w:pStyle w:val="Normal"/>
        <w:widowControl/>
      </w:pPr>
      <w:r>
        <w:rPr>
          <w:rFonts w:ascii="Calibri" w:hAnsi="Calibri" w:cs="Calibri"/>
        </w:rPr>
        <w:t>ID-independent structural signatures cover material narrative order, component/variant selection, required/optional posture, cardinality, frames, merchandising, responsive behavior, and Design DNA narrowing. Exact duplicates and profiles differing in fewer than three bounded material dimensions fail. Profile identities separately bind the signature to exact ID/version; palette and font choices do not create structural uniqueness.</w:t>
      </w:r>
    </w:p>
    <w:p>
      <w:pPr>
        <w:pStyle w:val="Normal"/>
        <w:widowControl/>
      </w:pPr>
      <w:r>
        <w:rPr>
          <w:rFonts w:ascii="Calibri" w:hAnsi="Calibri" w:cs="Calibri"/>
        </w:rPr>
        <w:t xml:space="preserve">Optional unsupported evidence/media slots omit deterministically. Required campaign, process, proof, media, and commerce roles fail closed; product/collection selections preserve canonical order and stop at registered maximum cardinality without filler duplication. All merchandising uses the one P10B-08 renderer, and all approved assets use P10B-04 authority. Deterministic tests prove plan, proposal, exact slot compilation, snapshot, save/reload, preview and publication. Twenty-four retained browser images cover six profiles at four widths through the canonical renderer. Details are in </w:t>
      </w:r>
      <w:hyperlink r:id="rIdHyperlink15" w:history="1">
        <w:r>
          <w:rPr>
            <w:rFonts w:ascii="Calibri" w:hAnsi="Calibri" w:cs="Calibri"/>
            <w:color w:val="2E74B5"/>
            <w:u w:val="single"/>
          </w:rPr>
          <w:t>P10B_09_COMMERCIAL_HOMEPAGE_PROFILE_LIBRARY.md</w:t>
        </w:r>
      </w:hyperlink>
      <w:r>
        <w:rPr>
          <w:rFonts w:ascii="Calibri" w:hAnsi="Calibri" w:cs="Calibri"/>
        </w:rPr>
        <w:t>.</w:t>
      </w:r>
    </w:p>
    <w:p>
      <w:pPr>
        <w:pStyle w:val="Heading2"/>
        <w:keepNext/>
        <w:widowControl/>
      </w:pPr>
      <w:r>
        <w:rPr>
          <w:rFonts w:ascii="Calibri" w:hAnsi="Calibri" w:cs="Calibri"/>
        </w:rPr>
        <w:t>10.12 P10B-10 commercial collection/search profile authority</w:t>
      </w:r>
    </w:p>
    <w:p>
      <w:pPr>
        <w:pStyle w:val="Normal"/>
        <w:widowControl/>
      </w:pPr>
      <w:r>
        <w:rPr>
          <w:rFonts w:ascii="Calibri" w:hAnsi="Calibri" w:cs="Calibri"/>
        </w:rPr>
        <w:t xml:space="preserve">Four versioned executable collection/search PageBlueprint profiles now provide editorial discovery, catalogue comparison, campaign-led discovery, and dense/search-oriented collection presentations. Every profile narrows P10B-02 Design DNA, selects a compatible P10B-06 root frame, one registered P10B-03 </w:t>
      </w:r>
      <w:r>
        <w:rPr>
          <w:rFonts w:ascii="Consolas" w:hAnsi="Consolas" w:cs="Consolas"/>
          <w:sz w:val="19"/>
          <w:szCs w:val="19"/>
        </w:rPr>
        <w:t>dynamicCollectionCommerce</w:t>
      </w:r>
      <w:r>
        <w:rPr>
          <w:rFonts w:ascii="Calibri" w:hAnsi="Calibri" w:cs="Calibri"/>
        </w:rPr>
        <w:t xml:space="preserve"> meaningful anatomy, a P10B-08 product-card anatomy, and exact responsive transformations at 375/768/1024/1440 px. ID-independent structural signatures and profile-bound fingerprints reject exact duplicates, stale authority, and pairs with fewer than three material differences.</w:t>
      </w:r>
    </w:p>
    <w:p>
      <w:pPr>
        <w:pStyle w:val="Normal"/>
        <w:widowControl/>
      </w:pPr>
      <w:r>
        <w:rPr>
          <w:rFonts w:ascii="Calibri" w:hAnsi="Calibri" w:cs="Calibri"/>
        </w:rPr>
        <w:t>The existing catalogue route adapter remains the commerce boundary. Product membership/order, prices, compare-at price, availability, product media, filters, sorting, and child collection order come only from its canonical projection and exact bindings; all cards use the P10B-08 renderer. The campaign profile requires approved collection/editorial media and its P10B-04 treatment, while canonical product media remains product-owned. A transient search context validates exact canonical revision and result IDs; zero results retain the query and emit no fabricated cards. This task does not create a search route, pagination authority, collection model, filter engine, or commerce write.</w:t>
      </w:r>
    </w:p>
    <w:p>
      <w:pPr>
        <w:pStyle w:val="Normal"/>
        <w:widowControl/>
      </w:pPr>
      <w:r>
        <w:rPr>
          <w:rFonts w:ascii="Calibri" w:hAnsi="Calibri" w:cs="Calibri"/>
        </w:rPr>
        <w:t xml:space="preserve">Deterministic coverage proves materialization, planning, proposal/compiler/snapshot preservation, all renderer targets, save/reload, publication compilation, canonical fact/media/order guards, child collection ordering, active filters, and zero-result behavior. Four-width Chromium evidence covers the canonical route renderer and retains screenshots in its report. Details are in </w:t>
      </w:r>
      <w:hyperlink r:id="rIdHyperlink16" w:history="1">
        <w:r>
          <w:rPr>
            <w:rFonts w:ascii="Calibri" w:hAnsi="Calibri" w:cs="Calibri"/>
            <w:color w:val="2E74B5"/>
            <w:u w:val="single"/>
          </w:rPr>
          <w:t>P10B_10_COMMERCIAL_COLLECTION_SEARCH_PROFILES.md</w:t>
        </w:r>
      </w:hyperlink>
      <w:r>
        <w:rPr>
          <w:rFonts w:ascii="Calibri" w:hAnsi="Calibri" w:cs="Calibri"/>
        </w:rPr>
        <w:t>.</w:t>
      </w:r>
    </w:p>
    <w:p>
      <w:pPr>
        <w:pStyle w:val="Heading2"/>
        <w:keepNext/>
        <w:widowControl/>
      </w:pPr>
      <w:r>
        <w:rPr>
          <w:rFonts w:ascii="Calibri" w:hAnsi="Calibri" w:cs="Calibri"/>
        </w:rPr>
        <w:t>10.13 P10B-13 commerce utility presentation authority</w:t>
      </w:r>
    </w:p>
    <w:p>
      <w:pPr>
        <w:pStyle w:val="Normal"/>
        <w:widowControl/>
      </w:pPr>
      <w:r>
        <w:rPr>
          <w:rFonts w:ascii="Calibri" w:hAnsi="Calibri" w:cs="Calibri"/>
        </w:rPr>
        <w:t xml:space="preserve">Six versioned utility profiles—cart, checkout boundary, no-results, generic empty, recoverable error, and 404—now materialize a single registered </w:t>
      </w:r>
      <w:r>
        <w:rPr>
          <w:rFonts w:ascii="Consolas" w:hAnsi="Consolas" w:cs="Consolas"/>
          <w:sz w:val="19"/>
          <w:szCs w:val="19"/>
        </w:rPr>
        <w:t>commerceUtility</w:t>
      </w:r>
      <w:r>
        <w:rPr>
          <w:rFonts w:ascii="Calibri" w:hAnsi="Calibri" w:cs="Calibri"/>
        </w:rPr>
        <w:t xml:space="preserve"> component through the existing P10B-05 page-family/PageBlueprint authority. They select only compatible P10B-06 frames, inherit P10B-02 Design DNA, declare exact responsive transformations, and preserve only the presentation configuration in </w:t>
      </w:r>
      <w:r>
        <w:rPr>
          <w:rFonts w:ascii="Consolas" w:hAnsi="Consolas" w:cs="Consolas"/>
          <w:sz w:val="19"/>
          <w:szCs w:val="19"/>
        </w:rPr>
        <w:t>StorefrontSnapshot</w:t>
      </w:r>
      <w:r>
        <w:rPr>
          <w:rFonts w:ascii="Calibri" w:hAnsi="Calibri" w:cs="Calibri"/>
        </w:rPr>
        <w:t>, save/reload, and deterministic publication. The registered loading runtime state renders on the route whose adapter state is pending; it does not replace the 404 singleton or persist as a second loading page.</w:t>
      </w:r>
    </w:p>
    <w:p>
      <w:pPr>
        <w:pStyle w:val="Normal"/>
        <w:widowControl/>
      </w:pPr>
      <w:r>
        <w:rPr>
          <w:rFonts w:ascii="Calibri" w:hAnsi="Calibri" w:cs="Calibri"/>
        </w:rPr>
        <w:t xml:space="preserve">Current cart lines, quantities, prices, totals, checkout sessions, queries, filters, and runtime errors are a transient read-only commerce-adapter projection. The renderer resolves canonical product identity/media from the existing catalogue and displays only adapter-supplied prices; it does not calculate totals, discounts, shipping, tax, or inventory. Actions render only when the runtime adapter declares and handles the matching bounded intent. P10B-10 no-results retains query/filter context and emits no products. Error, empty, and 404 remain semantically distinct. Checkout retains its existing external/adapter boundary and does not create payment or order authority. Details are in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Heading2"/>
        <w:keepNext/>
        <w:widowControl/>
      </w:pPr>
      <w:r>
        <w:rPr>
          <w:rFonts w:ascii="Calibri" w:hAnsi="Calibri" w:cs="Calibri"/>
        </w:rPr>
        <w:t>10.14 Planned commercial generation authority</w:t>
      </w:r>
    </w:p>
    <w:p>
      <w:pPr>
        <w:pStyle w:val="Normal"/>
        <w:widowControl/>
      </w:pPr>
      <w:r>
        <w:rPr>
          <w:rFonts w:ascii="Consolas" w:hAnsi="Consolas" w:cs="Consolas"/>
          <w:sz w:val="19"/>
          <w:szCs w:val="19"/>
        </w:rPr>
        <w:t>BrandSystem</w:t>
      </w:r>
      <w:r>
        <w:rPr>
          <w:rFonts w:ascii="Calibri" w:hAnsi="Calibri" w:cs="Calibri"/>
        </w:rPr>
        <w:t xml:space="preserve"> owns merchant-wide bounded Design DNA across semantic colour, approved font roles and pairing, type scale/weights, spacing and section rhythm, gutters/containers, grid/card/control density, surfaces, borders, radius, elevation/shadow, actions, image posture, and responsive density. AI does not independently style each section.</w:t>
      </w:r>
    </w:p>
    <w:p>
      <w:pPr>
        <w:pStyle w:val="Normal"/>
        <w:widowControl/>
      </w:pPr>
      <w:r>
        <w:rPr>
          <w:rFonts w:ascii="Calibri" w:hAnsi="Calibri" w:cs="Calibri"/>
        </w:rPr>
        <w:t xml:space="preserve">P10B adds a bounded Veskify-owned site-map/page-family decision through existing PageBlueprint and </w:t>
      </w:r>
      <w:r>
        <w:rPr>
          <w:rFonts w:ascii="Consolas" w:hAnsi="Consolas" w:cs="Consolas"/>
          <w:sz w:val="19"/>
          <w:szCs w:val="19"/>
        </w:rPr>
        <w:t>StorefrontSnapshot</w:t>
      </w:r>
      <w:r>
        <w:rPr>
          <w:rFonts w:ascii="Calibri" w:hAnsi="Calibri" w:cs="Calibri"/>
        </w:rPr>
        <w:t xml:space="preserve"> authority. It covers shared frame, home, collection/category, PDP, About/brand story, Contact/locations, FAQ, shipping/returns/policy, campaign/editorial, generic content, search/results/no-results, cart, checkout, empty, error, and 404 presentation. Vesko retains all operational commerce and merchant/store facts.</w:t>
      </w:r>
    </w:p>
    <w:p>
      <w:pPr>
        <w:pStyle w:val="Normal"/>
        <w:widowControl/>
      </w:pPr>
      <w:r>
        <w:rPr>
          <w:rFonts w:ascii="Calibri" w:hAnsi="Calibri" w:cs="Calibri"/>
        </w:rPr>
        <w:t>Commercial minimums are four complete frame systems, three mobile navigation modes, four footer compositions, six hero compositions, five canonical product-card anatomies, six homepage profiles, four collection/search profiles, four PDP profiles, registered content/support families, and governed commerce-utility states. A meaningful variant changes anatomy, hierarchy, arrangement, asset/content/CTA relationship, navigation, merchandising, responsive transformation, or interaction mode; class, colour, padding, border, or radius alone is not meaningful.</w:t>
      </w:r>
    </w:p>
    <w:p>
      <w:pPr>
        <w:pStyle w:val="Normal"/>
        <w:widowControl/>
      </w:pPr>
      <w:r>
        <w:rPr>
          <w:rFonts w:ascii="Calibri" w:hAnsi="Calibri" w:cs="Calibri"/>
        </w:rPr>
        <w:t>The three registered directions are:</w:t>
      </w:r>
    </w:p>
    <w:p>
      <w:pPr>
        <w:pStyle w:val="Normal"/>
        <w:numPr>
          <w:ilvl w:val="0"/>
          <w:numId w:val="1"/>
        </w:numPr>
        <w:widowControl/>
      </w:pPr>
      <w:r>
        <w:rPr>
          <w:rFonts w:ascii="Calibri" w:hAnsi="Calibri" w:cs="Calibri"/>
          <w:b/>
          <w:bCs/>
        </w:rPr>
        <w:t>Premium Editorial</w:t>
      </w:r>
      <w:r>
        <w:rPr>
          <w:rFonts w:ascii="Calibri" w:hAnsi="Calibri" w:cs="Calibri"/>
        </w:rPr>
        <w:t xml:space="preserve"> — luxurious editorial rhythm, high-quality imagery, restrained commerce, and strong narrative hierarchy;</w:t>
      </w:r>
    </w:p>
    <w:p>
      <w:pPr>
        <w:pStyle w:val="Normal"/>
        <w:numPr>
          <w:ilvl w:val="0"/>
          <w:numId w:val="1"/>
        </w:numPr>
        <w:widowControl/>
      </w:pPr>
      <w:r>
        <w:rPr>
          <w:rFonts w:ascii="Calibri" w:hAnsi="Calibri" w:cs="Calibri"/>
          <w:b/>
          <w:bCs/>
        </w:rPr>
        <w:t>Modern Technical</w:t>
      </w:r>
      <w:r>
        <w:rPr>
          <w:rFonts w:ascii="Calibri" w:hAnsi="Calibri" w:cs="Calibri"/>
        </w:rPr>
        <w:t xml:space="preserve"> — precise, feature-led, structured, information-rich presentation;</w:t>
      </w:r>
    </w:p>
    <w:p>
      <w:pPr>
        <w:pStyle w:val="Normal"/>
        <w:numPr>
          <w:ilvl w:val="0"/>
          <w:numId w:val="1"/>
        </w:numPr>
        <w:widowControl/>
      </w:pPr>
      <w:r>
        <w:rPr>
          <w:rFonts w:ascii="Calibri" w:hAnsi="Calibri" w:cs="Calibri"/>
          <w:b/>
          <w:bCs/>
        </w:rPr>
        <w:t>Minimal Commerce</w:t>
      </w:r>
      <w:r>
        <w:rPr>
          <w:rFonts w:ascii="Calibri" w:hAnsi="Calibri" w:cs="Calibri"/>
        </w:rPr>
        <w:t xml:space="preserve"> — quiet, product-forward, efficient commerce with disciplined density.</w:t>
      </w:r>
    </w:p>
    <w:p>
      <w:pPr>
        <w:pStyle w:val="Normal"/>
        <w:widowControl/>
      </w:pPr>
      <w:r>
        <w:rPr>
          <w:rFonts w:ascii="Calibri" w:hAnsi="Calibri" w:cs="Calibri"/>
        </w:rPr>
        <w:t>Each direction is only a coordinated constraint package selecting compatible canonical authority. It must differ materially across shared frame, typography, density, imagery, page profiles, merchandising, responsive behavior, and narrative composition—not merely palette or spacing. Optional proof, policy, and trust content is shown only when approved merchant/Vesko evidence exists.</w:t>
      </w:r>
    </w:p>
    <w:p>
      <w:pPr>
        <w:pStyle w:val="Normal"/>
        <w:widowControl/>
      </w:pPr>
      <w:r>
        <w:rPr>
          <w:rFonts w:ascii="Calibri" w:hAnsi="Calibri" w:cs="Calibri"/>
        </w:rPr>
        <w:t>Bounded synthesis selects compatible Design DNA, page set, profiles, frame, component anatomies, meaningful variants, parameters, approved assets, image treatments, ordering/cardinality, and narrative roles. It rejects incompatible combinations, excessive repetition, protected-state drift, and exact or meaningful near duplicates. A deterministic storefront-design fingerprint covers structural and non-colour dimensions; hundreds or thousands of outcomes arise from bounded combinations, not manually authored templates.</w:t>
      </w:r>
    </w:p>
    <w:p>
      <w:pPr>
        <w:pStyle w:val="Heading2"/>
        <w:keepNext/>
        <w:widowControl/>
      </w:pPr>
      <w:r>
        <w:rPr>
          <w:rFonts w:ascii="Calibri" w:hAnsi="Calibri" w:cs="Calibri"/>
        </w:rPr>
        <w:t>10.14 Commercial acceptance</w:t>
      </w:r>
    </w:p>
    <w:p>
      <w:pPr>
        <w:pStyle w:val="Normal"/>
        <w:widowControl/>
      </w:pPr>
      <w:r>
        <w:rPr>
          <w:rFonts w:ascii="Calibri" w:hAnsi="Calibri" w:cs="Calibri"/>
        </w:rPr>
        <w:t>P10B closes only when at least 100 complete bounded storefront configurations pass deterministic validity, protected-state, exact-duplicate, near-duplicate, and structural-distribution analysis, and a fingerprint-stratified representative subset passes retained human commercial review. The complete-store evidence includes required content/support and utility pages, EN/FI where supported, and 375, 768, 1024, and 1440 px. Tests alone cannot close visual quality, and one polished vertical slice cannot close meaningful diversity.</w:t>
      </w:r>
    </w:p>
    <w:p>
      <w:pPr>
        <w:pStyle w:val="Heading1"/>
        <w:keepNext/>
        <w:widowControl/>
      </w:pPr>
      <w:r>
        <w:rPr>
          <w:rFonts w:ascii="Calibri" w:hAnsi="Calibri" w:cs="Calibri"/>
        </w:rPr>
        <w:t>11. Storefront Studio and merchant editing</w:t>
      </w:r>
    </w:p>
    <w:p>
      <w:pPr>
        <w:pStyle w:val="Normal"/>
        <w:widowControl/>
      </w:pPr>
      <w:r>
        <w:rPr>
          <w:rFonts w:ascii="Calibri" w:hAnsi="Calibri" w:cs="Calibri"/>
        </w:rPr>
        <w:t>P10C delivers merchant-operable editing without changing canonical authority. It owns:</w:t>
      </w:r>
    </w:p>
    <w:p>
      <w:pPr>
        <w:pStyle w:val="Normal"/>
        <w:numPr>
          <w:ilvl w:val="0"/>
          <w:numId w:val="1"/>
        </w:numPr>
        <w:widowControl/>
      </w:pPr>
      <w:r>
        <w:rPr>
          <w:rFonts w:ascii="Calibri" w:hAnsi="Calibri" w:cs="Calibri"/>
        </w:rPr>
        <w:t>a brand asset library with explicit roles and provenance;</w:t>
      </w:r>
    </w:p>
    <w:p>
      <w:pPr>
        <w:pStyle w:val="Normal"/>
        <w:numPr>
          <w:ilvl w:val="0"/>
          <w:numId w:val="1"/>
        </w:numPr>
        <w:widowControl/>
      </w:pPr>
      <w:r>
        <w:rPr>
          <w:rFonts w:ascii="Calibri" w:hAnsi="Calibri" w:cs="Calibri"/>
        </w:rPr>
        <w:t>the canonical Puck boundary and stable shared-frame identity/selection;</w:t>
      </w:r>
    </w:p>
    <w:p>
      <w:pPr>
        <w:pStyle w:val="Normal"/>
        <w:numPr>
          <w:ilvl w:val="0"/>
          <w:numId w:val="1"/>
        </w:numPr>
        <w:widowControl/>
      </w:pPr>
      <w:r>
        <w:rPr>
          <w:rFonts w:ascii="Calibri" w:hAnsi="Calibri" w:cs="Calibri"/>
        </w:rPr>
        <w:t>approved bounded manual add, remove, reorder, field, asset, and presentation operations;</w:t>
      </w:r>
    </w:p>
    <w:p>
      <w:pPr>
        <w:pStyle w:val="Normal"/>
        <w:numPr>
          <w:ilvl w:val="0"/>
          <w:numId w:val="1"/>
        </w:numPr>
        <w:widowControl/>
      </w:pPr>
      <w:r>
        <w:rPr>
          <w:rFonts w:ascii="Calibri" w:hAnsi="Calibri" w:cs="Calibri"/>
        </w:rPr>
        <w:t>merchant-facing scoped AI routing, clarification, and execution;</w:t>
      </w:r>
    </w:p>
    <w:p>
      <w:pPr>
        <w:pStyle w:val="Normal"/>
        <w:numPr>
          <w:ilvl w:val="0"/>
          <w:numId w:val="1"/>
        </w:numPr>
        <w:widowControl/>
      </w:pPr>
      <w:r>
        <w:rPr>
          <w:rFonts w:ascii="Calibri" w:hAnsi="Calibri" w:cs="Calibri"/>
        </w:rPr>
        <w:t>unified manual/AI history and undo/redo;</w:t>
      </w:r>
    </w:p>
    <w:p>
      <w:pPr>
        <w:pStyle w:val="Normal"/>
        <w:numPr>
          <w:ilvl w:val="0"/>
          <w:numId w:val="1"/>
        </w:numPr>
        <w:widowControl/>
      </w:pPr>
      <w:r>
        <w:rPr>
          <w:rFonts w:ascii="Calibri" w:hAnsi="Calibri" w:cs="Calibri"/>
        </w:rPr>
        <w:t>the brand/asset editor and required Storefront Studio shell;</w:t>
      </w:r>
    </w:p>
    <w:p>
      <w:pPr>
        <w:pStyle w:val="Normal"/>
        <w:numPr>
          <w:ilvl w:val="0"/>
          <w:numId w:val="1"/>
        </w:numPr>
        <w:widowControl/>
      </w:pPr>
      <w:r>
        <w:rPr>
          <w:rFonts w:ascii="Calibri" w:hAnsi="Calibri" w:cs="Calibri"/>
        </w:rPr>
        <w:t>commercial editor QA and the complete select-to-publish chain.</w:t>
      </w:r>
    </w:p>
    <w:p>
      <w:pPr>
        <w:pStyle w:val="Normal"/>
        <w:widowControl/>
      </w:pPr>
      <w:r>
        <w:rPr>
          <w:rFonts w:ascii="Calibri" w:hAnsi="Calibri" w:cs="Calibri"/>
        </w:rPr>
        <w:t>P10C does not create another state model, unrestricted page builder, commerce editor, provider authority, component generator, or publishing command. The canvas is the primary workspace; merchant UI uses merchant language and does not expose raw JSON, schemas, registry IDs, prompt internals, or provider payloads.</w:t>
      </w:r>
    </w:p>
    <w:p>
      <w:pPr>
        <w:pStyle w:val="Heading1"/>
        <w:keepNext/>
        <w:widowControl/>
      </w:pPr>
      <w:r>
        <w:rPr>
          <w:rFonts w:ascii="Calibri" w:hAnsi="Calibri" w:cs="Calibri"/>
        </w:rPr>
        <w:t>12. Vesko integration architecture</w:t>
      </w:r>
    </w:p>
    <w:p>
      <w:pPr>
        <w:pStyle w:val="Heading2"/>
        <w:keepNext/>
        <w:widowControl/>
      </w:pPr>
      <w:r>
        <w:rPr>
          <w:rFonts w:ascii="Calibri" w:hAnsi="Calibri" w:cs="Calibri"/>
        </w:rPr>
        <w:t>12.1 Contract truth</w:t>
      </w:r>
    </w:p>
    <w:p>
      <w:pPr>
        <w:pStyle w:val="Normal"/>
        <w:widowControl/>
      </w:pPr>
      <w:r>
        <w:rPr>
          <w:rFonts w:ascii="Calibri" w:hAnsi="Calibri" w:cs="Calibri"/>
        </w:rPr>
        <w:t xml:space="preserve">The Vesko OpenAPI 3.0 contract has been obtained and audited. It establishes real endpoint surfaces for store context, products, variants, categories, brands, media, inventory, Puck, and storefront product reads. See </w:t>
      </w:r>
      <w:hyperlink r:id="rIdHyperlink18" w:history="1">
        <w:r>
          <w:rPr>
            <w:rFonts w:ascii="Calibri" w:hAnsi="Calibri" w:cs="Calibri"/>
            <w:color w:val="2E74B5"/>
            <w:u w:val="single"/>
          </w:rPr>
          <w:t>VESKO_OPENAPI_CONTRACT_AUDIT.md</w:t>
        </w:r>
      </w:hyperlink>
      <w:r>
        <w:rPr>
          <w:rFonts w:ascii="Calibri" w:hAnsi="Calibri" w:cs="Calibri"/>
        </w:rPr>
        <w:t xml:space="preserve"> and </w:t>
      </w:r>
      <w:hyperlink r:id="rIdHyperlink19" w:history="1">
        <w:r>
          <w:rPr>
            <w:rFonts w:ascii="Calibri" w:hAnsi="Calibri" w:cs="Calibri"/>
            <w:color w:val="2E74B5"/>
            <w:u w:val="single"/>
          </w:rPr>
          <w:t>VESKO_VESKIFY_INTEGRATION_MATRIX.md</w:t>
        </w:r>
      </w:hyperlink>
      <w:r>
        <w:rPr>
          <w:rFonts w:ascii="Calibri" w:hAnsi="Calibri" w:cs="Calibri"/>
        </w:rPr>
        <w:t>.</w:t>
      </w:r>
    </w:p>
    <w:p>
      <w:pPr>
        <w:pStyle w:val="Normal"/>
        <w:widowControl/>
      </w:pPr>
      <w:r>
        <w:rPr>
          <w:rFonts w:ascii="Calibri" w:hAnsi="Calibri" w:cs="Calibri"/>
        </w:rPr>
        <w:t xml:space="preserve">Contract acquisition is not integration sufficiency. Production integration remains </w:t>
      </w:r>
      <w:r>
        <w:rPr>
          <w:rFonts w:ascii="Calibri" w:hAnsi="Calibri" w:cs="Calibri"/>
          <w:b/>
          <w:bCs/>
        </w:rPr>
        <w:t>Blocked</w:t>
      </w:r>
      <w:r>
        <w:rPr>
          <w:rFonts w:ascii="Calibri" w:hAnsi="Calibri" w:cs="Calibri"/>
        </w:rPr>
        <w:t xml:space="preserve"> by:</w:t>
      </w:r>
    </w:p>
    <w:p>
      <w:pPr>
        <w:pStyle w:val="Normal"/>
        <w:numPr>
          <w:ilvl w:val="0"/>
          <w:numId w:val="1"/>
        </w:numPr>
        <w:widowControl/>
      </w:pPr>
      <w:r>
        <w:rPr>
          <w:rFonts w:ascii="Calibri" w:hAnsi="Calibri" w:cs="Calibri"/>
        </w:rPr>
        <w:t>incomplete or absent response schemas and error bodies;</w:t>
      </w:r>
    </w:p>
    <w:p>
      <w:pPr>
        <w:pStyle w:val="Normal"/>
        <w:numPr>
          <w:ilvl w:val="0"/>
          <w:numId w:val="1"/>
        </w:numPr>
        <w:widowControl/>
      </w:pPr>
      <w:r>
        <w:rPr>
          <w:rFonts w:ascii="Calibri" w:hAnsi="Calibri" w:cs="Calibri"/>
        </w:rPr>
        <w:t>inconsistent security declarations and unresolved tenant/store authority;</w:t>
      </w:r>
    </w:p>
    <w:p>
      <w:pPr>
        <w:pStyle w:val="Normal"/>
        <w:numPr>
          <w:ilvl w:val="0"/>
          <w:numId w:val="1"/>
        </w:numPr>
        <w:widowControl/>
      </w:pPr>
      <w:r>
        <w:rPr>
          <w:rFonts w:ascii="Calibri" w:hAnsi="Calibri" w:cs="Calibri"/>
        </w:rPr>
        <w:t>missing revisions, ETags, optimistic concurrency, and synchronization semantics;</w:t>
      </w:r>
    </w:p>
    <w:p>
      <w:pPr>
        <w:pStyle w:val="Normal"/>
        <w:numPr>
          <w:ilvl w:val="0"/>
          <w:numId w:val="1"/>
        </w:numPr>
        <w:widowControl/>
      </w:pPr>
      <w:r>
        <w:rPr>
          <w:rFonts w:ascii="Calibri" w:hAnsi="Calibri" w:cs="Calibri"/>
        </w:rPr>
        <w:t>missing navigation projection contracts;</w:t>
      </w:r>
    </w:p>
    <w:p>
      <w:pPr>
        <w:pStyle w:val="Normal"/>
        <w:numPr>
          <w:ilvl w:val="0"/>
          <w:numId w:val="1"/>
        </w:numPr>
        <w:widowControl/>
      </w:pPr>
      <w:r>
        <w:rPr>
          <w:rFonts w:ascii="Calibri" w:hAnsi="Calibri" w:cs="Calibri"/>
        </w:rPr>
        <w:t>no canonical Veskify draft, history, accepted-receipt, compiled-artifact, or publication APIs;</w:t>
      </w:r>
    </w:p>
    <w:p>
      <w:pPr>
        <w:pStyle w:val="Normal"/>
        <w:numPr>
          <w:ilvl w:val="0"/>
          <w:numId w:val="1"/>
        </w:numPr>
        <w:widowControl/>
      </w:pPr>
      <w:r>
        <w:rPr>
          <w:rFonts w:ascii="Calibri" w:hAnsi="Calibri" w:cs="Calibri"/>
        </w:rPr>
        <w:t>no agreed media ownership and presentation-asset write boundary;</w:t>
      </w:r>
    </w:p>
    <w:p>
      <w:pPr>
        <w:pStyle w:val="Normal"/>
        <w:numPr>
          <w:ilvl w:val="0"/>
          <w:numId w:val="1"/>
        </w:numPr>
        <w:widowControl/>
      </w:pPr>
      <w:r>
        <w:rPr>
          <w:rFonts w:ascii="Calibri" w:hAnsi="Calibri" w:cs="Calibri"/>
        </w:rPr>
        <w:t>no Vesko staging credentials, conformance environment, or retained staging evidence.</w:t>
      </w:r>
    </w:p>
    <w:p>
      <w:pPr>
        <w:pStyle w:val="Heading2"/>
        <w:keepNext/>
        <w:widowControl/>
      </w:pPr>
      <w:r>
        <w:rPr>
          <w:rFonts w:ascii="Calibri" w:hAnsi="Calibri" w:cs="Calibri"/>
        </w:rPr>
        <w:t>12.2 Integration rules</w:t>
      </w:r>
    </w:p>
    <w:p>
      <w:pPr>
        <w:pStyle w:val="Normal"/>
        <w:widowControl/>
      </w:pPr>
      <w:r>
        <w:rPr>
          <w:rFonts w:ascii="Calibri" w:hAnsi="Calibri" w:cs="Calibri"/>
        </w:rPr>
        <w:t xml:space="preserve">Veskify adapters translate stable Vesko contracts into canonical read-only projections. They do not leak Vesko transport types into the domain or add commerce writes. Veskify presentation assets must be explicitly separated from canonical product media. Raw Puck persistence is prohibited. Draft, history, receipt, compiler artifact, and publication APIs must preserve </w:t>
      </w:r>
      <w:r>
        <w:rPr>
          <w:rFonts w:ascii="Consolas" w:hAnsi="Consolas" w:cs="Consolas"/>
          <w:sz w:val="19"/>
          <w:szCs w:val="19"/>
        </w:rPr>
        <w:t>StorefrontSnapshot</w:t>
      </w:r>
      <w:r>
        <w:rPr>
          <w:rFonts w:ascii="Calibri" w:hAnsi="Calibri" w:cs="Calibri"/>
        </w:rPr>
        <w:t xml:space="preserve"> and the authoritative publishing lifecycle.</w:t>
      </w:r>
    </w:p>
    <w:p>
      <w:pPr>
        <w:pStyle w:val="Normal"/>
        <w:widowControl/>
      </w:pPr>
      <w:r>
        <w:rPr>
          <w:rFonts w:ascii="Calibri" w:hAnsi="Calibri" w:cs="Calibri"/>
        </w:rPr>
        <w:t>P11 owns contract closure, identity/store context, catalogue/navigation projection, full commerce conformance, presentation assets, persistence, accepted-receipt/publication adapters, synchronization, staging conformance, and pilot readiness. P12 owns production hardening and pilot operations after P11 establishes stable authority.</w:t>
      </w:r>
    </w:p>
    <w:p>
      <w:pPr>
        <w:pStyle w:val="Heading1"/>
        <w:keepNext/>
        <w:widowControl/>
      </w:pPr>
      <w:r>
        <w:rPr>
          <w:rFonts w:ascii="Calibri" w:hAnsi="Calibri" w:cs="Calibri"/>
        </w:rPr>
        <w:t>13. Evidence and acceptance model</w:t>
      </w:r>
    </w:p>
    <w:p>
      <w:pPr>
        <w:pStyle w:val="Heading2"/>
        <w:keepNext/>
        <w:widowControl/>
      </w:pPr>
      <w:r>
        <w:rPr>
          <w:rFonts w:ascii="Calibri" w:hAnsi="Calibri" w:cs="Calibri"/>
        </w:rPr>
        <w:t>13.1 Evidence rules</w:t>
      </w:r>
    </w:p>
    <w:p>
      <w:pPr>
        <w:pStyle w:val="Normal"/>
        <w:widowControl/>
      </w:pPr>
      <w:r>
        <w:rPr>
          <w:rFonts w:ascii="Calibri" w:hAnsi="Calibri" w:cs="Calibri"/>
        </w:rPr>
        <w:t>Each claim names its evidence level. Required levels are cumulative only when the acceptance gate says so. In particular:</w:t>
      </w:r>
    </w:p>
    <w:p>
      <w:pPr>
        <w:pStyle w:val="Normal"/>
        <w:numPr>
          <w:ilvl w:val="0"/>
          <w:numId w:val="1"/>
        </w:numPr>
        <w:widowControl/>
      </w:pPr>
      <w:r>
        <w:rPr>
          <w:rFonts w:ascii="Calibri" w:hAnsi="Calibri" w:cs="Calibri"/>
        </w:rPr>
        <w:t>schema validation proves a contract, not rendering or merchant usability;</w:t>
      </w:r>
    </w:p>
    <w:p>
      <w:pPr>
        <w:pStyle w:val="Normal"/>
        <w:numPr>
          <w:ilvl w:val="0"/>
          <w:numId w:val="1"/>
        </w:numPr>
        <w:widowControl/>
      </w:pPr>
      <w:r>
        <w:rPr>
          <w:rFonts w:ascii="Calibri" w:hAnsi="Calibri" w:cs="Calibri"/>
        </w:rPr>
        <w:t>deterministic and mocked-provider tests are not real-provider evidence;</w:t>
      </w:r>
    </w:p>
    <w:p>
      <w:pPr>
        <w:pStyle w:val="Normal"/>
        <w:numPr>
          <w:ilvl w:val="0"/>
          <w:numId w:val="1"/>
        </w:numPr>
        <w:widowControl/>
      </w:pPr>
      <w:r>
        <w:rPr>
          <w:rFonts w:ascii="Calibri" w:hAnsi="Calibri" w:cs="Calibri"/>
        </w:rPr>
        <w:t>browser/E2E execution is not retained human visual review;</w:t>
      </w:r>
    </w:p>
    <w:p>
      <w:pPr>
        <w:pStyle w:val="Normal"/>
        <w:numPr>
          <w:ilvl w:val="0"/>
          <w:numId w:val="1"/>
        </w:numPr>
        <w:widowControl/>
      </w:pPr>
      <w:r>
        <w:rPr>
          <w:rFonts w:ascii="Calibri" w:hAnsi="Calibri" w:cs="Calibri"/>
        </w:rPr>
        <w:t>local adapter conformance is not Vesko staging;</w:t>
      </w:r>
    </w:p>
    <w:p>
      <w:pPr>
        <w:pStyle w:val="Normal"/>
        <w:numPr>
          <w:ilvl w:val="0"/>
          <w:numId w:val="1"/>
        </w:numPr>
        <w:widowControl/>
      </w:pPr>
      <w:r>
        <w:rPr>
          <w:rFonts w:ascii="Calibri" w:hAnsi="Calibri" w:cs="Calibri"/>
        </w:rPr>
        <w:t>staging is not production;</w:t>
      </w:r>
    </w:p>
    <w:p>
      <w:pPr>
        <w:pStyle w:val="Normal"/>
        <w:numPr>
          <w:ilvl w:val="0"/>
          <w:numId w:val="1"/>
        </w:numPr>
        <w:widowControl/>
      </w:pPr>
      <w:r>
        <w:rPr>
          <w:rFonts w:ascii="Calibri" w:hAnsi="Calibri" w:cs="Calibri"/>
        </w:rPr>
        <w:t>a published snapshot route is not atomic compiled-artifact rollback evidence.</w:t>
      </w:r>
    </w:p>
    <w:p>
      <w:pPr>
        <w:pStyle w:val="Normal"/>
        <w:widowControl/>
      </w:pPr>
      <w:r>
        <w:rPr>
          <w:rFonts w:ascii="Calibri" w:hAnsi="Calibri" w:cs="Calibri"/>
        </w:rPr>
        <w:t>Evidence must correlate the relevant project, source/brief revision, proposal, accepted snapshot, registry/manifest/profile authority, commerce and asset fingerprints, publication operation, compiled artifact/version, and rendered route where those authorities apply. Secret values, provider payloads containing sensitive data, and merchant private data must not be retained.</w:t>
      </w:r>
    </w:p>
    <w:p>
      <w:pPr>
        <w:pStyle w:val="Heading2"/>
        <w:keepNext/>
        <w:widowControl/>
      </w:pPr>
      <w:r>
        <w:rPr>
          <w:rFonts w:ascii="Calibri" w:hAnsi="Calibri" w:cs="Calibri"/>
        </w:rPr>
        <w:t>13.2 Capability-chain acceptance</w:t>
      </w:r>
    </w:p>
    <w:p>
      <w:pPr>
        <w:pStyle w:val="Normal"/>
        <w:widowControl/>
      </w:pPr>
      <w:r>
        <w:rPr>
          <w:rFonts w:ascii="Calibri" w:hAnsi="Calibri" w:cs="Calibri"/>
        </w:rPr>
        <w:t>For each storefront capability, assess the applicable chain:</w:t>
      </w:r>
    </w:p>
    <w:p>
      <w:pPr>
        <w:pStyle w:val="CodeBlock"/>
        <w:shd w:val="clear" w:fill="F4F6F9"/>
        <w:ind w:left="180" w:right="180"/>
        <w:widowControl/>
      </w:pPr>
      <w:r>
        <w:rPr>
          <w:rFonts w:ascii="Consolas" w:hAnsi="Consolas" w:cs="Consolas"/>
          <w:sz w:val="19"/>
          <w:szCs w:val="19"/>
        </w:rPr>
        <w:t>registered</w:t>
      </w:r>
    </w:p>
    <w:p>
      <w:pPr>
        <w:pStyle w:val="CodeBlock"/>
        <w:shd w:val="clear" w:fill="F4F6F9"/>
        <w:ind w:left="180" w:right="180"/>
        <w:widowControl/>
      </w:pPr>
      <w:r>
        <w:rPr>
          <w:rFonts w:ascii="Consolas" w:hAnsi="Consolas" w:cs="Consolas"/>
          <w:sz w:val="19"/>
          <w:szCs w:val="19"/>
        </w:rPr>
        <w:t xml:space="preserve">  → runtime-queryable</w:t>
      </w:r>
    </w:p>
    <w:p>
      <w:pPr>
        <w:pStyle w:val="CodeBlock"/>
        <w:shd w:val="clear" w:fill="F4F6F9"/>
        <w:ind w:left="180" w:right="180"/>
        <w:widowControl/>
      </w:pPr>
      <w:r>
        <w:rPr>
          <w:rFonts w:ascii="Consolas" w:hAnsi="Consolas" w:cs="Consolas"/>
          <w:sz w:val="19"/>
          <w:szCs w:val="19"/>
        </w:rPr>
        <w:t xml:space="preserve">  → planner-selectable</w:t>
      </w:r>
    </w:p>
    <w:p>
      <w:pPr>
        <w:pStyle w:val="CodeBlock"/>
        <w:shd w:val="clear" w:fill="F4F6F9"/>
        <w:ind w:left="180" w:right="180"/>
        <w:widowControl/>
      </w:pPr>
      <w:r>
        <w:rPr>
          <w:rFonts w:ascii="Consolas" w:hAnsi="Consolas" w:cs="Consolas"/>
          <w:sz w:val="19"/>
          <w:szCs w:val="19"/>
        </w:rPr>
        <w:t xml:space="preserve">  → proposal-expressible</w:t>
      </w:r>
    </w:p>
    <w:p>
      <w:pPr>
        <w:pStyle w:val="CodeBlock"/>
        <w:shd w:val="clear" w:fill="F4F6F9"/>
        <w:ind w:left="180" w:right="180"/>
        <w:widowControl/>
      </w:pPr>
      <w:r>
        <w:rPr>
          <w:rFonts w:ascii="Consolas" w:hAnsi="Consolas" w:cs="Consolas"/>
          <w:sz w:val="19"/>
          <w:szCs w:val="19"/>
        </w:rPr>
        <w:t xml:space="preserve">  → compiler-preserved</w:t>
      </w:r>
    </w:p>
    <w:p>
      <w:pPr>
        <w:pStyle w:val="CodeBlock"/>
        <w:shd w:val="clear" w:fill="F4F6F9"/>
        <w:ind w:left="180" w:right="180"/>
        <w:widowControl/>
      </w:pPr>
      <w:r>
        <w:rPr>
          <w:rFonts w:ascii="Consolas" w:hAnsi="Consolas" w:cs="Consolas"/>
          <w:sz w:val="19"/>
          <w:szCs w:val="19"/>
        </w:rPr>
        <w:t xml:space="preserve">  → StorefrontSnapshot-stored</w:t>
      </w:r>
    </w:p>
    <w:p>
      <w:pPr>
        <w:pStyle w:val="CodeBlock"/>
        <w:shd w:val="clear" w:fill="F4F6F9"/>
        <w:ind w:left="180" w:right="180"/>
        <w:widowControl/>
      </w:pPr>
      <w:r>
        <w:rPr>
          <w:rFonts w:ascii="Consolas" w:hAnsi="Consolas" w:cs="Consolas"/>
          <w:sz w:val="19"/>
          <w:szCs w:val="19"/>
        </w:rPr>
        <w:t xml:space="preserve">  → renderer-visible</w:t>
      </w:r>
    </w:p>
    <w:p>
      <w:pPr>
        <w:pStyle w:val="CodeBlock"/>
        <w:shd w:val="clear" w:fill="F4F6F9"/>
        <w:ind w:left="180" w:right="180"/>
        <w:widowControl/>
      </w:pPr>
      <w:r>
        <w:rPr>
          <w:rFonts w:ascii="Consolas" w:hAnsi="Consolas" w:cs="Consolas"/>
          <w:sz w:val="19"/>
          <w:szCs w:val="19"/>
        </w:rPr>
        <w:t xml:space="preserve">  → editor-accessible</w:t>
      </w:r>
    </w:p>
    <w:p>
      <w:pPr>
        <w:pStyle w:val="CodeBlock"/>
        <w:shd w:val="clear" w:fill="F4F6F9"/>
        <w:ind w:left="180" w:right="180"/>
        <w:widowControl/>
      </w:pPr>
      <w:r>
        <w:rPr>
          <w:rFonts w:ascii="Consolas" w:hAnsi="Consolas" w:cs="Consolas"/>
          <w:sz w:val="19"/>
          <w:szCs w:val="19"/>
        </w:rPr>
        <w:t xml:space="preserve">  → save/reload preserved</w:t>
      </w:r>
    </w:p>
    <w:p>
      <w:pPr>
        <w:pStyle w:val="CodeBlock"/>
        <w:shd w:val="clear" w:fill="F4F6F9"/>
        <w:ind w:left="180" w:right="180"/>
        <w:widowControl/>
      </w:pPr>
      <w:r>
        <w:rPr>
          <w:rFonts w:ascii="Consolas" w:hAnsi="Consolas" w:cs="Consolas"/>
          <w:sz w:val="19"/>
          <w:szCs w:val="19"/>
        </w:rPr>
        <w:t xml:space="preserve">  → publish preserved</w:t>
      </w:r>
    </w:p>
    <w:p>
      <w:pPr>
        <w:pStyle w:val="CodeBlock"/>
        <w:shd w:val="clear" w:fill="F4F6F9"/>
        <w:ind w:left="180" w:right="180"/>
        <w:widowControl/>
      </w:pPr>
      <w:r>
        <w:rPr>
          <w:rFonts w:ascii="Consolas" w:hAnsi="Consolas" w:cs="Consolas"/>
          <w:sz w:val="19"/>
          <w:szCs w:val="19"/>
        </w:rPr>
        <w:t xml:space="preserve">  → evidence retained</w:t>
      </w:r>
    </w:p>
    <w:p>
      <w:pPr>
        <w:pStyle w:val="Normal"/>
        <w:widowControl/>
      </w:pPr>
    </w:p>
    <w:p>
      <w:pPr>
        <w:pStyle w:val="Normal"/>
        <w:widowControl/>
      </w:pPr>
      <w:r>
        <w:rPr>
          <w:rFonts w:ascii="Calibri" w:hAnsi="Calibri" w:cs="Calibri"/>
        </w:rPr>
        <w:t>An upstream pass cannot conceal a downstream gap. A capability can remain Partial even when its contract and internal execution are Baseline if merchant reachability or required evidence is incomplete.</w:t>
      </w:r>
    </w:p>
    <w:p>
      <w:pPr>
        <w:pStyle w:val="Heading1"/>
        <w:keepNext/>
        <w:widowControl/>
      </w:pPr>
      <w:r>
        <w:rPr>
          <w:rFonts w:ascii="Calibri" w:hAnsi="Calibri" w:cs="Calibri"/>
        </w:rPr>
        <w:t>14. Non-functional requirements</w:t>
      </w:r>
    </w:p>
    <w:p>
      <w:pPr>
        <w:pStyle w:val="Heading2"/>
        <w:keepNext/>
        <w:widowControl/>
      </w:pPr>
      <w:r>
        <w:rPr>
          <w:rFonts w:ascii="Calibri" w:hAnsi="Calibri" w:cs="Calibri"/>
        </w:rPr>
        <w:t>14.1 Safety and integrity</w:t>
      </w:r>
    </w:p>
    <w:p>
      <w:pPr>
        <w:pStyle w:val="Normal"/>
        <w:numPr>
          <w:ilvl w:val="0"/>
          <w:numId w:val="1"/>
        </w:numPr>
        <w:widowControl/>
      </w:pPr>
      <w:r>
        <w:rPr>
          <w:rFonts w:ascii="Calibri" w:hAnsi="Calibri" w:cs="Calibri"/>
        </w:rPr>
        <w:t>Reject unknown or stale authority and preserve state on failure.</w:t>
      </w:r>
    </w:p>
    <w:p>
      <w:pPr>
        <w:pStyle w:val="Normal"/>
        <w:numPr>
          <w:ilvl w:val="0"/>
          <w:numId w:val="1"/>
        </w:numPr>
        <w:widowControl/>
      </w:pPr>
      <w:r>
        <w:rPr>
          <w:rFonts w:ascii="Calibri" w:hAnsi="Calibri" w:cs="Calibri"/>
        </w:rPr>
        <w:t>Keep protected commerce read-only through generation, editing, save, and publication.</w:t>
      </w:r>
    </w:p>
    <w:p>
      <w:pPr>
        <w:pStyle w:val="Normal"/>
        <w:numPr>
          <w:ilvl w:val="0"/>
          <w:numId w:val="1"/>
        </w:numPr>
        <w:widowControl/>
      </w:pPr>
      <w:r>
        <w:rPr>
          <w:rFonts w:ascii="Calibri" w:hAnsi="Calibri" w:cs="Calibri"/>
        </w:rPr>
        <w:t>Use create-once or transactional storage for immutable receipts and published artifacts.</w:t>
      </w:r>
    </w:p>
    <w:p>
      <w:pPr>
        <w:pStyle w:val="Normal"/>
        <w:numPr>
          <w:ilvl w:val="0"/>
          <w:numId w:val="1"/>
        </w:numPr>
        <w:widowControl/>
      </w:pPr>
      <w:r>
        <w:rPr>
          <w:rFonts w:ascii="Calibri" w:hAnsi="Calibri" w:cs="Calibri"/>
        </w:rPr>
        <w:t>Authenticate and authorize server-side writes; never trust browser-submitted authority bodies.</w:t>
      </w:r>
    </w:p>
    <w:p>
      <w:pPr>
        <w:pStyle w:val="Normal"/>
        <w:numPr>
          <w:ilvl w:val="0"/>
          <w:numId w:val="1"/>
        </w:numPr>
        <w:widowControl/>
      </w:pPr>
      <w:r>
        <w:rPr>
          <w:rFonts w:ascii="Calibri" w:hAnsi="Calibri" w:cs="Calibri"/>
        </w:rPr>
        <w:t>Keep provider credentials server-side and secrets out of logs and evidence.</w:t>
      </w:r>
    </w:p>
    <w:p>
      <w:pPr>
        <w:pStyle w:val="Normal"/>
        <w:numPr>
          <w:ilvl w:val="0"/>
          <w:numId w:val="1"/>
        </w:numPr>
        <w:widowControl/>
      </w:pPr>
      <w:r>
        <w:rPr>
          <w:rFonts w:ascii="Calibri" w:hAnsi="Calibri" w:cs="Calibri"/>
        </w:rPr>
        <w:t>Treat crawled content as untrusted data and resist prompt injection.</w:t>
      </w:r>
    </w:p>
    <w:p>
      <w:pPr>
        <w:pStyle w:val="Heading2"/>
        <w:keepNext/>
        <w:widowControl/>
      </w:pPr>
      <w:r>
        <w:rPr>
          <w:rFonts w:ascii="Calibri" w:hAnsi="Calibri" w:cs="Calibri"/>
        </w:rPr>
        <w:t>14.2 Determinism and reliability</w:t>
      </w:r>
    </w:p>
    <w:p>
      <w:pPr>
        <w:pStyle w:val="Normal"/>
        <w:numPr>
          <w:ilvl w:val="0"/>
          <w:numId w:val="1"/>
        </w:numPr>
        <w:widowControl/>
      </w:pPr>
      <w:r>
        <w:rPr>
          <w:rFonts w:ascii="Calibri" w:hAnsi="Calibri" w:cs="Calibri"/>
        </w:rPr>
        <w:t>Canonical fingerprints, manifests, materialization, proposal compilation, and publication compilation are deterministic for identical authority.</w:t>
      </w:r>
    </w:p>
    <w:p>
      <w:pPr>
        <w:pStyle w:val="Normal"/>
        <w:numPr>
          <w:ilvl w:val="0"/>
          <w:numId w:val="1"/>
        </w:numPr>
        <w:widowControl/>
      </w:pPr>
      <w:r>
        <w:rPr>
          <w:rFonts w:ascii="Calibri" w:hAnsi="Calibri" w:cs="Calibri"/>
        </w:rPr>
        <w:t>Idempotent requests return the original result; conflicting reuse fails closed.</w:t>
      </w:r>
    </w:p>
    <w:p>
      <w:pPr>
        <w:pStyle w:val="Normal"/>
        <w:numPr>
          <w:ilvl w:val="0"/>
          <w:numId w:val="1"/>
        </w:numPr>
        <w:widowControl/>
      </w:pPr>
      <w:r>
        <w:rPr>
          <w:rFonts w:ascii="Calibri" w:hAnsi="Calibri" w:cs="Calibri"/>
        </w:rPr>
        <w:t>Failed operations produce no partial proposal, draft, history, receipt, or publication write.</w:t>
      </w:r>
    </w:p>
    <w:p>
      <w:pPr>
        <w:pStyle w:val="Normal"/>
        <w:numPr>
          <w:ilvl w:val="0"/>
          <w:numId w:val="1"/>
        </w:numPr>
        <w:widowControl/>
      </w:pPr>
      <w:r>
        <w:rPr>
          <w:rFonts w:ascii="Calibri" w:hAnsi="Calibri" w:cs="Calibri"/>
        </w:rPr>
        <w:t>Migrations are explicit, registered, tested, and fail closed when unresolved.</w:t>
      </w:r>
    </w:p>
    <w:p>
      <w:pPr>
        <w:pStyle w:val="Heading2"/>
        <w:keepNext/>
        <w:widowControl/>
      </w:pPr>
      <w:r>
        <w:rPr>
          <w:rFonts w:ascii="Calibri" w:hAnsi="Calibri" w:cs="Calibri"/>
        </w:rPr>
        <w:t>14.3 Accessibility and responsive behavior</w:t>
      </w:r>
    </w:p>
    <w:p>
      <w:pPr>
        <w:pStyle w:val="Normal"/>
        <w:numPr>
          <w:ilvl w:val="0"/>
          <w:numId w:val="1"/>
        </w:numPr>
        <w:widowControl/>
      </w:pPr>
      <w:r>
        <w:rPr>
          <w:rFonts w:ascii="Calibri" w:hAnsi="Calibri" w:cs="Calibri"/>
        </w:rPr>
        <w:t>Merchant controls are keyboard accessible with meaningful labels and visible focus.</w:t>
      </w:r>
    </w:p>
    <w:p>
      <w:pPr>
        <w:pStyle w:val="Normal"/>
        <w:numPr>
          <w:ilvl w:val="0"/>
          <w:numId w:val="1"/>
        </w:numPr>
        <w:widowControl/>
      </w:pPr>
      <w:r>
        <w:rPr>
          <w:rFonts w:ascii="Calibri" w:hAnsi="Calibri" w:cs="Calibri"/>
        </w:rPr>
        <w:t>Renderers preserve semantic structure, contrast, media alternatives, and safe fallbacks.</w:t>
      </w:r>
    </w:p>
    <w:p>
      <w:pPr>
        <w:pStyle w:val="Normal"/>
        <w:numPr>
          <w:ilvl w:val="0"/>
          <w:numId w:val="1"/>
        </w:numPr>
        <w:widowControl/>
      </w:pPr>
      <w:r>
        <w:rPr>
          <w:rFonts w:ascii="Calibri" w:hAnsi="Calibri" w:cs="Calibri"/>
        </w:rPr>
        <w:t>Primary storefront and Studio journeys cover 375, 768, 1024, and 1440 px.</w:t>
      </w:r>
    </w:p>
    <w:p>
      <w:pPr>
        <w:pStyle w:val="Normal"/>
        <w:numPr>
          <w:ilvl w:val="0"/>
          <w:numId w:val="1"/>
        </w:numPr>
        <w:widowControl/>
      </w:pPr>
      <w:r>
        <w:rPr>
          <w:rFonts w:ascii="Calibri" w:hAnsi="Calibri" w:cs="Calibri"/>
        </w:rPr>
        <w:t>Loading, empty, error, stale, unavailable, success, and unsaved states are explicit.</w:t>
      </w:r>
    </w:p>
    <w:p>
      <w:pPr>
        <w:pStyle w:val="Heading2"/>
        <w:keepNext/>
        <w:widowControl/>
      </w:pPr>
      <w:r>
        <w:rPr>
          <w:rFonts w:ascii="Calibri" w:hAnsi="Calibri" w:cs="Calibri"/>
        </w:rPr>
        <w:t>14.4 Performance and operations</w:t>
      </w:r>
    </w:p>
    <w:p>
      <w:pPr>
        <w:pStyle w:val="Normal"/>
        <w:numPr>
          <w:ilvl w:val="0"/>
          <w:numId w:val="1"/>
        </w:numPr>
        <w:widowControl/>
      </w:pPr>
      <w:r>
        <w:rPr>
          <w:rFonts w:ascii="Calibri" w:hAnsi="Calibri" w:cs="Calibri"/>
        </w:rPr>
        <w:t>Published output uses deterministic, cacheable artifacts and bounded runtime data reads.</w:t>
      </w:r>
    </w:p>
    <w:p>
      <w:pPr>
        <w:pStyle w:val="Normal"/>
        <w:numPr>
          <w:ilvl w:val="0"/>
          <w:numId w:val="1"/>
        </w:numPr>
        <w:widowControl/>
      </w:pPr>
      <w:r>
        <w:rPr>
          <w:rFonts w:ascii="Calibri" w:hAnsi="Calibri" w:cs="Calibri"/>
        </w:rPr>
        <w:t>Responsive images and art direction avoid unnecessary payloads and layout shifts.</w:t>
      </w:r>
    </w:p>
    <w:p>
      <w:pPr>
        <w:pStyle w:val="Normal"/>
        <w:numPr>
          <w:ilvl w:val="0"/>
          <w:numId w:val="1"/>
        </w:numPr>
        <w:widowControl/>
      </w:pPr>
      <w:r>
        <w:rPr>
          <w:rFonts w:ascii="Calibri" w:hAnsi="Calibri" w:cs="Calibri"/>
        </w:rPr>
        <w:t>Observability correlates project, request, proposal, snapshot, publication, and adapter operations without exposing secrets or protected merchant data.</w:t>
      </w:r>
    </w:p>
    <w:p>
      <w:pPr>
        <w:pStyle w:val="Normal"/>
        <w:numPr>
          <w:ilvl w:val="0"/>
          <w:numId w:val="1"/>
        </w:numPr>
        <w:widowControl/>
      </w:pPr>
      <w:r>
        <w:rPr>
          <w:rFonts w:ascii="Calibri" w:hAnsi="Calibri" w:cs="Calibri"/>
        </w:rPr>
        <w:t>Production claims require defined service levels, tenancy isolation, backup/recovery, security, monitoring, deployment, and incident procedures.</w:t>
      </w:r>
    </w:p>
    <w:p>
      <w:pPr>
        <w:pStyle w:val="Heading1"/>
        <w:keepNext/>
        <w:widowControl/>
      </w:pPr>
      <w:r>
        <w:rPr>
          <w:rFonts w:ascii="Calibri" w:hAnsi="Calibri" w:cs="Calibri"/>
        </w:rPr>
        <w:t>15. Phase sequence and exit criteria</w:t>
      </w:r>
    </w:p>
    <w:p>
      <w:pPr>
        <w:pStyle w:val="Normal"/>
        <w:widowControl/>
      </w:pPr>
      <w:r>
        <w:rPr>
          <w:rFonts w:ascii="Calibri" w:hAnsi="Calibri" w:cs="Calibri"/>
        </w:rPr>
        <w:t>The binding sequence is:</w:t>
      </w:r>
    </w:p>
    <w:p>
      <w:pPr>
        <w:pStyle w:val="Normal"/>
        <w:numPr>
          <w:ilvl w:val="0"/>
          <w:numId w:val="3"/>
        </w:numPr>
        <w:widowControl/>
      </w:pPr>
      <w:r>
        <w:rPr>
          <w:rFonts w:ascii="Calibri" w:hAnsi="Calibri" w:cs="Calibri"/>
          <w:b/>
          <w:bCs/>
        </w:rPr>
        <w:t>P10A — Grounded orchestration and publishing closure.</w:t>
      </w:r>
      <w:r>
        <w:rPr>
          <w:rFonts w:ascii="Calibri" w:hAnsi="Calibri" w:cs="Calibri"/>
        </w:rPr>
        <w:t xml:space="preserve"> </w:t>
      </w:r>
      <w:r>
        <w:rPr>
          <w:rFonts w:ascii="Calibri" w:hAnsi="Calibri" w:cs="Calibri"/>
          <w:b/>
          <w:bCs/>
        </w:rPr>
        <w:t>Baseline / closed</w:t>
      </w:r>
      <w:r>
        <w:rPr>
          <w:rFonts w:ascii="Calibri" w:hAnsi="Calibri" w:cs="Calibri"/>
        </w:rPr>
        <w:t xml:space="preserve"> through the formal P10A phase closure record.</w:t>
      </w:r>
    </w:p>
    <w:p>
      <w:pPr>
        <w:pStyle w:val="Normal"/>
        <w:numPr>
          <w:ilvl w:val="0"/>
          <w:numId w:val="3"/>
        </w:numPr>
        <w:widowControl/>
      </w:pPr>
      <w:r>
        <w:rPr>
          <w:rFonts w:ascii="Calibri" w:hAnsi="Calibri" w:cs="Calibri"/>
          <w:b/>
          <w:bCs/>
        </w:rPr>
        <w:t>P10B — Commercial Storefront Generation System v1.</w:t>
      </w:r>
      <w:r>
        <w:rPr>
          <w:rFonts w:ascii="Calibri" w:hAnsi="Calibri" w:cs="Calibri"/>
        </w:rPr>
        <w:t xml:space="preserve"> </w:t>
      </w:r>
      <w:r>
        <w:rPr>
          <w:rFonts w:ascii="Calibri" w:hAnsi="Calibri" w:cs="Calibri"/>
          <w:b/>
          <w:bCs/>
        </w:rPr>
        <w:t>Partial / active phase.</w:t>
      </w:r>
      <w:r>
        <w:rPr>
          <w:rFonts w:ascii="Calibri" w:hAnsi="Calibri" w:cs="Calibri"/>
        </w:rPr>
        <w:t xml:space="preserve"> P10B-01 through P10B-11 and P10B-13 are Baseline; P10B-12 and P10B-14 through P10B-18 remain Planned. Deliver complete commercially credible storefronts with bounded material diversity through registered authority and retained human review.</w:t>
      </w:r>
    </w:p>
    <w:p>
      <w:pPr>
        <w:pStyle w:val="Normal"/>
        <w:numPr>
          <w:ilvl w:val="0"/>
          <w:numId w:val="3"/>
        </w:numPr>
        <w:widowControl/>
      </w:pPr>
      <w:r>
        <w:rPr>
          <w:rFonts w:ascii="Calibri" w:hAnsi="Calibri" w:cs="Calibri"/>
          <w:b/>
          <w:bCs/>
        </w:rPr>
        <w:t>P10C — Storefront Studio Editing Experience v1.</w:t>
      </w:r>
      <w:r>
        <w:rPr>
          <w:rFonts w:ascii="Calibri" w:hAnsi="Calibri" w:cs="Calibri"/>
        </w:rPr>
        <w:t xml:space="preserve"> Deliver merchant-operable assets, manual and scoped AI editing, unified history, save, preview, and publish.</w:t>
      </w:r>
    </w:p>
    <w:p>
      <w:pPr>
        <w:pStyle w:val="Normal"/>
        <w:numPr>
          <w:ilvl w:val="0"/>
          <w:numId w:val="3"/>
        </w:numPr>
        <w:widowControl/>
      </w:pPr>
      <w:r>
        <w:rPr>
          <w:rFonts w:ascii="Calibri" w:hAnsi="Calibri" w:cs="Calibri"/>
          <w:b/>
          <w:bCs/>
        </w:rPr>
        <w:t>P10D — Advanced media and registered interactive presentation.</w:t>
      </w:r>
      <w:r>
        <w:rPr>
          <w:rFonts w:ascii="Calibri" w:hAnsi="Calibri" w:cs="Calibri"/>
        </w:rPr>
        <w:t xml:space="preserve"> Add governed generated media, video, and registered interactive presentation with fallbacks.</w:t>
      </w:r>
    </w:p>
    <w:p>
      <w:pPr>
        <w:pStyle w:val="Normal"/>
        <w:numPr>
          <w:ilvl w:val="0"/>
          <w:numId w:val="3"/>
        </w:numPr>
        <w:widowControl/>
      </w:pPr>
      <w:r>
        <w:rPr>
          <w:rFonts w:ascii="Calibri" w:hAnsi="Calibri" w:cs="Calibri"/>
          <w:b/>
          <w:bCs/>
        </w:rPr>
        <w:t>P11 — Vesko Integration Readiness and Reference Adapter.</w:t>
      </w:r>
      <w:r>
        <w:rPr>
          <w:rFonts w:ascii="Calibri" w:hAnsi="Calibri" w:cs="Calibri"/>
        </w:rPr>
        <w:t xml:space="preserve"> Close contracts and prove the canonical lifecycle in Vesko staging.</w:t>
      </w:r>
    </w:p>
    <w:p>
      <w:pPr>
        <w:pStyle w:val="Normal"/>
        <w:numPr>
          <w:ilvl w:val="0"/>
          <w:numId w:val="3"/>
        </w:numPr>
        <w:widowControl/>
      </w:pPr>
      <w:r>
        <w:rPr>
          <w:rFonts w:ascii="Calibri" w:hAnsi="Calibri" w:cs="Calibri"/>
          <w:b/>
          <w:bCs/>
        </w:rPr>
        <w:t>P12 — Production hardening and pilot operations.</w:t>
      </w:r>
      <w:r>
        <w:rPr>
          <w:rFonts w:ascii="Calibri" w:hAnsi="Calibri" w:cs="Calibri"/>
        </w:rPr>
        <w:t xml:space="preserve"> Establish production tenancy, security, observability, recovery, deployment, and pilot operations.</w:t>
      </w:r>
    </w:p>
    <w:p>
      <w:pPr>
        <w:pStyle w:val="Normal"/>
        <w:widowControl/>
      </w:pPr>
      <w:r>
        <w:rPr>
          <w:rFonts w:ascii="Calibri" w:hAnsi="Calibri" w:cs="Calibri"/>
        </w:rPr>
        <w:t>P10D is not a dependency for the first commercial storefront, the minimum merchant editor, or the Vesko pilot. Detailed tasks, ownership, dependencies, evidence, and non-goals are maintained in the roadmap and delivery tracker.</w:t>
      </w:r>
    </w:p>
    <w:p>
      <w:pPr>
        <w:pStyle w:val="Heading2"/>
        <w:keepNext/>
        <w:widowControl/>
      </w:pPr>
      <w:r>
        <w:rPr>
          <w:rFonts w:ascii="Calibri" w:hAnsi="Calibri" w:cs="Calibri"/>
        </w:rPr>
        <w:t>15.1 Phase exit summaries</w:t>
      </w:r>
    </w:p>
    <w:p>
      <w:pPr>
        <w:pStyle w:val="Normal"/>
        <w:numPr>
          <w:ilvl w:val="0"/>
          <w:numId w:val="1"/>
        </w:numPr>
        <w:widowControl/>
      </w:pPr>
      <w:r>
        <w:rPr>
          <w:rFonts w:ascii="Calibri" w:hAnsi="Calibri" w:cs="Calibri"/>
          <w:b/>
          <w:bCs/>
        </w:rPr>
        <w:t>P10A — Baseline / closed:</w:t>
      </w:r>
      <w:r>
        <w:rPr>
          <w:rFonts w:ascii="Calibri" w:hAnsi="Calibri" w:cs="Calibri"/>
        </w:rPr>
        <w:t xml:space="preserve"> all internal orchestration/publication gates are complete with no merchant-editor wiring requirement; evidence and deferred ownership are traceable in </w:t>
      </w:r>
      <w:hyperlink r:id="rIdHyperlink5"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P10B:</w:t>
      </w:r>
      <w:r>
        <w:rPr>
          <w:rFonts w:ascii="Calibri" w:hAnsi="Calibri" w:cs="Calibri"/>
        </w:rPr>
        <w:t xml:space="preserve"> a serious retailer could publish the generated complete storefront without a designer rebuilding it, supported by retained responsive human review.</w:t>
      </w:r>
    </w:p>
    <w:p>
      <w:pPr>
        <w:pStyle w:val="Normal"/>
        <w:numPr>
          <w:ilvl w:val="0"/>
          <w:numId w:val="1"/>
        </w:numPr>
        <w:widowControl/>
      </w:pPr>
      <w:r>
        <w:rPr>
          <w:rFonts w:ascii="Calibri" w:hAnsi="Calibri" w:cs="Calibri"/>
          <w:b/>
          <w:bCs/>
        </w:rPr>
        <w:t>P10C:</w:t>
      </w:r>
      <w:r>
        <w:rPr>
          <w:rFonts w:ascii="Calibri" w:hAnsi="Calibri" w:cs="Calibri"/>
        </w:rPr>
        <w:t xml:space="preserve"> a merchant completes the canonical select-to-publish editing chain in Storefront Studio.</w:t>
      </w:r>
    </w:p>
    <w:p>
      <w:pPr>
        <w:pStyle w:val="Normal"/>
        <w:numPr>
          <w:ilvl w:val="0"/>
          <w:numId w:val="1"/>
        </w:numPr>
        <w:widowControl/>
      </w:pPr>
      <w:r>
        <w:rPr>
          <w:rFonts w:ascii="Calibri" w:hAnsi="Calibri" w:cs="Calibri"/>
          <w:b/>
          <w:bCs/>
        </w:rPr>
        <w:t>P10D:</w:t>
      </w:r>
      <w:r>
        <w:rPr>
          <w:rFonts w:ascii="Calibri" w:hAnsi="Calibri" w:cs="Calibri"/>
        </w:rPr>
        <w:t xml:space="preserve"> advanced media remains registered, governed, accessible, performant, and safely degradable.</w:t>
      </w:r>
    </w:p>
    <w:p>
      <w:pPr>
        <w:pStyle w:val="Normal"/>
        <w:numPr>
          <w:ilvl w:val="0"/>
          <w:numId w:val="1"/>
        </w:numPr>
        <w:widowControl/>
      </w:pPr>
      <w:r>
        <w:rPr>
          <w:rFonts w:ascii="Calibri" w:hAnsi="Calibri" w:cs="Calibri"/>
          <w:b/>
          <w:bCs/>
        </w:rPr>
        <w:t>P11:</w:t>
      </w:r>
      <w:r>
        <w:rPr>
          <w:rFonts w:ascii="Calibri" w:hAnsi="Calibri" w:cs="Calibri"/>
        </w:rPr>
        <w:t xml:space="preserve"> the canonical lifecycle passes typed adapter conformance and end-to-end Vesko staging, and one real pilot has an accepted readiness record without implying broad production readiness.</w:t>
      </w:r>
    </w:p>
    <w:p>
      <w:pPr>
        <w:pStyle w:val="Normal"/>
        <w:numPr>
          <w:ilvl w:val="0"/>
          <w:numId w:val="1"/>
        </w:numPr>
        <w:widowControl/>
      </w:pPr>
      <w:r>
        <w:rPr>
          <w:rFonts w:ascii="Calibri" w:hAnsi="Calibri" w:cs="Calibri"/>
          <w:b/>
          <w:bCs/>
        </w:rPr>
        <w:t>P12:</w:t>
      </w:r>
      <w:r>
        <w:rPr>
          <w:rFonts w:ascii="Calibri" w:hAnsi="Calibri" w:cs="Calibri"/>
        </w:rPr>
        <w:t xml:space="preserve"> production-readiness gates and controlled pilot operations pass with retained evidence.</w:t>
      </w:r>
    </w:p>
    <w:p>
      <w:pPr>
        <w:pStyle w:val="Heading1"/>
        <w:keepNext/>
        <w:widowControl/>
      </w:pPr>
      <w:r>
        <w:rPr>
          <w:rFonts w:ascii="Calibri" w:hAnsi="Calibri" w:cs="Calibri"/>
        </w:rPr>
        <w:t>16. Deprecation and migration</w:t>
      </w:r>
    </w:p>
    <w:p>
      <w:pPr>
        <w:pStyle w:val="Normal"/>
        <w:widowControl/>
      </w:pPr>
      <w:r>
        <w:rPr>
          <w:rFonts w:ascii="Calibri" w:hAnsi="Calibri" w:cs="Calibri"/>
        </w:rPr>
        <w:t>The following are compatibility-only or superseded authorities and must not guide new work:</w:t>
      </w:r>
    </w:p>
    <w:p>
      <w:pPr>
        <w:pStyle w:val="Normal"/>
        <w:numPr>
          <w:ilvl w:val="0"/>
          <w:numId w:val="1"/>
        </w:numPr>
        <w:widowControl/>
      </w:pPr>
      <w:r>
        <w:rPr>
          <w:rFonts w:ascii="Calibri" w:hAnsi="Calibri" w:cs="Calibri"/>
        </w:rPr>
        <w:t>legacy component definitions and renderer paths superseded by ComponentDefinitionV2;</w:t>
      </w:r>
    </w:p>
    <w:p>
      <w:pPr>
        <w:pStyle w:val="Normal"/>
        <w:numPr>
          <w:ilvl w:val="0"/>
          <w:numId w:val="1"/>
        </w:numPr>
        <w:widowControl/>
      </w:pPr>
      <w:r>
        <w:rPr>
          <w:rFonts w:ascii="Calibri" w:hAnsi="Calibri" w:cs="Calibri"/>
        </w:rPr>
        <w:t>hand-maintained capability inventories duplicated from the generated manifest;</w:t>
      </w:r>
    </w:p>
    <w:p>
      <w:pPr>
        <w:pStyle w:val="Normal"/>
        <w:numPr>
          <w:ilvl w:val="0"/>
          <w:numId w:val="1"/>
        </w:numPr>
        <w:widowControl/>
      </w:pPr>
      <w:r>
        <w:rPr>
          <w:rFonts w:ascii="Calibri" w:hAnsi="Calibri" w:cs="Calibri"/>
        </w:rPr>
        <w:t>legacy deterministic/fixture editor routes that bypass governed package and scope authority;</w:t>
      </w:r>
    </w:p>
    <w:p>
      <w:pPr>
        <w:pStyle w:val="Normal"/>
        <w:numPr>
          <w:ilvl w:val="0"/>
          <w:numId w:val="1"/>
        </w:numPr>
        <w:widowControl/>
      </w:pPr>
      <w:r>
        <w:rPr>
          <w:rFonts w:ascii="Calibri" w:hAnsi="Calibri" w:cs="Calibri"/>
        </w:rPr>
        <w:t>browser-owned publication methods or browser-created accepted-AI authority;</w:t>
      </w:r>
    </w:p>
    <w:p>
      <w:pPr>
        <w:pStyle w:val="Normal"/>
        <w:numPr>
          <w:ilvl w:val="0"/>
          <w:numId w:val="1"/>
        </w:numPr>
        <w:widowControl/>
      </w:pPr>
      <w:r>
        <w:rPr>
          <w:rFonts w:ascii="Calibri" w:hAnsi="Calibri" w:cs="Calibri"/>
        </w:rPr>
        <w:t>raw Puck persistence or Puck-shaped canonical page state;</w:t>
      </w:r>
    </w:p>
    <w:p>
      <w:pPr>
        <w:pStyle w:val="Normal"/>
        <w:numPr>
          <w:ilvl w:val="0"/>
          <w:numId w:val="1"/>
        </w:numPr>
        <w:widowControl/>
      </w:pPr>
      <w:r>
        <w:rPr>
          <w:rFonts w:ascii="Calibri" w:hAnsi="Calibri" w:cs="Calibri"/>
        </w:rPr>
        <w:t>independently executable recipe, template, direction, or storefront-plan representations;</w:t>
      </w:r>
    </w:p>
    <w:p>
      <w:pPr>
        <w:pStyle w:val="Normal"/>
        <w:numPr>
          <w:ilvl w:val="0"/>
          <w:numId w:val="1"/>
        </w:numPr>
        <w:widowControl/>
      </w:pPr>
      <w:r>
        <w:rPr>
          <w:rFonts w:ascii="Calibri" w:hAnsi="Calibri" w:cs="Calibri"/>
        </w:rPr>
        <w:t>legacy product-card implementations duplicated outside the canonical commercial family;</w:t>
      </w:r>
    </w:p>
    <w:p>
      <w:pPr>
        <w:pStyle w:val="Normal"/>
        <w:numPr>
          <w:ilvl w:val="0"/>
          <w:numId w:val="1"/>
        </w:numPr>
        <w:widowControl/>
      </w:pPr>
      <w:r>
        <w:rPr>
          <w:rFonts w:ascii="Calibri" w:hAnsi="Calibri" w:cs="Calibri"/>
        </w:rPr>
        <w:t>v1.2.2 phase descriptions that keep Phase 9 active or assign merchant editing outside P10C.</w:t>
      </w:r>
    </w:p>
    <w:p>
      <w:pPr>
        <w:pStyle w:val="Normal"/>
        <w:widowControl/>
      </w:pPr>
      <w:r>
        <w:rPr>
          <w:rFonts w:ascii="Calibri" w:hAnsi="Calibri" w:cs="Calibri"/>
        </w:rPr>
        <w:t>Migration must preserve canonical IDs, bindings, commerce truth, snapshot history, and published authority. An unresolved migration blocks compilation or rendering rather than silently dropping content or selecting a fallback variant.</w:t>
      </w:r>
    </w:p>
    <w:p>
      <w:pPr>
        <w:pStyle w:val="Heading1"/>
        <w:keepNext/>
        <w:widowControl/>
      </w:pPr>
      <w:r>
        <w:rPr>
          <w:rFonts w:ascii="Calibri" w:hAnsi="Calibri" w:cs="Calibri"/>
        </w:rPr>
        <w:t>17. Explicit current non-claims</w:t>
      </w:r>
    </w:p>
    <w:p>
      <w:pPr>
        <w:pStyle w:val="Normal"/>
        <w:widowControl/>
      </w:pPr>
      <w:r>
        <w:rPr>
          <w:rFonts w:ascii="Calibri" w:hAnsi="Calibri" w:cs="Calibri"/>
        </w:rPr>
        <w:t>Version 1.3.0 does not claim:</w:t>
      </w:r>
    </w:p>
    <w:p>
      <w:pPr>
        <w:pStyle w:val="Normal"/>
        <w:numPr>
          <w:ilvl w:val="0"/>
          <w:numId w:val="1"/>
        </w:numPr>
        <w:widowControl/>
      </w:pPr>
      <w:r>
        <w:rPr>
          <w:rFonts w:ascii="Calibri" w:hAnsi="Calibri" w:cs="Calibri"/>
        </w:rPr>
        <w:t>that the overall product is Baseline or production ready;</w:t>
      </w:r>
    </w:p>
    <w:p>
      <w:pPr>
        <w:pStyle w:val="Normal"/>
        <w:numPr>
          <w:ilvl w:val="0"/>
          <w:numId w:val="1"/>
        </w:numPr>
        <w:widowControl/>
      </w:pPr>
      <w:r>
        <w:rPr>
          <w:rFonts w:ascii="Calibri" w:hAnsi="Calibri" w:cs="Calibri"/>
        </w:rPr>
        <w:t>that current output has passed the P10B commercial visual-quality gate;</w:t>
      </w:r>
    </w:p>
    <w:p>
      <w:pPr>
        <w:pStyle w:val="Normal"/>
        <w:numPr>
          <w:ilvl w:val="0"/>
          <w:numId w:val="1"/>
        </w:numPr>
        <w:widowControl/>
      </w:pPr>
      <w:r>
        <w:rPr>
          <w:rFonts w:ascii="Calibri" w:hAnsi="Calibri" w:cs="Calibri"/>
        </w:rPr>
        <w:t>that governed internal routing is wired into the normal merchant editor;</w:t>
      </w:r>
    </w:p>
    <w:p>
      <w:pPr>
        <w:pStyle w:val="Normal"/>
        <w:numPr>
          <w:ilvl w:val="0"/>
          <w:numId w:val="1"/>
        </w:numPr>
        <w:widowControl/>
      </w:pPr>
      <w:r>
        <w:rPr>
          <w:rFonts w:ascii="Calibri" w:hAnsi="Calibri" w:cs="Calibri"/>
        </w:rPr>
        <w:t>that the Vesko OpenAPI contract is sufficient for production integration;</w:t>
      </w:r>
    </w:p>
    <w:p>
      <w:pPr>
        <w:pStyle w:val="Normal"/>
        <w:numPr>
          <w:ilvl w:val="0"/>
          <w:numId w:val="1"/>
        </w:numPr>
        <w:widowControl/>
      </w:pPr>
      <w:r>
        <w:rPr>
          <w:rFonts w:ascii="Calibri" w:hAnsi="Calibri" w:cs="Calibri"/>
        </w:rPr>
        <w:t xml:space="preserve">that raw Vesko Puck persistence is compatible with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rPr>
        <w:t>that Veskify may mutate commerce truth;</w:t>
      </w:r>
    </w:p>
    <w:p>
      <w:pPr>
        <w:pStyle w:val="Normal"/>
        <w:numPr>
          <w:ilvl w:val="0"/>
          <w:numId w:val="1"/>
        </w:numPr>
        <w:widowControl/>
      </w:pPr>
      <w:r>
        <w:rPr>
          <w:rFonts w:ascii="Calibri" w:hAnsi="Calibri" w:cs="Calibri"/>
        </w:rPr>
        <w:t>that Vesko staging or production evidence exists;</w:t>
      </w:r>
    </w:p>
    <w:p>
      <w:pPr>
        <w:pStyle w:val="Normal"/>
        <w:numPr>
          <w:ilvl w:val="0"/>
          <w:numId w:val="1"/>
        </w:numPr>
        <w:widowControl/>
      </w:pPr>
      <w:r>
        <w:rPr>
          <w:rFonts w:ascii="Calibri" w:hAnsi="Calibri" w:cs="Calibri"/>
        </w:rPr>
        <w:t>that authentication, tenancy, observability, deployment, and operations are production complete;</w:t>
      </w:r>
    </w:p>
    <w:p>
      <w:pPr>
        <w:pStyle w:val="Normal"/>
        <w:numPr>
          <w:ilvl w:val="0"/>
          <w:numId w:val="1"/>
        </w:numPr>
        <w:widowControl/>
      </w:pPr>
      <w:r>
        <w:rPr>
          <w:rFonts w:ascii="Calibri" w:hAnsi="Calibri" w:cs="Calibri"/>
        </w:rPr>
        <w:t>that P10D advanced media is required for the first commercial storefront or pilot;</w:t>
      </w:r>
    </w:p>
    <w:p>
      <w:pPr>
        <w:pStyle w:val="Normal"/>
        <w:numPr>
          <w:ilvl w:val="0"/>
          <w:numId w:val="1"/>
        </w:numPr>
        <w:widowControl/>
      </w:pPr>
      <w:r>
        <w:rPr>
          <w:rFonts w:ascii="Calibri" w:hAnsi="Calibri" w:cs="Calibri"/>
        </w:rPr>
        <w:t>that archived v1.2.2 prose describes current implementation or phase status.</w:t>
      </w:r>
    </w:p>
    <w:p>
      <w:pPr>
        <w:pStyle w:val="Heading1"/>
        <w:keepNext/>
        <w:widowControl/>
      </w:pPr>
      <w:r>
        <w:rPr>
          <w:rFonts w:ascii="Calibri" w:hAnsi="Calibri" w:cs="Calibri"/>
        </w:rPr>
        <w:t>Appendix A — Authoritative requirement and acceptance traceability</w:t>
      </w:r>
    </w:p>
    <w:p>
      <w:pPr>
        <w:pStyle w:val="Normal"/>
        <w:widowControl/>
      </w:pPr>
      <w:r>
        <w:rPr>
          <w:rFonts w:ascii="Calibri" w:hAnsi="Calibri" w:cs="Calibri"/>
        </w:rPr>
        <w:t>This appendix is the sole authoritative v1.3.0 definition site for the retained requirement namespace: 24 functional requirements (</w:t>
      </w:r>
      <w:r>
        <w:rPr>
          <w:rFonts w:ascii="Consolas" w:hAnsi="Consolas" w:cs="Consolas"/>
          <w:sz w:val="19"/>
          <w:szCs w:val="19"/>
        </w:rPr>
        <w:t>FR-101</w:t>
      </w:r>
      <w:r>
        <w:rPr>
          <w:rFonts w:ascii="Calibri" w:hAnsi="Calibri" w:cs="Calibri"/>
        </w:rPr>
        <w:t xml:space="preserve"> through </w:t>
      </w:r>
      <w:r>
        <w:rPr>
          <w:rFonts w:ascii="Consolas" w:hAnsi="Consolas" w:cs="Consolas"/>
          <w:sz w:val="19"/>
          <w:szCs w:val="19"/>
        </w:rPr>
        <w:t>FR-124</w:t>
      </w:r>
      <w:r>
        <w:rPr>
          <w:rFonts w:ascii="Calibri" w:hAnsi="Calibri" w:cs="Calibri"/>
        </w:rPr>
        <w:t>), 10 non-functional requirements (</w:t>
      </w:r>
      <w:r>
        <w:rPr>
          <w:rFonts w:ascii="Consolas" w:hAnsi="Consolas" w:cs="Consolas"/>
          <w:sz w:val="19"/>
          <w:szCs w:val="19"/>
        </w:rPr>
        <w:t>NFR-101</w:t>
      </w:r>
      <w:r>
        <w:rPr>
          <w:rFonts w:ascii="Calibri" w:hAnsi="Calibri" w:cs="Calibri"/>
        </w:rPr>
        <w:t xml:space="preserve"> through </w:t>
      </w:r>
      <w:r>
        <w:rPr>
          <w:rFonts w:ascii="Consolas" w:hAnsi="Consolas" w:cs="Consolas"/>
          <w:sz w:val="19"/>
          <w:szCs w:val="19"/>
        </w:rPr>
        <w:t>NFR-110</w:t>
      </w:r>
      <w:r>
        <w:rPr>
          <w:rFonts w:ascii="Calibri" w:hAnsi="Calibri" w:cs="Calibri"/>
        </w:rPr>
        <w:t>), and 38 acceptance criteria (</w:t>
      </w:r>
      <w:r>
        <w:rPr>
          <w:rFonts w:ascii="Consolas" w:hAnsi="Consolas" w:cs="Consolas"/>
          <w:sz w:val="19"/>
          <w:szCs w:val="19"/>
        </w:rPr>
        <w:t>AC-101</w:t>
      </w:r>
      <w:r>
        <w:rPr>
          <w:rFonts w:ascii="Calibri" w:hAnsi="Calibri" w:cs="Calibri"/>
        </w:rPr>
        <w:t xml:space="preserve"> through </w:t>
      </w:r>
      <w:r>
        <w:rPr>
          <w:rFonts w:ascii="Consolas" w:hAnsi="Consolas" w:cs="Consolas"/>
          <w:sz w:val="19"/>
          <w:szCs w:val="19"/>
        </w:rPr>
        <w:t>AC-138</w:t>
      </w:r>
      <w:r>
        <w:rPr>
          <w:rFonts w:ascii="Calibri" w:hAnsi="Calibri" w:cs="Calibri"/>
        </w:rPr>
        <w:t>). The meanings come from the previous authoritative specification and are retained or clarified against the current architecture and phase boundary; stale v1.2.2 phase prose does not regain authority.</w:t>
      </w:r>
    </w:p>
    <w:p>
      <w:pPr>
        <w:pStyle w:val="Normal"/>
        <w:widowControl/>
      </w:pPr>
      <w:r>
        <w:rPr>
          <w:rFonts w:ascii="Calibri" w:hAnsi="Calibri" w:cs="Calibri"/>
        </w:rPr>
        <w:t xml:space="preserve">The </w:t>
      </w:r>
      <w:r>
        <w:rPr>
          <w:rFonts w:ascii="Calibri" w:hAnsi="Calibri" w:cs="Calibri"/>
          <w:b/>
          <w:bCs/>
        </w:rPr>
        <w:t>Current status</w:t>
      </w:r>
      <w:r>
        <w:rPr>
          <w:rFonts w:ascii="Calibri" w:hAnsi="Calibri" w:cs="Calibri"/>
        </w:rPr>
        <w:t xml:space="preserve"> column is a traceability disposition, not the implementation status defined in section 1.1. </w:t>
      </w:r>
      <w:r>
        <w:rPr>
          <w:rFonts w:ascii="Calibri" w:hAnsi="Calibri" w:cs="Calibri"/>
          <w:b/>
          <w:bCs/>
        </w:rPr>
        <w:t>Clarified</w:t>
      </w:r>
      <w:r>
        <w:rPr>
          <w:rFonts w:ascii="Calibri" w:hAnsi="Calibri" w:cs="Calibri"/>
        </w:rPr>
        <w:t xml:space="preserve"> means the requirement retains its identifier and essential meaning but uses current v1.3.0 terminology or ownership. </w:t>
      </w:r>
      <w:r>
        <w:rPr>
          <w:rFonts w:ascii="Calibri" w:hAnsi="Calibri" w:cs="Calibri"/>
          <w:b/>
          <w:bCs/>
        </w:rPr>
        <w:t>Historical only</w:t>
      </w:r>
      <w:r>
        <w:rPr>
          <w:rFonts w:ascii="Calibri" w:hAnsi="Calibri" w:cs="Calibri"/>
        </w:rPr>
        <w:t xml:space="preserve"> is used only where no active binding document depends on the outcome as a current delivery gate. Pre-consolidation task-local </w:t>
      </w:r>
      <w:r>
        <w:rPr>
          <w:rFonts w:ascii="Consolas" w:hAnsi="Consolas" w:cs="Consolas"/>
          <w:sz w:val="19"/>
          <w:szCs w:val="19"/>
        </w:rPr>
        <w:t>001</w:t>
      </w:r>
      <w:r>
        <w:rPr>
          <w:rFonts w:ascii="Calibri" w:hAnsi="Calibri" w:cs="Calibri"/>
        </w:rPr>
        <w:t>–</w:t>
      </w:r>
      <w:r>
        <w:rPr>
          <w:rFonts w:ascii="Consolas" w:hAnsi="Consolas" w:cs="Consolas"/>
          <w:sz w:val="19"/>
          <w:szCs w:val="19"/>
        </w:rPr>
        <w:t>099</w:t>
      </w:r>
      <w:r>
        <w:rPr>
          <w:rFonts w:ascii="Calibri" w:hAnsi="Calibri" w:cs="Calibri"/>
        </w:rPr>
        <w:t xml:space="preserve"> identifiers are governed by the explicit exclusion in </w:t>
      </w:r>
      <w:hyperlink r:id="rIdHyperlink20" w:history="1">
        <w:r>
          <w:rPr>
            <w:rFonts w:ascii="Calibri" w:hAnsi="Calibri" w:cs="Calibri"/>
            <w:color w:val="2E74B5"/>
            <w:u w:val="single"/>
          </w:rPr>
          <w:t>archive/README.md</w:t>
        </w:r>
      </w:hyperlink>
      <w:r>
        <w:rPr>
          <w:rFonts w:ascii="Calibri" w:hAnsi="Calibri" w:cs="Calibri"/>
        </w:rPr>
        <w:t>; they are not v1.3.0 aliases.</w:t>
      </w:r>
    </w:p>
    <w:p>
      <w:pPr>
        <w:pStyle w:val="Heading2"/>
        <w:keepNext/>
        <w:widowControl/>
      </w:pPr>
      <w:r>
        <w:rPr>
          <w:rFonts w:ascii="Calibri" w:hAnsi="Calibri" w:cs="Calibri"/>
        </w:rPr>
        <w:t>A.1 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operate as the controlled storefront-design engine for Vesko Storefront Studio while the standalone repository remains an implementation, validation, and demo environment rather than the merchant product boundary.</w:t>
            </w:r>
          </w:p>
        </w:tc>
        <w:tc>
          <w:tcPr>
            <w:tcW w:w="1300" w:type="dxa"/>
            <w:vAlign w:val="center"/>
          </w:tcPr>
          <w:p>
            <w:pPr>
              <w:pStyle w:val="TraceabilityTableText"/>
              <w:widowControl/>
            </w:pPr>
            <w:r>
              <w:rPr>
                <w:rFonts w:ascii="Calibri" w:hAnsi="Calibri" w:cs="Calibri"/>
              </w:rPr>
              <w:t>§§2–4; cross-phase product boundary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README; AGENTS; current-state audit</w:t>
            </w:r>
          </w:p>
        </w:tc>
      </w:tr>
      <w:tr>
        <w:trPr>
          <w:cantSplit/>
        </w:trPr>
        <w:tc>
          <w:tcPr>
            <w:tcW w:w="720" w:type="dxa"/>
            <w:vAlign w:val="center"/>
          </w:tcPr>
          <w:p>
            <w:pPr>
              <w:pStyle w:val="TraceabilityTableText"/>
              <w:widowControl/>
            </w:pPr>
            <w:r>
              <w:rPr>
                <w:rFonts w:ascii="Calibri" w:hAnsi="Calibri" w:cs="Calibri"/>
                <w:b/>
                <w:bCs/>
              </w:rPr>
              <w:t>FR-102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Veskify MUST preserve product identity and commerce boundaries: no design flow may own or mutate catalogue management, product types, variants, prices, stock, inventory, orders, payments, tax, or logistics.</w:t>
            </w:r>
          </w:p>
        </w:tc>
        <w:tc>
          <w:tcPr>
            <w:tcW w:w="1300" w:type="dxa"/>
            <w:vAlign w:val="center"/>
          </w:tcPr>
          <w:p>
            <w:pPr>
              <w:pStyle w:val="TraceabilityTableText"/>
              <w:widowControl/>
            </w:pPr>
            <w:r>
              <w:rPr>
                <w:rFonts w:ascii="Calibri" w:hAnsi="Calibri" w:cs="Calibri"/>
              </w:rPr>
              <w:t>§§3.3–3.4,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capability ledger; protected-commerce tests</w:t>
            </w:r>
          </w:p>
        </w:tc>
      </w:tr>
      <w:tr>
        <w:trPr>
          <w:cantSplit/>
        </w:trPr>
        <w:tc>
          <w:tcPr>
            <w:tcW w:w="720" w:type="dxa"/>
            <w:vAlign w:val="center"/>
          </w:tcPr>
          <w:p>
            <w:pPr>
              <w:pStyle w:val="TraceabilityTableText"/>
              <w:widowControl/>
            </w:pPr>
            <w:r>
              <w:rPr>
                <w:rFonts w:ascii="Calibri" w:hAnsi="Calibri" w:cs="Calibri"/>
                <w:b/>
                <w:bCs/>
              </w:rPr>
              <w:t>FR-103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primary onboarding path MUST start from an existing public storefront URL, discover reusable source evidence, and present it without changing the current draft.</w:t>
            </w:r>
          </w:p>
        </w:tc>
        <w:tc>
          <w:tcPr>
            <w:tcW w:w="1300" w:type="dxa"/>
            <w:vAlign w:val="center"/>
          </w:tcPr>
          <w:p>
            <w:pPr>
              <w:pStyle w:val="TraceabilityTableText"/>
              <w:widowControl/>
            </w:pPr>
            <w:r>
              <w:rPr>
                <w:rFonts w:ascii="Calibri" w:hAnsi="Calibri" w:cs="Calibri"/>
              </w:rPr>
              <w:t>§§3.1, 5; retained baseline and 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contracts and tests</w:t>
            </w:r>
          </w:p>
        </w:tc>
      </w:tr>
      <w:tr>
        <w:trPr>
          <w:cantSplit/>
        </w:trPr>
        <w:tc>
          <w:tcPr>
            <w:tcW w:w="720" w:type="dxa"/>
            <w:vAlign w:val="center"/>
          </w:tcPr>
          <w:p>
            <w:pPr>
              <w:pStyle w:val="TraceabilityTableText"/>
              <w:widowControl/>
            </w:pPr>
            <w:r>
              <w:rPr>
                <w:rFonts w:ascii="Calibri" w:hAnsi="Calibri" w:cs="Calibri"/>
                <w:b/>
                <w:bCs/>
              </w:rPr>
              <w:t>FR-104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Source discovery MUST record evidence, provenance, warnings, and confidence, and MUST reconcile discovered products, collections, and assets against canonical Vesko commerce data before generation.</w:t>
            </w:r>
          </w:p>
        </w:tc>
        <w:tc>
          <w:tcPr>
            <w:tcW w:w="1300" w:type="dxa"/>
            <w:vAlign w:val="center"/>
          </w:tcPr>
          <w:p>
            <w:pPr>
              <w:pStyle w:val="TraceabilityTableText"/>
              <w:widowControl/>
            </w:pPr>
            <w:r>
              <w:rPr>
                <w:rFonts w:ascii="Calibri" w:hAnsi="Calibri" w:cs="Calibri"/>
              </w:rPr>
              <w:t>§§3.1, 3.3, 5; retained baseline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source-evidence and reconciliation tests</w:t>
            </w:r>
          </w:p>
        </w:tc>
      </w:tr>
      <w:tr>
        <w:trPr>
          <w:cantSplit/>
        </w:trPr>
        <w:tc>
          <w:tcPr>
            <w:tcW w:w="720" w:type="dxa"/>
            <w:vAlign w:val="center"/>
          </w:tcPr>
          <w:p>
            <w:pPr>
              <w:pStyle w:val="TraceabilityTableText"/>
              <w:widowControl/>
            </w:pPr>
            <w:r>
              <w:rPr>
                <w:rFonts w:ascii="Calibri" w:hAnsi="Calibri" w:cs="Calibri"/>
                <w:b/>
                <w:bCs/>
              </w:rPr>
              <w:t>FR-105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merchant MUST approve a Storefront Design Brief before initial generation; the brief MUST include business profile, source summary, brand direction, approved assets, page plan, assumptions, warnings, and protected commerce source.</w:t>
            </w:r>
          </w:p>
        </w:tc>
        <w:tc>
          <w:tcPr>
            <w:tcW w:w="1300" w:type="dxa"/>
            <w:vAlign w:val="center"/>
          </w:tcPr>
          <w:p>
            <w:pPr>
              <w:pStyle w:val="TraceabilityTableText"/>
              <w:widowControl/>
            </w:pPr>
            <w:r>
              <w:rPr>
                <w:rFonts w:ascii="Calibri" w:hAnsi="Calibri" w:cs="Calibri"/>
              </w:rPr>
              <w:t>§§3.1, 5–6; P10A internal execution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Approved-brief contracts; Phase 9 evidence matrix</w:t>
            </w:r>
          </w:p>
        </w:tc>
      </w:tr>
      <w:tr>
        <w:trPr>
          <w:cantSplit/>
        </w:trPr>
        <w:tc>
          <w:tcPr>
            <w:tcW w:w="720" w:type="dxa"/>
            <w:vAlign w:val="center"/>
          </w:tcPr>
          <w:p>
            <w:pPr>
              <w:pStyle w:val="TraceabilityTableText"/>
              <w:widowControl/>
            </w:pPr>
            <w:r>
              <w:rPr>
                <w:rFonts w:ascii="Calibri" w:hAnsi="Calibri" w:cs="Calibri"/>
                <w:b/>
                <w:bCs/>
              </w:rPr>
              <w:t>FR-106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Brand reconstruction MUST work from logo, public-site evidence, product imagery, merchant preferences, and registered industry/direction presets, including exact valid palette instructions when schema and contrast validation pass.</w:t>
            </w:r>
          </w:p>
        </w:tc>
        <w:tc>
          <w:tcPr>
            <w:tcW w:w="1300" w:type="dxa"/>
            <w:vAlign w:val="center"/>
          </w:tcPr>
          <w:p>
            <w:pPr>
              <w:pStyle w:val="TraceabilityTableText"/>
              <w:widowControl/>
            </w:pPr>
            <w:r>
              <w:rPr>
                <w:rFonts w:ascii="Calibri" w:hAnsi="Calibri" w:cs="Calibri"/>
              </w:rPr>
              <w:t>§§3.1, 7.3, 10;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contracts; P10B capability audit</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FR-107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Asset inventory, selection, and reuse MUST preserve asset IDs, role eligibility, responsive crop metadata, provenance, and merchant approval; generation MAY be offered only when reusable assets are insufficient or explicitly requested.</w:t>
            </w:r>
          </w:p>
        </w:tc>
        <w:tc>
          <w:tcPr>
            <w:tcW w:w="1300" w:type="dxa"/>
            <w:vAlign w:val="center"/>
          </w:tcPr>
          <w:p>
            <w:pPr>
              <w:pStyle w:val="TraceabilityTableText"/>
              <w:widowControl/>
            </w:pPr>
            <w:r>
              <w:rPr>
                <w:rFonts w:ascii="Calibri" w:hAnsi="Calibri" w:cs="Calibri"/>
              </w:rPr>
              <w:t>§§3.2, 5, 10–11;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 contracts; capability ledger; P10C asset ownership</w:t>
            </w:r>
          </w:p>
        </w:tc>
      </w:tr>
      <w:tr>
        <w:trPr>
          <w:cantSplit/>
        </w:trPr>
        <w:tc>
          <w:tcPr>
            <w:tcW w:w="720" w:type="dxa"/>
            <w:vAlign w:val="center"/>
          </w:tcPr>
          <w:p>
            <w:pPr>
              <w:pStyle w:val="TraceabilityTableText"/>
              <w:widowControl/>
            </w:pPr>
            <w:r>
              <w:rPr>
                <w:rFonts w:ascii="Calibri" w:hAnsi="Calibri" w:cs="Calibri"/>
                <w:b/>
                <w:bCs/>
              </w:rPr>
              <w:t>FR-108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design changes MUST use controlled proposals, approved skills, structured operations, target-bound permissions, validation, and merchant review before draft mutation.</w:t>
            </w:r>
          </w:p>
        </w:tc>
        <w:tc>
          <w:tcPr>
            <w:tcW w:w="1300" w:type="dxa"/>
            <w:vAlign w:val="center"/>
          </w:tcPr>
          <w:p>
            <w:pPr>
              <w:pStyle w:val="TraceabilityTableText"/>
              <w:widowControl/>
            </w:pPr>
            <w:r>
              <w:rPr>
                <w:rFonts w:ascii="Calibri" w:hAnsi="Calibri" w:cs="Calibri"/>
              </w:rPr>
              <w:t>§6; P10A internal authority and P10C merchant operation</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 proposal lifecycle tests</w:t>
            </w:r>
          </w:p>
        </w:tc>
      </w:tr>
      <w:tr>
        <w:trPr>
          <w:cantSplit/>
        </w:trPr>
        <w:tc>
          <w:tcPr>
            <w:tcW w:w="720" w:type="dxa"/>
            <w:vAlign w:val="center"/>
          </w:tcPr>
          <w:p>
            <w:pPr>
              <w:pStyle w:val="TraceabilityTableText"/>
              <w:widowControl/>
            </w:pPr>
            <w:r>
              <w:rPr>
                <w:rFonts w:ascii="Calibri" w:hAnsi="Calibri" w:cs="Calibri"/>
                <w:b/>
                <w:bCs/>
              </w:rPr>
              <w:t>FR-109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provide reusable ComponentDefinitionV2 families, variants, slots, bindings, PageBlueprints/profiles, migrations, and shared editor/preview/published renderers.</w:t>
            </w:r>
          </w:p>
        </w:tc>
        <w:tc>
          <w:tcPr>
            <w:tcW w:w="1300" w:type="dxa"/>
            <w:vAlign w:val="center"/>
          </w:tcPr>
          <w:p>
            <w:pPr>
              <w:pStyle w:val="TraceabilityTableText"/>
              <w:widowControl/>
            </w:pPr>
            <w:r>
              <w:rPr>
                <w:rFonts w:ascii="Calibri" w:hAnsi="Calibri" w:cs="Calibri"/>
              </w:rPr>
              <w:t>§§4.2, 7; P10A/P10B/P10C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Component registry; generated manifest; P10B audit</w:t>
            </w:r>
          </w:p>
        </w:tc>
      </w:tr>
      <w:tr>
        <w:trPr>
          <w:cantSplit/>
        </w:trPr>
        <w:tc>
          <w:tcPr>
            <w:tcW w:w="720" w:type="dxa"/>
            <w:vAlign w:val="center"/>
          </w:tcPr>
          <w:p>
            <w:pPr>
              <w:pStyle w:val="TraceabilityTableText"/>
              <w:widowControl/>
            </w:pPr>
            <w:r>
              <w:rPr>
                <w:rFonts w:ascii="Calibri" w:hAnsi="Calibri" w:cs="Calibri"/>
                <w:b/>
                <w:bCs/>
              </w:rPr>
              <w:t>FR-110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Storefront components MUST bind to a canonical read-only Vesko commerce projection and MUST NOT create a competing product, product-type, option, variant, or catalogue model.</w:t>
            </w:r>
          </w:p>
        </w:tc>
        <w:tc>
          <w:tcPr>
            <w:tcW w:w="1300" w:type="dxa"/>
            <w:vAlign w:val="center"/>
          </w:tcPr>
          <w:p>
            <w:pPr>
              <w:pStyle w:val="TraceabilityTableText"/>
              <w:widowControl/>
            </w:pPr>
            <w:r>
              <w:rPr>
                <w:rFonts w:ascii="Calibri" w:hAnsi="Calibri" w:cs="Calibri"/>
              </w:rPr>
              <w:t>§§3.3, 7.4, 12; all phases and 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protected-commerce regressions</w:t>
            </w:r>
          </w:p>
        </w:tc>
      </w:tr>
      <w:tr>
        <w:trPr>
          <w:cantSplit/>
        </w:trPr>
        <w:tc>
          <w:tcPr>
            <w:tcW w:w="720" w:type="dxa"/>
            <w:vAlign w:val="center"/>
          </w:tcPr>
          <w:p>
            <w:pPr>
              <w:pStyle w:val="TraceabilityTableText"/>
              <w:widowControl/>
            </w:pPr>
            <w:r>
              <w:rPr>
                <w:rFonts w:ascii="Calibri" w:hAnsi="Calibri" w:cs="Calibri"/>
                <w:b/>
                <w:bCs/>
              </w:rPr>
              <w:t>FR-111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Dynamic product-detail pages MUST render option groups, dependencies, required states, variant resolution, media, price, and availability from canonical product configuration.</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materialization and renderer tests</w:t>
            </w:r>
          </w:p>
        </w:tc>
      </w:tr>
      <w:tr>
        <w:trPr>
          <w:cantSplit/>
        </w:trPr>
        <w:tc>
          <w:tcPr>
            <w:tcW w:w="720" w:type="dxa"/>
            <w:vAlign w:val="center"/>
          </w:tcPr>
          <w:p>
            <w:pPr>
              <w:pStyle w:val="TraceabilityTableText"/>
              <w:widowControl/>
            </w:pPr>
            <w:r>
              <w:rPr>
                <w:rFonts w:ascii="Calibri" w:hAnsi="Calibri" w:cs="Calibri"/>
                <w:b/>
                <w:bCs/>
              </w:rPr>
              <w:t>FR-112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Collection-page presentation MUST bind collection headers, filters, product grids, merchandising rows, and no-results states to canonical collection/product data without changing membership or commerce truth.</w:t>
            </w:r>
          </w:p>
        </w:tc>
        <w:tc>
          <w:tcPr>
            <w:tcW w:w="1300" w:type="dxa"/>
            <w:vAlign w:val="center"/>
          </w:tcPr>
          <w:p>
            <w:pPr>
              <w:pStyle w:val="TraceabilityTableText"/>
              <w:widowControl/>
            </w:pPr>
            <w:r>
              <w:rPr>
                <w:rFonts w:ascii="Calibri" w:hAnsi="Calibri" w:cs="Calibri"/>
              </w:rPr>
              <w:t>§7.4;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Collection materialization and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Whole-storefront design changes MUST coordinate global tokens, navigation, footer, and representative pages through one validated proposal and atomic application/undo path.</w:t>
            </w:r>
          </w:p>
        </w:tc>
        <w:tc>
          <w:tcPr>
            <w:tcW w:w="1300" w:type="dxa"/>
            <w:vAlign w:val="center"/>
          </w:tcPr>
          <w:p>
            <w:pPr>
              <w:pStyle w:val="TraceabilityTableText"/>
              <w:widowControl/>
            </w:pPr>
            <w:r>
              <w:rPr>
                <w:rFonts w:ascii="Calibri" w:hAnsi="Calibri" w:cs="Calibri"/>
              </w:rPr>
              <w:t>§§6, 8–9;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Governed proposal compiler and lifecycle tests</w:t>
            </w:r>
          </w:p>
        </w:tc>
      </w:tr>
      <w:tr>
        <w:trPr>
          <w:cantSplit/>
        </w:trPr>
        <w:tc>
          <w:tcPr>
            <w:tcW w:w="720" w:type="dxa"/>
            <w:vAlign w:val="center"/>
          </w:tcPr>
          <w:p>
            <w:pPr>
              <w:pStyle w:val="TraceabilityTableText"/>
              <w:widowControl/>
            </w:pPr>
            <w:r>
              <w:rPr>
                <w:rFonts w:ascii="Calibri" w:hAnsi="Calibri" w:cs="Calibri"/>
                <w:b/>
                <w:bCs/>
              </w:rPr>
              <w:t>FR-114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Generated and edited storefronts MUST meet responsive and accessibility quality requirements across onboarding, storefront output, Storefront Studio, proposal review, dynamic PDP, collection, and publishing surfaces.</w:t>
            </w:r>
          </w:p>
        </w:tc>
        <w:tc>
          <w:tcPr>
            <w:tcW w:w="1300" w:type="dxa"/>
            <w:vAlign w:val="center"/>
          </w:tcPr>
          <w:p>
            <w:pPr>
              <w:pStyle w:val="TraceabilityTableText"/>
              <w:widowControl/>
            </w:pPr>
            <w:r>
              <w:rPr>
                <w:rFonts w:ascii="Calibri" w:hAnsi="Calibri" w:cs="Calibri"/>
              </w:rPr>
              <w:t>§§7.4, 10–11, 14;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Responsive/accessibility gates; P10B human review</w:t>
            </w:r>
          </w:p>
        </w:tc>
      </w:tr>
      <w:tr>
        <w:trPr>
          <w:cantSplit/>
        </w:trPr>
        <w:tc>
          <w:tcPr>
            <w:tcW w:w="720" w:type="dxa"/>
            <w:vAlign w:val="center"/>
          </w:tcPr>
          <w:p>
            <w:pPr>
              <w:pStyle w:val="TraceabilityTableText"/>
              <w:widowControl/>
            </w:pPr>
            <w:r>
              <w:rPr>
                <w:rFonts w:ascii="Calibri" w:hAnsi="Calibri" w:cs="Calibri"/>
                <w:b/>
                <w:bCs/>
              </w:rPr>
              <w:t>FR-115</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Draft acceptance, history, Save draft, Publish, and Restore MUST remain separate: accepted changes mutate the active draft only, Save persists draft only, Publish requires explicit confirmation and authoritative compilation, and Restore creates a draft.</w:t>
            </w:r>
          </w:p>
        </w:tc>
        <w:tc>
          <w:tcPr>
            <w:tcW w:w="1300" w:type="dxa"/>
            <w:vAlign w:val="center"/>
          </w:tcPr>
          <w:p>
            <w:pPr>
              <w:pStyle w:val="TraceabilityTableText"/>
              <w:widowControl/>
            </w:pPr>
            <w:r>
              <w:rPr>
                <w:rFonts w:ascii="Calibri" w:hAnsi="Calibri" w:cs="Calibri"/>
              </w:rPr>
              <w:t>§§8–9;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Draft/history tests; publishing gateway/compiler authority</w:t>
            </w:r>
          </w:p>
        </w:tc>
      </w:tr>
      <w:tr>
        <w:trPr>
          <w:cantSplit/>
        </w:trPr>
        <w:tc>
          <w:tcPr>
            <w:tcW w:w="720" w:type="dxa"/>
            <w:vAlign w:val="center"/>
          </w:tcPr>
          <w:p>
            <w:pPr>
              <w:pStyle w:val="TraceabilityTableText"/>
              <w:widowControl/>
            </w:pPr>
            <w:r>
              <w:rPr>
                <w:rFonts w:ascii="Calibri" w:hAnsi="Calibri" w:cs="Calibri"/>
                <w:b/>
                <w:bCs/>
              </w:rPr>
              <w:t>FR-116</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Storefront Studio MUST expose a merchant-facing product shell and language that hides raw JSON, registry IDs, provider payloads, component internals, and developer tooling.</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Merchant UX rules; Storefront Studio roadmap/tracker</w:t>
            </w:r>
          </w:p>
        </w:tc>
      </w:tr>
      <w:tr>
        <w:trPr>
          <w:cantSplit/>
        </w:trPr>
        <w:tc>
          <w:tcPr>
            <w:tcW w:w="720" w:type="dxa"/>
            <w:vAlign w:val="center"/>
          </w:tcPr>
          <w:p>
            <w:pPr>
              <w:pStyle w:val="TraceabilityTableText"/>
              <w:widowControl/>
            </w:pPr>
            <w:r>
              <w:rPr>
                <w:rFonts w:ascii="Calibri" w:hAnsi="Calibri" w:cs="Calibri"/>
                <w:b/>
                <w:bCs/>
              </w:rPr>
              <w:t>FR-117</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Provider failure, validation failure, stale context, and retained demo reset/load flows MUST preserve active draft/history and keep deterministic-provider reliability for repeatable tests and demos.</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Failure/stale regressions; deterministic provider tests</w:t>
            </w:r>
          </w:p>
        </w:tc>
      </w:tr>
      <w:tr>
        <w:trPr>
          <w:cantSplit/>
        </w:trPr>
        <w:tc>
          <w:tcPr>
            <w:tcW w:w="720" w:type="dxa"/>
            <w:vAlign w:val="center"/>
          </w:tcPr>
          <w:p>
            <w:pPr>
              <w:pStyle w:val="TraceabilityTableText"/>
              <w:widowControl/>
            </w:pPr>
            <w:r>
              <w:rPr>
                <w:rFonts w:ascii="Calibri" w:hAnsi="Calibri" w:cs="Calibri"/>
                <w:b/>
                <w:bCs/>
              </w:rPr>
              <w:t>FR-118</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Vesko adapters and teammate handoff MUST map project, commerce, media, storage, publishing, source discovery, AI provider, and observability contracts without redesigning the Veskify engine.</w:t>
            </w:r>
          </w:p>
        </w:tc>
        <w:tc>
          <w:tcPr>
            <w:tcW w:w="1300" w:type="dxa"/>
            <w:vAlign w:val="center"/>
          </w:tcPr>
          <w:p>
            <w:pPr>
              <w:pStyle w:val="TraceabilityTableText"/>
              <w:widowControl/>
            </w:pPr>
            <w:r>
              <w:rPr>
                <w:rFonts w:ascii="Calibri" w:hAnsi="Calibri" w:cs="Calibri"/>
              </w:rPr>
              <w:t>§12;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FR-119</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The component platform MUST use controlled component families with meaningful variants, typed slots, compatibility rules, approved bindings/assets, and one shared editor/preview/published renderer implementation.</w:t>
            </w:r>
          </w:p>
        </w:tc>
        <w:tc>
          <w:tcPr>
            <w:tcW w:w="1300" w:type="dxa"/>
            <w:vAlign w:val="center"/>
          </w:tcPr>
          <w:p>
            <w:pPr>
              <w:pStyle w:val="TraceabilityTableText"/>
              <w:widowControl/>
            </w:pPr>
            <w:r>
              <w:rPr>
                <w:rFonts w:ascii="Calibri" w:hAnsi="Calibri" w:cs="Calibri"/>
              </w:rPr>
              <w:t>§7;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Component registry; renderer authority; P10B audit</w:t>
            </w:r>
          </w:p>
        </w:tc>
      </w:tr>
      <w:tr>
        <w:trPr>
          <w:cantSplit/>
        </w:trPr>
        <w:tc>
          <w:tcPr>
            <w:tcW w:w="720" w:type="dxa"/>
            <w:vAlign w:val="center"/>
          </w:tcPr>
          <w:p>
            <w:pPr>
              <w:pStyle w:val="TraceabilityTableText"/>
              <w:widowControl/>
            </w:pPr>
            <w:r>
              <w:rPr>
                <w:rFonts w:ascii="Calibri" w:hAnsi="Calibri" w:cs="Calibri"/>
                <w:b/>
                <w:bCs/>
              </w:rPr>
              <w:t>FR-120</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Each commercial recipe MUST remain only a registered constrained </w:t>
            </w:r>
            <w:r>
              <w:rPr>
                <w:rFonts w:ascii="Consolas" w:hAnsi="Consolas" w:cs="Consolas"/>
                <w:sz w:val="19"/>
                <w:szCs w:val="19"/>
              </w:rPr>
              <w:t>PageBlueprint</w:t>
            </w:r>
            <w:r>
              <w:rPr>
                <w:rFonts w:ascii="Calibri" w:hAnsi="Calibri" w:cs="Calibri"/>
              </w:rPr>
              <w:t xml:space="preserve"> profile defining required/optional slots, compatible families/variants, default and permitted ordering, data bindings, approved-asset requirements, responsive constraints, omission/fallback rules, and cross-page coordination without a second executable representation.</w:t>
            </w:r>
          </w:p>
        </w:tc>
        <w:tc>
          <w:tcPr>
            <w:tcW w:w="1300" w:type="dxa"/>
            <w:vAlign w:val="center"/>
          </w:tcPr>
          <w:p>
            <w:pPr>
              <w:pStyle w:val="TraceabilityTableText"/>
              <w:widowControl/>
            </w:pPr>
            <w:r>
              <w:rPr>
                <w:rFonts w:ascii="Calibri" w:hAnsi="Calibri" w:cs="Calibri"/>
              </w:rPr>
              <w:t>§7.2;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PageBlueprint/profile authority; ADR-002</w:t>
            </w:r>
          </w:p>
        </w:tc>
      </w:tr>
      <w:tr>
        <w:trPr>
          <w:cantSplit/>
        </w:trPr>
        <w:tc>
          <w:tcPr>
            <w:tcW w:w="720" w:type="dxa"/>
            <w:vAlign w:val="center"/>
          </w:tcPr>
          <w:p>
            <w:pPr>
              <w:pStyle w:val="TraceabilityTableText"/>
              <w:widowControl/>
            </w:pPr>
            <w:r>
              <w:rPr>
                <w:rFonts w:ascii="Calibri" w:hAnsi="Calibri" w:cs="Calibri"/>
                <w:b/>
                <w:bCs/>
              </w:rPr>
              <w:t>FR-121</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AI composition MUST select only registered PageBlueprint profiles, compatible registered families/variants, permitted ordering, and typed bounded design parameters; validation MUST reject arbitrary trees, raw CSS/classes, executable code, unrestricted font imports, and values outside registered bounds.</w:t>
            </w:r>
          </w:p>
        </w:tc>
        <w:tc>
          <w:tcPr>
            <w:tcW w:w="1300" w:type="dxa"/>
            <w:vAlign w:val="center"/>
          </w:tcPr>
          <w:p>
            <w:pPr>
              <w:pStyle w:val="TraceabilityTableText"/>
              <w:widowControl/>
            </w:pPr>
            <w:r>
              <w:rPr>
                <w:rFonts w:ascii="Calibri" w:hAnsi="Calibri" w:cs="Calibri"/>
              </w:rPr>
              <w:t>§§6.3, 7; P10A/P10B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manifest; governed compiler; bounded-parameter fail-closed tests</w:t>
            </w:r>
          </w:p>
        </w:tc>
      </w:tr>
      <w:tr>
        <w:trPr>
          <w:cantSplit/>
        </w:trPr>
        <w:tc>
          <w:tcPr>
            <w:tcW w:w="720" w:type="dxa"/>
            <w:vAlign w:val="center"/>
          </w:tcPr>
          <w:p>
            <w:pPr>
              <w:pStyle w:val="TraceabilityTableText"/>
              <w:widowControl/>
            </w:pPr>
            <w:r>
              <w:rPr>
                <w:rFonts w:ascii="Calibri" w:hAnsi="Calibri" w:cs="Calibri"/>
                <w:b/>
                <w:bCs/>
              </w:rPr>
              <w:t>FR-122</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 xml:space="preserve">Design inheritance MUST flow from </w:t>
            </w:r>
            <w:r>
              <w:rPr>
                <w:rFonts w:ascii="Consolas" w:hAnsi="Consolas" w:cs="Consolas"/>
                <w:sz w:val="19"/>
                <w:szCs w:val="19"/>
              </w:rPr>
              <w:t>BrandSystem</w:t>
            </w:r>
            <w:r>
              <w:rPr>
                <w:rFonts w:ascii="Calibri" w:hAnsi="Calibri" w:cs="Calibri"/>
              </w:rPr>
              <w:t xml:space="preserve"> through a registered PageBlueprint profile and family/variant to constrained validated instance overrides; semantic tokens flow downward, renderer-visible values derive from canonical typed state, and invalid or unrelated local visual-language overrides fail validation.</w:t>
            </w:r>
          </w:p>
        </w:tc>
        <w:tc>
          <w:tcPr>
            <w:tcW w:w="1300" w:type="dxa"/>
            <w:vAlign w:val="center"/>
          </w:tcPr>
          <w:p>
            <w:pPr>
              <w:pStyle w:val="TraceabilityTableText"/>
              <w:widowControl/>
            </w:pPr>
            <w:r>
              <w:rPr>
                <w:rFonts w:ascii="Calibri" w:hAnsi="Calibri" w:cs="Calibri"/>
              </w:rPr>
              <w:t>§7.3;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BrandSystem and profile contracts; P10B audit</w:t>
            </w:r>
          </w:p>
        </w:tc>
      </w:tr>
      <w:tr>
        <w:trPr>
          <w:cantSplit/>
        </w:trPr>
        <w:tc>
          <w:tcPr>
            <w:tcW w:w="720" w:type="dxa"/>
            <w:vAlign w:val="center"/>
          </w:tcPr>
          <w:p>
            <w:pPr>
              <w:pStyle w:val="TraceabilityTableText"/>
              <w:widowControl/>
            </w:pPr>
            <w:r>
              <w:rPr>
                <w:rFonts w:ascii="Calibri" w:hAnsi="Calibri" w:cs="Calibri"/>
                <w:b/>
                <w:bCs/>
              </w:rPr>
              <w:t>FR-123</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Optional evidence/trust content MUST be omitted without approved evidence, and registry defaults MUST NOT make unsupported commercial claims.</w:t>
            </w:r>
          </w:p>
        </w:tc>
        <w:tc>
          <w:tcPr>
            <w:tcW w:w="1300" w:type="dxa"/>
            <w:vAlign w:val="center"/>
          </w:tcPr>
          <w:p>
            <w:pPr>
              <w:pStyle w:val="TraceabilityTableText"/>
              <w:widowControl/>
            </w:pPr>
            <w:r>
              <w:rPr>
                <w:rFonts w:ascii="Calibri" w:hAnsi="Calibri" w:cs="Calibri"/>
              </w:rPr>
              <w:t>§§3.3, 10;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Evidence/provenance guards; human review protocol</w:t>
            </w:r>
          </w:p>
        </w:tc>
      </w:tr>
      <w:tr>
        <w:trPr>
          <w:cantSplit/>
        </w:trPr>
        <w:tc>
          <w:tcPr>
            <w:tcW w:w="720" w:type="dxa"/>
            <w:vAlign w:val="center"/>
          </w:tcPr>
          <w:p>
            <w:pPr>
              <w:pStyle w:val="TraceabilityTableText"/>
              <w:widowControl/>
            </w:pPr>
            <w:r>
              <w:rPr>
                <w:rFonts w:ascii="Calibri" w:hAnsi="Calibri" w:cs="Calibri"/>
                <w:b/>
                <w:bCs/>
              </w:rPr>
              <w:t>FR-124</w:t>
            </w:r>
          </w:p>
        </w:tc>
        <w:tc>
          <w:tcPr>
            <w:tcW w:w="900" w:type="dxa"/>
            <w:vAlign w:val="center"/>
          </w:tcPr>
          <w:p>
            <w:pPr>
              <w:pStyle w:val="TraceabilityTableText"/>
              <w:widowControl/>
            </w:pPr>
            <w:r>
              <w:rPr>
                <w:rFonts w:ascii="Calibri" w:hAnsi="Calibri" w:cs="Calibri"/>
              </w:rPr>
              <w:t>Functional requirement</w:t>
            </w:r>
          </w:p>
        </w:tc>
        <w:tc>
          <w:tcPr>
            <w:tcW w:w="3000" w:type="dxa"/>
            <w:vAlign w:val="center"/>
          </w:tcPr>
          <w:p>
            <w:pPr>
              <w:pStyle w:val="TraceabilityTableText"/>
              <w:widowControl/>
            </w:pPr>
            <w:r>
              <w:rPr>
                <w:rFonts w:ascii="Calibri" w:hAnsi="Calibri" w:cs="Calibri"/>
              </w:rPr>
              <w:t>Commercial capability completion MUST prove the applicable capability-reachability chain and coordinated homepage/collection/PDP browser review with representative approved assets and retained human evidence.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commercial gate</w:t>
            </w:r>
          </w:p>
        </w:tc>
      </w:tr>
    </w:tbl>
    <w:p>
      <w:pPr>
        <w:pStyle w:val="Normal"/>
        <w:widowControl/>
      </w:pPr>
    </w:p>
    <w:p>
      <w:pPr>
        <w:pStyle w:val="Heading2"/>
        <w:keepNext/>
        <w:widowControl/>
      </w:pPr>
      <w:r>
        <w:rPr>
          <w:rFonts w:ascii="Calibri" w:hAnsi="Calibri" w:cs="Calibri"/>
        </w:rPr>
        <w:t>A.2 Non-functional requirements</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NFR-101</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Security and protected commerce data MUST be enforced at every source, provider, operation, binding, storage, and publishing boundary; untrusted source/provider content cannot grant permissions.</w:t>
            </w:r>
          </w:p>
        </w:tc>
        <w:tc>
          <w:tcPr>
            <w:tcW w:w="1300" w:type="dxa"/>
            <w:vAlign w:val="center"/>
          </w:tcPr>
          <w:p>
            <w:pPr>
              <w:pStyle w:val="TraceabilityTableText"/>
              <w:widowControl/>
            </w:pPr>
            <w:r>
              <w:rPr>
                <w:rFonts w:ascii="Calibri" w:hAnsi="Calibri" w:cs="Calibri"/>
              </w:rPr>
              <w:t>§§3, 6, 9, 12, 14.1;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ADR-002/003/004; protected-commerce and gateway tests</w:t>
            </w:r>
          </w:p>
        </w:tc>
      </w:tr>
      <w:tr>
        <w:trPr>
          <w:cantSplit/>
        </w:trPr>
        <w:tc>
          <w:tcPr>
            <w:tcW w:w="720" w:type="dxa"/>
            <w:vAlign w:val="center"/>
          </w:tcPr>
          <w:p>
            <w:pPr>
              <w:pStyle w:val="TraceabilityTableText"/>
              <w:widowControl/>
            </w:pPr>
            <w:r>
              <w:rPr>
                <w:rFonts w:ascii="Calibri" w:hAnsi="Calibri" w:cs="Calibri"/>
                <w:b/>
                <w:bCs/>
              </w:rPr>
              <w:t>NFR-102</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Merchant-facing flows MUST meet WCAG 2.2 AA expectations for keyboard access, focus visibility, semantics, labels, contrast, and dynamic state announcements.</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Accessibility tests and retained human review gates</w:t>
            </w:r>
          </w:p>
        </w:tc>
      </w:tr>
      <w:tr>
        <w:trPr>
          <w:cantSplit/>
        </w:trPr>
        <w:tc>
          <w:tcPr>
            <w:tcW w:w="720" w:type="dxa"/>
            <w:vAlign w:val="center"/>
          </w:tcPr>
          <w:p>
            <w:pPr>
              <w:pStyle w:val="TraceabilityTableText"/>
              <w:widowControl/>
            </w:pPr>
            <w:r>
              <w:rPr>
                <w:rFonts w:ascii="Calibri" w:hAnsi="Calibri" w:cs="Calibri"/>
                <w:b/>
                <w:bCs/>
              </w:rPr>
              <w:t>NFR-103</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Responsive behavior MUST be validated for primary surfaces at 375, 768, 1024, and 1440 px with no visible clipping, overlap, or unusable dynamic controls.</w:t>
            </w:r>
          </w:p>
        </w:tc>
        <w:tc>
          <w:tcPr>
            <w:tcW w:w="1300" w:type="dxa"/>
            <w:vAlign w:val="center"/>
          </w:tcPr>
          <w:p>
            <w:pPr>
              <w:pStyle w:val="TraceabilityTableText"/>
              <w:widowControl/>
            </w:pPr>
            <w:r>
              <w:rPr>
                <w:rFonts w:ascii="Calibri" w:hAnsi="Calibri" w:cs="Calibri"/>
              </w:rPr>
              <w:t>§§7.4, 10–11, 14.3;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Responsive browser evidence and P10B review gate</w:t>
            </w:r>
          </w:p>
        </w:tc>
      </w:tr>
      <w:tr>
        <w:trPr>
          <w:cantSplit/>
        </w:trPr>
        <w:tc>
          <w:tcPr>
            <w:tcW w:w="720" w:type="dxa"/>
            <w:vAlign w:val="center"/>
          </w:tcPr>
          <w:p>
            <w:pPr>
              <w:pStyle w:val="TraceabilityTableText"/>
              <w:widowControl/>
            </w:pPr>
            <w:r>
              <w:rPr>
                <w:rFonts w:ascii="Calibri" w:hAnsi="Calibri" w:cs="Calibri"/>
                <w:b/>
                <w:bCs/>
              </w:rPr>
              <w:t>NFR-104</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Performance-sensitive editor interactions SHOULD feel immediate, while source discovery, resolver calls, and provider work run asynchronously with visible progress and bounded failure states.</w:t>
            </w:r>
          </w:p>
        </w:tc>
        <w:tc>
          <w:tcPr>
            <w:tcW w:w="1300" w:type="dxa"/>
            <w:vAlign w:val="center"/>
          </w:tcPr>
          <w:p>
            <w:pPr>
              <w:pStyle w:val="TraceabilityTableText"/>
              <w:widowControl/>
            </w:pPr>
            <w:r>
              <w:rPr>
                <w:rFonts w:ascii="Calibri" w:hAnsi="Calibri" w:cs="Calibri"/>
              </w:rPr>
              <w:t>§§6, 11, 14.4; P10C/P12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Storefront Studio states; performance/operations roadmap</w:t>
            </w:r>
          </w:p>
        </w:tc>
      </w:tr>
      <w:tr>
        <w:trPr>
          <w:cantSplit/>
        </w:trPr>
        <w:tc>
          <w:tcPr>
            <w:tcW w:w="720" w:type="dxa"/>
            <w:vAlign w:val="center"/>
          </w:tcPr>
          <w:p>
            <w:pPr>
              <w:pStyle w:val="TraceabilityTableText"/>
              <w:widowControl/>
            </w:pPr>
            <w:r>
              <w:rPr>
                <w:rFonts w:ascii="Calibri" w:hAnsi="Calibri" w:cs="Calibri"/>
                <w:b/>
                <w:bCs/>
              </w:rPr>
              <w:t>NFR-105</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Reliability and rollback MUST be deterministic: failed, invalid, stale, or rejected proposals, saves, publishes, and restores preserve the last valid active, saved, and published state.</w:t>
            </w:r>
          </w:p>
        </w:tc>
        <w:tc>
          <w:tcPr>
            <w:tcW w:w="1300" w:type="dxa"/>
            <w:vAlign w:val="center"/>
          </w:tcPr>
          <w:p>
            <w:pPr>
              <w:pStyle w:val="TraceabilityTableText"/>
              <w:widowControl/>
            </w:pPr>
            <w:r>
              <w:rPr>
                <w:rFonts w:ascii="Calibri" w:hAnsi="Calibri" w:cs="Calibri"/>
              </w:rPr>
              <w:t>§§6, 8–9, 14.2; P10A/P10C/P11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persistence, gateway, and compiler regressions</w:t>
            </w:r>
          </w:p>
        </w:tc>
      </w:tr>
      <w:tr>
        <w:trPr>
          <w:cantSplit/>
        </w:trPr>
        <w:tc>
          <w:tcPr>
            <w:tcW w:w="720" w:type="dxa"/>
            <w:vAlign w:val="center"/>
          </w:tcPr>
          <w:p>
            <w:pPr>
              <w:pStyle w:val="TraceabilityTableText"/>
              <w:widowControl/>
            </w:pPr>
            <w:r>
              <w:rPr>
                <w:rFonts w:ascii="Calibri" w:hAnsi="Calibri" w:cs="Calibri"/>
                <w:b/>
                <w:bCs/>
              </w:rPr>
              <w:t>NFR-106</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Observability MUST record safe metadata such as request ID, provider, scope, operation count, validation result, latency, failure category, component versions, and commerce revision without secrets or full prompts by default.</w:t>
            </w:r>
          </w:p>
        </w:tc>
        <w:tc>
          <w:tcPr>
            <w:tcW w:w="1300" w:type="dxa"/>
            <w:vAlign w:val="center"/>
          </w:tcPr>
          <w:p>
            <w:pPr>
              <w:pStyle w:val="TraceabilityTableText"/>
              <w:widowControl/>
            </w:pPr>
            <w:r>
              <w:rPr>
                <w:rFonts w:ascii="Calibri" w:hAnsi="Calibri" w:cs="Calibri"/>
              </w:rPr>
              <w:t>§§13–14.4; P11/P12</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Observability ports; P11/P12 tracker gates</w:t>
            </w:r>
          </w:p>
        </w:tc>
      </w:tr>
      <w:tr>
        <w:trPr>
          <w:cantSplit/>
        </w:trPr>
        <w:tc>
          <w:tcPr>
            <w:tcW w:w="720" w:type="dxa"/>
            <w:vAlign w:val="center"/>
          </w:tcPr>
          <w:p>
            <w:pPr>
              <w:pStyle w:val="TraceabilityTableText"/>
              <w:widowControl/>
            </w:pPr>
            <w:r>
              <w:rPr>
                <w:rFonts w:ascii="Calibri" w:hAnsi="Calibri" w:cs="Calibri"/>
                <w:b/>
                <w:bCs/>
              </w:rPr>
              <w:t>NFR-107</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Provider isolation MUST keep provider-specific formats, credentials, errors, and retries behind adapters; deterministic fixtures remain the default for local and automated tests.</w:t>
            </w:r>
          </w:p>
        </w:tc>
        <w:tc>
          <w:tcPr>
            <w:tcW w:w="1300" w:type="dxa"/>
            <w:vAlign w:val="center"/>
          </w:tcPr>
          <w:p>
            <w:pPr>
              <w:pStyle w:val="TraceabilityTableText"/>
              <w:widowControl/>
            </w:pPr>
            <w:r>
              <w:rPr>
                <w:rFonts w:ascii="Calibri" w:hAnsi="Calibri" w:cs="Calibri"/>
              </w:rPr>
              <w:t>§§6.3, 14.1–14.2; P10A/P12</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Provider adapters; deterministic tests</w:t>
            </w:r>
          </w:p>
        </w:tc>
      </w:tr>
      <w:tr>
        <w:trPr>
          <w:cantSplit/>
        </w:trPr>
        <w:tc>
          <w:tcPr>
            <w:tcW w:w="720" w:type="dxa"/>
            <w:vAlign w:val="center"/>
          </w:tcPr>
          <w:p>
            <w:pPr>
              <w:pStyle w:val="TraceabilityTableText"/>
              <w:widowControl/>
            </w:pPr>
            <w:r>
              <w:rPr>
                <w:rFonts w:ascii="Calibri" w:hAnsi="Calibri" w:cs="Calibri"/>
                <w:b/>
                <w:bCs/>
              </w:rPr>
              <w:t>NFR-108</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Deterministic testing MUST cover schemas, bindings, source evidence, proposals, atomic application, adapter conformance, responsive/accessibility gates, and the customer-ready journey.</w:t>
            </w:r>
          </w:p>
        </w:tc>
        <w:tc>
          <w:tcPr>
            <w:tcW w:w="1300" w:type="dxa"/>
            <w:vAlign w:val="center"/>
          </w:tcPr>
          <w:p>
            <w:pPr>
              <w:pStyle w:val="TraceabilityTableText"/>
              <w:widowControl/>
            </w:pPr>
            <w:r>
              <w:rPr>
                <w:rFonts w:ascii="Calibri" w:hAnsi="Calibri" w:cs="Calibri"/>
              </w:rPr>
              <w:t>§§5, 13–14; all delivery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Capability ledger; repository validation gates</w:t>
            </w:r>
          </w:p>
        </w:tc>
      </w:tr>
      <w:tr>
        <w:trPr>
          <w:cantSplit/>
        </w:trPr>
        <w:tc>
          <w:tcPr>
            <w:tcW w:w="720" w:type="dxa"/>
            <w:vAlign w:val="center"/>
          </w:tcPr>
          <w:p>
            <w:pPr>
              <w:pStyle w:val="TraceabilityTableText"/>
              <w:widowControl/>
            </w:pPr>
            <w:r>
              <w:rPr>
                <w:rFonts w:ascii="Calibri" w:hAnsi="Calibri" w:cs="Calibri"/>
                <w:b/>
                <w:bCs/>
              </w:rPr>
              <w:t>NFR-109</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Maintainability MUST preserve integration boundaries: Puck stays isolated, canonical domain/application modules avoid UI/provider dependencies, and historical documents remain superseded context.</w:t>
            </w:r>
          </w:p>
        </w:tc>
        <w:tc>
          <w:tcPr>
            <w:tcW w:w="1300" w:type="dxa"/>
            <w:vAlign w:val="center"/>
          </w:tcPr>
          <w:p>
            <w:pPr>
              <w:pStyle w:val="TraceabilityTableText"/>
              <w:widowControl/>
            </w:pPr>
            <w:r>
              <w:rPr>
                <w:rFonts w:ascii="Calibri" w:hAnsi="Calibri" w:cs="Calibri"/>
              </w:rPr>
              <w:t>§§4, 7–8,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ADR-001; architecture boundary tests</w:t>
            </w:r>
          </w:p>
        </w:tc>
      </w:tr>
      <w:tr>
        <w:trPr>
          <w:cantSplit/>
        </w:trPr>
        <w:tc>
          <w:tcPr>
            <w:tcW w:w="720" w:type="dxa"/>
            <w:vAlign w:val="center"/>
          </w:tcPr>
          <w:p>
            <w:pPr>
              <w:pStyle w:val="TraceabilityTableText"/>
              <w:widowControl/>
            </w:pPr>
            <w:r>
              <w:rPr>
                <w:rFonts w:ascii="Calibri" w:hAnsi="Calibri" w:cs="Calibri"/>
                <w:b/>
                <w:bCs/>
              </w:rPr>
              <w:t>NFR-110</w:t>
            </w:r>
          </w:p>
        </w:tc>
        <w:tc>
          <w:tcPr>
            <w:tcW w:w="900" w:type="dxa"/>
            <w:vAlign w:val="center"/>
          </w:tcPr>
          <w:p>
            <w:pPr>
              <w:pStyle w:val="TraceabilityTableText"/>
              <w:widowControl/>
            </w:pPr>
            <w:r>
              <w:rPr>
                <w:rFonts w:ascii="Calibri" w:hAnsi="Calibri" w:cs="Calibri"/>
              </w:rPr>
              <w:t>Non-functional requirement</w:t>
            </w:r>
          </w:p>
        </w:tc>
        <w:tc>
          <w:tcPr>
            <w:tcW w:w="3000" w:type="dxa"/>
            <w:vAlign w:val="center"/>
          </w:tcPr>
          <w:p>
            <w:pPr>
              <w:pStyle w:val="TraceabilityTableText"/>
              <w:widowControl/>
            </w:pPr>
            <w:r>
              <w:rPr>
                <w:rFonts w:ascii="Calibri" w:hAnsi="Calibri" w:cs="Calibri"/>
              </w:rPr>
              <w:t>Commercial visual quality MUST be assessed at 375, 768, 1024, and 1440 px for hierarchy, density, composition, spacing, typography, imagery, and commerce usability; deterministic/schema-only evidence is insufficient for phase closure.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and retained human commercial review protocol</w:t>
            </w:r>
          </w:p>
        </w:tc>
      </w:tr>
    </w:tbl>
    <w:p>
      <w:pPr>
        <w:pStyle w:val="Normal"/>
        <w:widowControl/>
      </w:pPr>
    </w:p>
    <w:p>
      <w:pPr>
        <w:pStyle w:val="Heading2"/>
        <w:keepNext/>
        <w:widowControl/>
      </w:pPr>
      <w:r>
        <w:rPr>
          <w:rFonts w:ascii="Calibri" w:hAnsi="Calibri" w:cs="Calibri"/>
        </w:rPr>
        <w:t>A.3 Acceptance criteria</w:t>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enter an existing public storefront URL and receive a source-discovery summary without the current draft being changed.</w:t>
            </w:r>
          </w:p>
        </w:tc>
        <w:tc>
          <w:tcPr>
            <w:tcW w:w="1300" w:type="dxa"/>
            <w:vAlign w:val="center"/>
          </w:tcPr>
          <w:p>
            <w:pPr>
              <w:pStyle w:val="TraceabilityTableText"/>
              <w:widowControl/>
            </w:pPr>
            <w:r>
              <w:rPr>
                <w:rFonts w:ascii="Calibri" w:hAnsi="Calibri" w:cs="Calibri"/>
              </w:rPr>
              <w:t>§§3.1, 5; retained baseline/P11</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 source-discovery integration evidence</w:t>
            </w:r>
          </w:p>
        </w:tc>
      </w:tr>
      <w:tr>
        <w:trPr>
          <w:cantSplit/>
        </w:trPr>
        <w:tc>
          <w:tcPr>
            <w:tcW w:w="720" w:type="dxa"/>
            <w:vAlign w:val="center"/>
          </w:tcPr>
          <w:p>
            <w:pPr>
              <w:pStyle w:val="TraceabilityTableText"/>
              <w:widowControl/>
            </w:pPr>
            <w:r>
              <w:rPr>
                <w:rFonts w:ascii="Calibri" w:hAnsi="Calibri" w:cs="Calibri"/>
                <w:b/>
                <w:bCs/>
              </w:rPr>
              <w:t>AC-102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Discovered website prices, stock, and variant values never replace canonical Vesko commerce data.</w:t>
            </w:r>
          </w:p>
        </w:tc>
        <w:tc>
          <w:tcPr>
            <w:tcW w:w="1300" w:type="dxa"/>
            <w:vAlign w:val="center"/>
          </w:tcPr>
          <w:p>
            <w:pPr>
              <w:pStyle w:val="TraceabilityTableText"/>
              <w:widowControl/>
            </w:pPr>
            <w:r>
              <w:rPr>
                <w:rFonts w:ascii="Calibri" w:hAnsi="Calibri" w:cs="Calibri"/>
              </w:rPr>
              <w:t>§§3.3, 12;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ADR-003/004; protected-commerce tests</w:t>
            </w:r>
          </w:p>
        </w:tc>
      </w:tr>
      <w:tr>
        <w:trPr>
          <w:cantSplit/>
        </w:trPr>
        <w:tc>
          <w:tcPr>
            <w:tcW w:w="720" w:type="dxa"/>
            <w:vAlign w:val="center"/>
          </w:tcPr>
          <w:p>
            <w:pPr>
              <w:pStyle w:val="TraceabilityTableText"/>
              <w:widowControl/>
            </w:pPr>
            <w:r>
              <w:rPr>
                <w:rFonts w:ascii="Calibri" w:hAnsi="Calibri" w:cs="Calibri"/>
                <w:b/>
                <w:bCs/>
              </w:rPr>
              <w:t>AC-103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with only a logo, business description, and canonical catalogue can approve a coherent Storefront Design Brief.</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 contracts and onboarding evidence</w:t>
            </w:r>
          </w:p>
        </w:tc>
      </w:tr>
      <w:tr>
        <w:trPr>
          <w:cantSplit/>
        </w:trPr>
        <w:tc>
          <w:tcPr>
            <w:tcW w:w="720" w:type="dxa"/>
            <w:vAlign w:val="center"/>
          </w:tcPr>
          <w:p>
            <w:pPr>
              <w:pStyle w:val="TraceabilityTableText"/>
              <w:widowControl/>
            </w:pPr>
            <w:r>
              <w:rPr>
                <w:rFonts w:ascii="Calibri" w:hAnsi="Calibri" w:cs="Calibri"/>
                <w:b/>
                <w:bCs/>
              </w:rPr>
              <w:t>AC-104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brief lists reused assets, missing assets, page plan, assumptions, and protected commerce source.</w:t>
            </w:r>
          </w:p>
        </w:tc>
        <w:tc>
          <w:tcPr>
            <w:tcW w:w="1300" w:type="dxa"/>
            <w:vAlign w:val="center"/>
          </w:tcPr>
          <w:p>
            <w:pPr>
              <w:pStyle w:val="TraceabilityTableText"/>
              <w:widowControl/>
            </w:pPr>
            <w:r>
              <w:rPr>
                <w:rFonts w:ascii="Calibri" w:hAnsi="Calibri" w:cs="Calibri"/>
              </w:rPr>
              <w:t>§§3.1, 5; retained baseline</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Brief/schema and asset evidence</w:t>
            </w:r>
          </w:p>
        </w:tc>
      </w:tr>
      <w:tr>
        <w:trPr>
          <w:cantSplit/>
        </w:trPr>
        <w:tc>
          <w:tcPr>
            <w:tcW w:w="720" w:type="dxa"/>
            <w:vAlign w:val="center"/>
          </w:tcPr>
          <w:p>
            <w:pPr>
              <w:pStyle w:val="TraceabilityTableText"/>
              <w:widowControl/>
            </w:pPr>
            <w:r>
              <w:rPr>
                <w:rFonts w:ascii="Calibri" w:hAnsi="Calibri" w:cs="Calibri"/>
                <w:b/>
                <w:bCs/>
              </w:rPr>
              <w:t>AC-105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generation creates a coherent homepage, collection page, and dynamic product page using registered components and bindings.</w:t>
            </w:r>
          </w:p>
        </w:tc>
        <w:tc>
          <w:tcPr>
            <w:tcW w:w="1300" w:type="dxa"/>
            <w:vAlign w:val="center"/>
          </w:tcPr>
          <w:p>
            <w:pPr>
              <w:pStyle w:val="TraceabilityTableText"/>
              <w:widowControl/>
            </w:pPr>
            <w:r>
              <w:rPr>
                <w:rFonts w:ascii="Calibri" w:hAnsi="Calibri" w:cs="Calibri"/>
              </w:rPr>
              <w:t>§§5–7; P10A internal authority/P10B quality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Governed generation and materialization tests; ADR-004</w:t>
            </w:r>
          </w:p>
        </w:tc>
      </w:tr>
      <w:tr>
        <w:trPr>
          <w:cantSplit/>
        </w:trPr>
        <w:tc>
          <w:tcPr>
            <w:tcW w:w="720" w:type="dxa"/>
            <w:vAlign w:val="center"/>
          </w:tcPr>
          <w:p>
            <w:pPr>
              <w:pStyle w:val="TraceabilityTableText"/>
              <w:widowControl/>
            </w:pPr>
            <w:r>
              <w:rPr>
                <w:rFonts w:ascii="Calibri" w:hAnsi="Calibri" w:cs="Calibri"/>
                <w:b/>
                <w:bCs/>
              </w:rPr>
              <w:t>AC-106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watch with one colour dimension renders only the relevant compact selector and technical attributes.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PDP renderer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AC-107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ring with five or six configured dimensions/options renders every required group, dependencies, unavailable states, and completion guidance.</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configurable PDP tests</w:t>
            </w:r>
          </w:p>
        </w:tc>
      </w:tr>
      <w:tr>
        <w:trPr>
          <w:cantSplit/>
        </w:trPr>
        <w:tc>
          <w:tcPr>
            <w:tcW w:w="720" w:type="dxa"/>
            <w:vAlign w:val="center"/>
          </w:tcPr>
          <w:p>
            <w:pPr>
              <w:pStyle w:val="TraceabilityTableText"/>
              <w:widowControl/>
            </w:pPr>
            <w:r>
              <w:rPr>
                <w:rFonts w:ascii="Calibri" w:hAnsi="Calibri" w:cs="Calibri"/>
                <w:b/>
                <w:bCs/>
              </w:rPr>
              <w:t>AC-108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Changing PDP layout or selector style does not change canonical option values, variants, prices, stock, or SKUs.</w:t>
            </w:r>
          </w:p>
        </w:tc>
        <w:tc>
          <w:tcPr>
            <w:tcW w:w="1300" w:type="dxa"/>
            <w:vAlign w:val="center"/>
          </w:tcPr>
          <w:p>
            <w:pPr>
              <w:pStyle w:val="TraceabilityTableText"/>
              <w:widowControl/>
            </w:pPr>
            <w:r>
              <w:rPr>
                <w:rFonts w:ascii="Calibri" w:hAnsi="Calibri" w:cs="Calibri"/>
              </w:rPr>
              <w:t>§§3.3, 7.4; all phases</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Protected-commerce and binding tests</w:t>
            </w:r>
          </w:p>
        </w:tc>
      </w:tr>
      <w:tr>
        <w:trPr>
          <w:cantSplit/>
        </w:trPr>
        <w:tc>
          <w:tcPr>
            <w:tcW w:w="720" w:type="dxa"/>
            <w:vAlign w:val="center"/>
          </w:tcPr>
          <w:p>
            <w:pPr>
              <w:pStyle w:val="TraceabilityTableText"/>
              <w:widowControl/>
            </w:pPr>
            <w:r>
              <w:rPr>
                <w:rFonts w:ascii="Calibri" w:hAnsi="Calibri" w:cs="Calibri"/>
                <w:b/>
                <w:bCs/>
              </w:rPr>
              <w:t>AC-109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selected canonical variant controls displayed price, availability, and variant media through the resolver adapter.</w:t>
            </w:r>
          </w:p>
        </w:tc>
        <w:tc>
          <w:tcPr>
            <w:tcW w:w="1300" w:type="dxa"/>
            <w:vAlign w:val="center"/>
          </w:tcPr>
          <w:p>
            <w:pPr>
              <w:pStyle w:val="TraceabilityTableText"/>
              <w:widowControl/>
            </w:pPr>
            <w:r>
              <w:rPr>
                <w:rFonts w:ascii="Calibri" w:hAnsi="Calibri" w:cs="Calibri"/>
              </w:rPr>
              <w:t>§7.4; retained baseline/P11 adapter</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Variant resolver and media tests</w:t>
            </w:r>
          </w:p>
        </w:tc>
      </w:tr>
      <w:tr>
        <w:trPr>
          <w:cantSplit/>
        </w:trPr>
        <w:tc>
          <w:tcPr>
            <w:tcW w:w="720" w:type="dxa"/>
            <w:vAlign w:val="center"/>
          </w:tcPr>
          <w:p>
            <w:pPr>
              <w:pStyle w:val="TraceabilityTableText"/>
              <w:widowControl/>
            </w:pPr>
            <w:r>
              <w:rPr>
                <w:rFonts w:ascii="Calibri" w:hAnsi="Calibri" w:cs="Calibri"/>
                <w:b/>
                <w:bCs/>
              </w:rPr>
              <w:t>AC-110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product types render with a generic dynamic fallback without dropping available attributes or options.</w:t>
            </w:r>
          </w:p>
        </w:tc>
        <w:tc>
          <w:tcPr>
            <w:tcW w:w="1300" w:type="dxa"/>
            <w:vAlign w:val="center"/>
          </w:tcPr>
          <w:p>
            <w:pPr>
              <w:pStyle w:val="TraceabilityTableText"/>
              <w:widowControl/>
            </w:pPr>
            <w:r>
              <w:rPr>
                <w:rFonts w:ascii="Calibri" w:hAnsi="Calibri" w:cs="Calibri"/>
              </w:rPr>
              <w:t>§7.4; retained baseline/P10B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ADR-004; unknown-type fallback tests</w:t>
            </w:r>
          </w:p>
        </w:tc>
      </w:tr>
      <w:tr>
        <w:trPr>
          <w:cantSplit/>
        </w:trPr>
        <w:tc>
          <w:tcPr>
            <w:tcW w:w="720" w:type="dxa"/>
            <w:vAlign w:val="center"/>
          </w:tcPr>
          <w:p>
            <w:pPr>
              <w:pStyle w:val="TraceabilityTableText"/>
              <w:widowControl/>
            </w:pPr>
            <w:r>
              <w:rPr>
                <w:rFonts w:ascii="Calibri" w:hAnsi="Calibri" w:cs="Calibri"/>
                <w:b/>
                <w:bCs/>
              </w:rPr>
              <w:t>AC-111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Product cards render valid price, compare-at-price, or explicit unavailable-price state without inventing a value.</w:t>
            </w:r>
          </w:p>
        </w:tc>
        <w:tc>
          <w:tcPr>
            <w:tcW w:w="1300" w:type="dxa"/>
            <w:vAlign w:val="center"/>
          </w:tcPr>
          <w:p>
            <w:pPr>
              <w:pStyle w:val="TraceabilityTableText"/>
              <w:widowControl/>
            </w:pPr>
            <w:r>
              <w:rPr>
                <w:rFonts w:ascii="Calibri" w:hAnsi="Calibri" w:cs="Calibri"/>
              </w:rPr>
              <w:t>§§3.3, 7.4; 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Product-card and commerce-binding tests</w:t>
            </w:r>
          </w:p>
        </w:tc>
      </w:tr>
      <w:tr>
        <w:trPr>
          <w:cantSplit/>
        </w:trPr>
        <w:tc>
          <w:tcPr>
            <w:tcW w:w="720" w:type="dxa"/>
            <w:vAlign w:val="center"/>
          </w:tcPr>
          <w:p>
            <w:pPr>
              <w:pStyle w:val="TraceabilityTableText"/>
              <w:widowControl/>
            </w:pPr>
            <w:r>
              <w:rPr>
                <w:rFonts w:ascii="Calibri" w:hAnsi="Calibri" w:cs="Calibri"/>
                <w:b/>
                <w:bCs/>
              </w:rPr>
              <w:t>AC-112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same registered component implementations render in editor, preview, and published routes.</w:t>
            </w:r>
          </w:p>
        </w:tc>
        <w:tc>
          <w:tcPr>
            <w:tcW w:w="1300" w:type="dxa"/>
            <w:vAlign w:val="center"/>
          </w:tcPr>
          <w:p>
            <w:pPr>
              <w:pStyle w:val="TraceabilityTableText"/>
              <w:widowControl/>
            </w:pPr>
            <w:r>
              <w:rPr>
                <w:rFonts w:ascii="Calibri" w:hAnsi="Calibri" w:cs="Calibri"/>
              </w:rPr>
              <w:t>§§4.2,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Registry renderer identity and route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merchant can request an exact valid brand palette and receive a validated token proposal rather than a generic unsupported failure.</w:t>
            </w:r>
          </w:p>
        </w:tc>
        <w:tc>
          <w:tcPr>
            <w:tcW w:w="1300" w:type="dxa"/>
            <w:vAlign w:val="center"/>
          </w:tcPr>
          <w:p>
            <w:pPr>
              <w:pStyle w:val="TraceabilityTableText"/>
              <w:widowControl/>
            </w:pPr>
            <w:r>
              <w:rPr>
                <w:rFonts w:ascii="Calibri" w:hAnsi="Calibri" w:cs="Calibri"/>
              </w:rPr>
              <w:t>§§6, 7.3;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Brand-token proposal tests</w:t>
            </w:r>
          </w:p>
        </w:tc>
      </w:tr>
      <w:tr>
        <w:trPr>
          <w:cantSplit/>
        </w:trPr>
        <w:tc>
          <w:tcPr>
            <w:tcW w:w="720" w:type="dxa"/>
            <w:vAlign w:val="center"/>
          </w:tcPr>
          <w:p>
            <w:pPr>
              <w:pStyle w:val="TraceabilityTableText"/>
              <w:widowControl/>
            </w:pPr>
            <w:r>
              <w:rPr>
                <w:rFonts w:ascii="Calibri" w:hAnsi="Calibri" w:cs="Calibri"/>
                <w:b/>
                <w:bCs/>
              </w:rPr>
              <w:t>AC-114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Whole-storefront restyling coordinates global tokens, navigation, footer, homepage, collection, and representative product pages atomically.</w:t>
            </w:r>
          </w:p>
        </w:tc>
        <w:tc>
          <w:tcPr>
            <w:tcW w:w="1300" w:type="dxa"/>
            <w:vAlign w:val="center"/>
          </w:tcPr>
          <w:p>
            <w:pPr>
              <w:pStyle w:val="TraceabilityTableText"/>
              <w:widowControl/>
            </w:pPr>
            <w:r>
              <w:rPr>
                <w:rFonts w:ascii="Calibri" w:hAnsi="Calibri" w:cs="Calibri"/>
              </w:rPr>
              <w:t>§§6, 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Whole-storefront compiler/lifecycle tests</w:t>
            </w:r>
          </w:p>
        </w:tc>
      </w:tr>
      <w:tr>
        <w:trPr>
          <w:cantSplit/>
        </w:trPr>
        <w:tc>
          <w:tcPr>
            <w:tcW w:w="720" w:type="dxa"/>
            <w:vAlign w:val="center"/>
          </w:tcPr>
          <w:p>
            <w:pPr>
              <w:pStyle w:val="TraceabilityTableText"/>
              <w:widowControl/>
            </w:pPr>
            <w:r>
              <w:rPr>
                <w:rFonts w:ascii="Calibri" w:hAnsi="Calibri" w:cs="Calibri"/>
                <w:b/>
                <w:bCs/>
              </w:rPr>
              <w:t>AC-115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failed provider call, invalid operation, or stale commerce revision preserves the active draft and history.</w:t>
            </w:r>
          </w:p>
        </w:tc>
        <w:tc>
          <w:tcPr>
            <w:tcW w:w="1300" w:type="dxa"/>
            <w:vAlign w:val="center"/>
          </w:tcPr>
          <w:p>
            <w:pPr>
              <w:pStyle w:val="TraceabilityTableText"/>
              <w:widowControl/>
            </w:pPr>
            <w:r>
              <w:rPr>
                <w:rFonts w:ascii="Calibri" w:hAnsi="Calibri" w:cs="Calibri"/>
              </w:rPr>
              <w:t>§§6, 8, 14.2;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Failure, validation, and stale-context tests</w:t>
            </w:r>
          </w:p>
        </w:tc>
      </w:tr>
      <w:tr>
        <w:trPr>
          <w:cantSplit/>
        </w:trPr>
        <w:tc>
          <w:tcPr>
            <w:tcW w:w="720" w:type="dxa"/>
            <w:vAlign w:val="center"/>
          </w:tcPr>
          <w:p>
            <w:pPr>
              <w:pStyle w:val="TraceabilityTableText"/>
              <w:widowControl/>
            </w:pPr>
            <w:r>
              <w:rPr>
                <w:rFonts w:ascii="Calibri" w:hAnsi="Calibri" w:cs="Calibri"/>
                <w:b/>
                <w:bCs/>
              </w:rPr>
              <w:t>AC-116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Accepted whole-storefront changes undo and redo as one complete transaction.</w:t>
            </w:r>
          </w:p>
        </w:tc>
        <w:tc>
          <w:tcPr>
            <w:tcW w:w="1300" w:type="dxa"/>
            <w:vAlign w:val="center"/>
          </w:tcPr>
          <w:p>
            <w:pPr>
              <w:pStyle w:val="TraceabilityTableText"/>
              <w:widowControl/>
            </w:pPr>
            <w:r>
              <w:rPr>
                <w:rFonts w:ascii="Calibri" w:hAnsi="Calibri" w:cs="Calibri"/>
              </w:rPr>
              <w:t>§8; P10A/P10C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Atomic proposal lifecycle tests</w:t>
            </w:r>
          </w:p>
        </w:tc>
      </w:tr>
      <w:tr>
        <w:trPr>
          <w:cantSplit/>
        </w:trPr>
        <w:tc>
          <w:tcPr>
            <w:tcW w:w="720" w:type="dxa"/>
            <w:vAlign w:val="center"/>
          </w:tcPr>
          <w:p>
            <w:pPr>
              <w:pStyle w:val="TraceabilityTableText"/>
              <w:widowControl/>
            </w:pPr>
            <w:r>
              <w:rPr>
                <w:rFonts w:ascii="Calibri" w:hAnsi="Calibri" w:cs="Calibri"/>
                <w:b/>
                <w:bCs/>
              </w:rPr>
              <w:t>AC-117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Generated storefronts contain no seed-brand or fixture-specific copy unrelated to the selected merchant.</w:t>
            </w:r>
          </w:p>
        </w:tc>
        <w:tc>
          <w:tcPr>
            <w:tcW w:w="1300" w:type="dxa"/>
            <w:vAlign w:val="center"/>
          </w:tcPr>
          <w:p>
            <w:pPr>
              <w:pStyle w:val="TraceabilityTableText"/>
              <w:widowControl/>
            </w:pPr>
            <w:r>
              <w:rPr>
                <w:rFonts w:ascii="Calibri" w:hAnsi="Calibri" w:cs="Calibri"/>
              </w:rPr>
              <w:t>§§3.1, 6; P10A/P10B</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Generation regressions and human review</w:t>
            </w:r>
          </w:p>
        </w:tc>
      </w:tr>
      <w:tr>
        <w:trPr>
          <w:cantSplit/>
        </w:trPr>
        <w:tc>
          <w:tcPr>
            <w:tcW w:w="720" w:type="dxa"/>
            <w:vAlign w:val="center"/>
          </w:tcPr>
          <w:p>
            <w:pPr>
              <w:pStyle w:val="TraceabilityTableText"/>
              <w:widowControl/>
            </w:pPr>
            <w:r>
              <w:rPr>
                <w:rFonts w:ascii="Calibri" w:hAnsi="Calibri" w:cs="Calibri"/>
                <w:b/>
                <w:bCs/>
              </w:rPr>
              <w:t>AC-118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Asset placement uses approved asset IDs and provenance; product media is never bound to the wrong product.</w:t>
            </w:r>
          </w:p>
        </w:tc>
        <w:tc>
          <w:tcPr>
            <w:tcW w:w="1300" w:type="dxa"/>
            <w:vAlign w:val="center"/>
          </w:tcPr>
          <w:p>
            <w:pPr>
              <w:pStyle w:val="TraceabilityTableText"/>
              <w:widowControl/>
            </w:pPr>
            <w:r>
              <w:rPr>
                <w:rFonts w:ascii="Calibri" w:hAnsi="Calibri" w:cs="Calibri"/>
              </w:rPr>
              <w:t>§§3.2–3.3, 7.4; P10B/P10C</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Asset/binding/product-media regressions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AC-119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Missing hero or collection media produces a clear reuse/upload/generate choice rather than silent generation.</w:t>
            </w:r>
          </w:p>
        </w:tc>
        <w:tc>
          <w:tcPr>
            <w:tcW w:w="1300" w:type="dxa"/>
            <w:vAlign w:val="center"/>
          </w:tcPr>
          <w:p>
            <w:pPr>
              <w:pStyle w:val="TraceabilityTableText"/>
              <w:widowControl/>
            </w:pPr>
            <w:r>
              <w:rPr>
                <w:rFonts w:ascii="Calibri" w:hAnsi="Calibri" w:cs="Calibri"/>
              </w:rPr>
              <w:t>§§3.2, 11; P10C, with generated media deferred to P10D</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Asset review records; P10C/P10D roadmap boundary</w:t>
            </w:r>
          </w:p>
        </w:tc>
      </w:tr>
      <w:tr>
        <w:trPr>
          <w:cantSplit/>
        </w:trPr>
        <w:tc>
          <w:tcPr>
            <w:tcW w:w="720" w:type="dxa"/>
            <w:vAlign w:val="center"/>
          </w:tcPr>
          <w:p>
            <w:pPr>
              <w:pStyle w:val="TraceabilityTableText"/>
              <w:widowControl/>
            </w:pPr>
            <w:r>
              <w:rPr>
                <w:rFonts w:ascii="Calibri" w:hAnsi="Calibri" w:cs="Calibri"/>
                <w:b/>
                <w:bCs/>
              </w:rPr>
              <w:t>AC-120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The historical Karvonen demo can be loaded, reset, and demonstrated repeatedly without manual IndexedDB preparation.</w:t>
            </w:r>
          </w:p>
        </w:tc>
        <w:tc>
          <w:tcPr>
            <w:tcW w:w="1300" w:type="dxa"/>
            <w:vAlign w:val="center"/>
          </w:tcPr>
          <w:p>
            <w:pPr>
              <w:pStyle w:val="TraceabilityTableText"/>
              <w:widowControl/>
            </w:pPr>
            <w:r>
              <w:rPr>
                <w:rFonts w:ascii="Calibri" w:hAnsi="Calibri" w:cs="Calibri"/>
              </w:rPr>
              <w:t>Historical demo reliability only</w:t>
            </w:r>
          </w:p>
        </w:tc>
        <w:tc>
          <w:tcPr>
            <w:tcW w:w="1300" w:type="dxa"/>
            <w:vAlign w:val="center"/>
          </w:tcPr>
          <w:p>
            <w:pPr>
              <w:pStyle w:val="TraceabilityTableText"/>
              <w:widowControl/>
            </w:pPr>
            <w:r>
              <w:rPr>
                <w:rFonts w:ascii="Calibri" w:hAnsi="Calibri" w:cs="Calibri"/>
                <w:b/>
                <w:bCs/>
              </w:rPr>
              <w:t>Historical only</w:t>
            </w:r>
          </w:p>
        </w:tc>
        <w:tc>
          <w:tcPr>
            <w:tcW w:w="2140" w:type="dxa"/>
            <w:vAlign w:val="center"/>
          </w:tcPr>
          <w:p>
            <w:pPr>
              <w:pStyle w:val="TraceabilityTableText"/>
              <w:widowControl/>
            </w:pPr>
            <w:r>
              <w:rPr>
                <w:rFonts w:ascii="Calibri" w:hAnsi="Calibri" w:cs="Calibri"/>
              </w:rPr>
              <w:t>QA_DATA_01 and historical demo records</w:t>
            </w:r>
          </w:p>
        </w:tc>
      </w:tr>
      <w:tr>
        <w:trPr>
          <w:cantSplit/>
        </w:trPr>
        <w:tc>
          <w:tcPr>
            <w:tcW w:w="720" w:type="dxa"/>
            <w:vAlign w:val="center"/>
          </w:tcPr>
          <w:p>
            <w:pPr>
              <w:pStyle w:val="TraceabilityTableText"/>
              <w:widowControl/>
            </w:pPr>
            <w:r>
              <w:rPr>
                <w:rFonts w:ascii="Calibri" w:hAnsi="Calibri" w:cs="Calibri"/>
                <w:b/>
                <w:bCs/>
              </w:rPr>
              <w:t>AC-121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Merchant mode exposes no raw JSON, internal IDs, provider payloads, or developer tools.</w:t>
            </w:r>
          </w:p>
        </w:tc>
        <w:tc>
          <w:tcPr>
            <w:tcW w:w="1300" w:type="dxa"/>
            <w:vAlign w:val="center"/>
          </w:tcPr>
          <w:p>
            <w:pPr>
              <w:pStyle w:val="TraceabilityTableText"/>
              <w:widowControl/>
            </w:pPr>
            <w:r>
              <w:rPr>
                <w:rFonts w:ascii="Calibri" w:hAnsi="Calibri" w:cs="Calibri"/>
              </w:rPr>
              <w:t>§11; 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Storefront Studio merchant-language boundary</w:t>
            </w:r>
          </w:p>
        </w:tc>
      </w:tr>
      <w:tr>
        <w:trPr>
          <w:cantSplit/>
        </w:trPr>
        <w:tc>
          <w:tcPr>
            <w:tcW w:w="720" w:type="dxa"/>
            <w:vAlign w:val="center"/>
          </w:tcPr>
          <w:p>
            <w:pPr>
              <w:pStyle w:val="TraceabilityTableText"/>
              <w:widowControl/>
            </w:pPr>
            <w:r>
              <w:rPr>
                <w:rFonts w:ascii="Calibri" w:hAnsi="Calibri" w:cs="Calibri"/>
                <w:b/>
                <w:bCs/>
              </w:rPr>
              <w:t>AC-122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Primary storefront and Storefront Studio journeys have no visible clipping or overlap at 375, 768, 1024, and 1440 px.</w:t>
            </w:r>
          </w:p>
        </w:tc>
        <w:tc>
          <w:tcPr>
            <w:tcW w:w="1300" w:type="dxa"/>
            <w:vAlign w:val="center"/>
          </w:tcPr>
          <w:p>
            <w:pPr>
              <w:pStyle w:val="TraceabilityTableText"/>
              <w:widowControl/>
            </w:pPr>
            <w:r>
              <w:rPr>
                <w:rFonts w:ascii="Calibri" w:hAnsi="Calibri" w:cs="Calibri"/>
              </w:rPr>
              <w:t>§§10–11,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Responsive browser and retained human evidence</w:t>
            </w:r>
          </w:p>
        </w:tc>
      </w:tr>
      <w:tr>
        <w:trPr>
          <w:cantSplit/>
        </w:trPr>
        <w:tc>
          <w:tcPr>
            <w:tcW w:w="720" w:type="dxa"/>
            <w:vAlign w:val="center"/>
          </w:tcPr>
          <w:p>
            <w:pPr>
              <w:pStyle w:val="TraceabilityTableText"/>
              <w:widowControl/>
            </w:pPr>
            <w:r>
              <w:rPr>
                <w:rFonts w:ascii="Calibri" w:hAnsi="Calibri" w:cs="Calibri"/>
                <w:b/>
                <w:bCs/>
              </w:rPr>
              <w:t>AC-123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Dynamic selectors, drawers, proposal actions, save, and publish are keyboard operable and labelled.</w:t>
            </w:r>
          </w:p>
        </w:tc>
        <w:tc>
          <w:tcPr>
            <w:tcW w:w="1300" w:type="dxa"/>
            <w:vAlign w:val="center"/>
          </w:tcPr>
          <w:p>
            <w:pPr>
              <w:pStyle w:val="TraceabilityTableText"/>
              <w:widowControl/>
            </w:pPr>
            <w:r>
              <w:rPr>
                <w:rFonts w:ascii="Calibri" w:hAnsi="Calibri" w:cs="Calibri"/>
              </w:rPr>
              <w:t>§§7.4, 11, 14.3; P10B/P10C</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Accessibility/browser evidence</w:t>
            </w:r>
          </w:p>
        </w:tc>
      </w:tr>
      <w:tr>
        <w:trPr>
          <w:cantSplit/>
        </w:trPr>
        <w:tc>
          <w:tcPr>
            <w:tcW w:w="720" w:type="dxa"/>
            <w:vAlign w:val="center"/>
          </w:tcPr>
          <w:p>
            <w:pPr>
              <w:pStyle w:val="TraceabilityTableText"/>
              <w:widowControl/>
            </w:pPr>
            <w:r>
              <w:rPr>
                <w:rFonts w:ascii="Calibri" w:hAnsi="Calibri" w:cs="Calibri"/>
                <w:b/>
                <w:bCs/>
              </w:rPr>
              <w:t>AC-124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Vesko integration adapter passes the same canonical contract tests as standalone fixtures for project, commerce, media, storage, and publishing.</w:t>
            </w:r>
          </w:p>
        </w:tc>
        <w:tc>
          <w:tcPr>
            <w:tcW w:w="1300" w:type="dxa"/>
            <w:vAlign w:val="center"/>
          </w:tcPr>
          <w:p>
            <w:pPr>
              <w:pStyle w:val="TraceabilityTableText"/>
              <w:widowControl/>
            </w:pPr>
            <w:r>
              <w:rPr>
                <w:rFonts w:ascii="Calibri" w:hAnsi="Calibri" w:cs="Calibri"/>
              </w:rPr>
              <w:t>§12; 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Vesko OpenAPI audit; integration matrix; future staging conformance</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AC-125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A complete customer-ready journey succeeds: URL or minimal-input onboarding → exact approved-brief runtime correlation → governed AI edit → manual edit → save draft → preview → authoritative publish → restore.</w:t>
            </w:r>
          </w:p>
        </w:tc>
        <w:tc>
          <w:tcPr>
            <w:tcW w:w="1300" w:type="dxa"/>
            <w:vAlign w:val="center"/>
          </w:tcPr>
          <w:p>
            <w:pPr>
              <w:pStyle w:val="TraceabilityTableText"/>
              <w:widowControl/>
            </w:pPr>
            <w:r>
              <w:rPr>
                <w:rFonts w:ascii="Calibri" w:hAnsi="Calibri" w:cs="Calibri"/>
              </w:rPr>
              <w:t>§§5–12; P10A/P10C/P11</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Roadmap/tracker phase gates; lifecycle evidence</w:t>
            </w:r>
          </w:p>
        </w:tc>
      </w:tr>
      <w:tr>
        <w:trPr>
          <w:cantSplit/>
        </w:trPr>
        <w:tc>
          <w:tcPr>
            <w:tcW w:w="720" w:type="dxa"/>
            <w:vAlign w:val="center"/>
          </w:tcPr>
          <w:p>
            <w:pPr>
              <w:pStyle w:val="TraceabilityTableText"/>
              <w:widowControl/>
            </w:pPr>
            <w:r>
              <w:rPr>
                <w:rFonts w:ascii="Calibri" w:hAnsi="Calibri" w:cs="Calibri"/>
                <w:b/>
                <w:bCs/>
              </w:rPr>
              <w:t>AC-126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Premium Editorial, Modern Technical, and the retained approachable/minimal direction evidence are pairwise materially different across required homepage, collection, and PDP dimensions rather than by colour, typography, or one rearranged section alone.</w:t>
            </w:r>
          </w:p>
        </w:tc>
        <w:tc>
          <w:tcPr>
            <w:tcW w:w="1300" w:type="dxa"/>
            <w:vAlign w:val="center"/>
          </w:tcPr>
          <w:p>
            <w:pPr>
              <w:pStyle w:val="TraceabilityTableText"/>
              <w:widowControl/>
            </w:pPr>
            <w:r>
              <w:rPr>
                <w:rFonts w:ascii="Calibri" w:hAnsi="Calibri" w:cs="Calibri"/>
              </w:rPr>
              <w:t>§§10,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direction gate</w:t>
            </w:r>
          </w:p>
        </w:tc>
      </w:tr>
      <w:tr>
        <w:trPr>
          <w:cantSplit/>
        </w:trPr>
        <w:tc>
          <w:tcPr>
            <w:tcW w:w="720" w:type="dxa"/>
            <w:vAlign w:val="center"/>
          </w:tcPr>
          <w:p>
            <w:pPr>
              <w:pStyle w:val="TraceabilityTableText"/>
              <w:widowControl/>
            </w:pPr>
            <w:r>
              <w:rPr>
                <w:rFonts w:ascii="Calibri" w:hAnsi="Calibri" w:cs="Calibri"/>
                <w:b/>
                <w:bCs/>
              </w:rPr>
              <w:t>AC-127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Direction evidence covers EN/FI, 375/768/1024/1440, one/many collections, small/large catalogues, and missing optional media with measured no-overflow, clipping, overlap, and empty-space results.</w:t>
            </w:r>
          </w:p>
        </w:tc>
        <w:tc>
          <w:tcPr>
            <w:tcW w:w="1300" w:type="dxa"/>
            <w:vAlign w:val="center"/>
          </w:tcPr>
          <w:p>
            <w:pPr>
              <w:pStyle w:val="TraceabilityTableText"/>
              <w:widowControl/>
            </w:pPr>
            <w:r>
              <w:rPr>
                <w:rFonts w:ascii="Calibri" w:hAnsi="Calibri" w:cs="Calibri"/>
              </w:rPr>
              <w:t>§§10, 13–14;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P9-04D matrix; current P10B responsive gate</w:t>
            </w:r>
          </w:p>
        </w:tc>
      </w:tr>
      <w:tr>
        <w:trPr>
          <w:cantSplit/>
        </w:trPr>
        <w:tc>
          <w:tcPr>
            <w:tcW w:w="720" w:type="dxa"/>
            <w:vAlign w:val="center"/>
          </w:tcPr>
          <w:p>
            <w:pPr>
              <w:pStyle w:val="TraceabilityTableText"/>
              <w:widowControl/>
            </w:pPr>
            <w:r>
              <w:rPr>
                <w:rFonts w:ascii="Calibri" w:hAnsi="Calibri" w:cs="Calibri"/>
                <w:b/>
                <w:bCs/>
              </w:rPr>
              <w:t>AC-128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Every direction uses approved asset provenance and correct product/collection binding and matches canonical source-commerce truth for protected IDs, SKU, price, availability, and media.</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Historical Phase 9 evidence; P10B protected-commerce gate</w:t>
            </w:r>
          </w:p>
        </w:tc>
      </w:tr>
      <w:tr>
        <w:trPr>
          <w:cantSplit/>
        </w:trPr>
        <w:tc>
          <w:tcPr>
            <w:tcW w:w="720" w:type="dxa"/>
            <w:vAlign w:val="center"/>
          </w:tcPr>
          <w:p>
            <w:pPr>
              <w:pStyle w:val="TraceabilityTableText"/>
              <w:widowControl/>
            </w:pPr>
            <w:r>
              <w:rPr>
                <w:rFonts w:ascii="Calibri" w:hAnsi="Calibri" w:cs="Calibri"/>
                <w:b/>
                <w:bCs/>
              </w:rPr>
              <w:t>AC-129</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Capability retrieval returns only current registered components, variants, bindings, renderers, responsive/accessibility rules, and executable PageBlueprints derived from canonical repository contracts.</w:t>
            </w:r>
          </w:p>
        </w:tc>
        <w:tc>
          <w:tcPr>
            <w:tcW w:w="1300" w:type="dxa"/>
            <w:vAlign w:val="center"/>
          </w:tcPr>
          <w:p>
            <w:pPr>
              <w:pStyle w:val="TraceabilityTableText"/>
              <w:widowControl/>
            </w:pPr>
            <w:r>
              <w:rPr>
                <w:rFonts w:ascii="Calibri" w:hAnsi="Calibri" w:cs="Calibri"/>
              </w:rPr>
              <w:t>§§5, 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Generated capability manifest and audit tests</w:t>
            </w:r>
          </w:p>
        </w:tc>
      </w:tr>
      <w:tr>
        <w:trPr>
          <w:cantSplit/>
        </w:trPr>
        <w:tc>
          <w:tcPr>
            <w:tcW w:w="720" w:type="dxa"/>
            <w:vAlign w:val="center"/>
          </w:tcPr>
          <w:p>
            <w:pPr>
              <w:pStyle w:val="TraceabilityTableText"/>
              <w:widowControl/>
            </w:pPr>
            <w:r>
              <w:rPr>
                <w:rFonts w:ascii="Calibri" w:hAnsi="Calibri" w:cs="Calibri"/>
                <w:b/>
                <w:bCs/>
              </w:rPr>
              <w:t>AC-130</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Unknown, stale, incompatible, or schema-invalid component, variant, binding, PageBlueprint/profile, and skill references are rejected before a proposal can classify them as reachable or mutate a draft.</w:t>
            </w:r>
          </w:p>
        </w:tc>
        <w:tc>
          <w:tcPr>
            <w:tcW w:w="1300" w:type="dxa"/>
            <w:vAlign w:val="center"/>
          </w:tcPr>
          <w:p>
            <w:pPr>
              <w:pStyle w:val="TraceabilityTableText"/>
              <w:widowControl/>
            </w:pPr>
            <w:r>
              <w:rPr>
                <w:rFonts w:ascii="Calibri" w:hAnsi="Calibri" w:cs="Calibri"/>
              </w:rPr>
              <w:t>§§6–7;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Manifest/router/compiler fail-closed tests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AC-131</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Initial storefront generation and follow-up editing have separately identified governed package contracts with separate schemas, declared authority, quality gates, and evidence; merchant-operable execution belongs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P10A package contracts and integration tests</w:t>
            </w:r>
          </w:p>
        </w:tc>
      </w:tr>
      <w:tr>
        <w:trPr>
          <w:cantSplit/>
        </w:trPr>
        <w:tc>
          <w:tcPr>
            <w:tcW w:w="720" w:type="dxa"/>
            <w:vAlign w:val="center"/>
          </w:tcPr>
          <w:p>
            <w:pPr>
              <w:pStyle w:val="TraceabilityTableText"/>
              <w:widowControl/>
            </w:pPr>
            <w:r>
              <w:rPr>
                <w:rFonts w:ascii="Calibri" w:hAnsi="Calibri" w:cs="Calibri"/>
                <w:b/>
                <w:bCs/>
              </w:rPr>
              <w:t>AC-132</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Scope classification and strict routing reject any plan whose declared authority silently widens beyond selected section, page, shared frame, design system, or whole-storefront scope; merchant controls and clarification belong to P10C.</w:t>
            </w:r>
          </w:p>
        </w:tc>
        <w:tc>
          <w:tcPr>
            <w:tcW w:w="1300" w:type="dxa"/>
            <w:vAlign w:val="center"/>
          </w:tcPr>
          <w:p>
            <w:pPr>
              <w:pStyle w:val="TraceabilityTableText"/>
              <w:widowControl/>
            </w:pPr>
            <w:r>
              <w:rPr>
                <w:rFonts w:ascii="Calibri" w:hAnsi="Calibri" w:cs="Calibri"/>
              </w:rPr>
              <w:t>§6.2; P10A internal authority/P10C merchant operation</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Strict-router tests; P10A/P10C boundary</w:t>
            </w:r>
          </w:p>
        </w:tc>
      </w:tr>
      <w:tr>
        <w:trPr>
          <w:cantSplit/>
        </w:trPr>
        <w:tc>
          <w:tcPr>
            <w:tcW w:w="720" w:type="dxa"/>
            <w:vAlign w:val="center"/>
          </w:tcPr>
          <w:p>
            <w:pPr>
              <w:pStyle w:val="TraceabilityTableText"/>
              <w:widowControl/>
            </w:pPr>
            <w:r>
              <w:rPr>
                <w:rFonts w:ascii="Calibri" w:hAnsi="Calibri" w:cs="Calibri"/>
                <w:b/>
                <w:bCs/>
              </w:rPr>
              <w:t>AC-133</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Every executable PageBlueprint compiles through controlled operations into the same canonical </w:t>
            </w:r>
            <w:r>
              <w:rPr>
                <w:rFonts w:ascii="Consolas" w:hAnsi="Consolas" w:cs="Consolas"/>
                <w:sz w:val="19"/>
                <w:szCs w:val="19"/>
              </w:rPr>
              <w:t>StorefrontSnapshot</w:t>
            </w:r>
            <w:r>
              <w:rPr>
                <w:rFonts w:ascii="Calibri" w:hAnsi="Calibri" w:cs="Calibri"/>
              </w:rPr>
              <w:t xml:space="preserve"> used by editor, preview, save, history, and publish.</w:t>
            </w:r>
          </w:p>
        </w:tc>
        <w:tc>
          <w:tcPr>
            <w:tcW w:w="1300" w:type="dxa"/>
            <w:vAlign w:val="center"/>
          </w:tcPr>
          <w:p>
            <w:pPr>
              <w:pStyle w:val="TraceabilityTableText"/>
              <w:widowControl/>
            </w:pPr>
            <w:r>
              <w:rPr>
                <w:rFonts w:ascii="Calibri" w:hAnsi="Calibri" w:cs="Calibri"/>
              </w:rPr>
              <w:t>§§4.1, 7–9; P10A</w:t>
            </w:r>
          </w:p>
        </w:tc>
        <w:tc>
          <w:tcPr>
            <w:tcW w:w="1300" w:type="dxa"/>
            <w:vAlign w:val="center"/>
          </w:tcPr>
          <w:p>
            <w:pPr>
              <w:pStyle w:val="TraceabilityTableText"/>
              <w:widowControl/>
            </w:pPr>
            <w:r>
              <w:rPr>
                <w:rFonts w:ascii="Calibri" w:hAnsi="Calibri" w:cs="Calibri"/>
                <w:b/>
                <w:bCs/>
              </w:rPr>
              <w:t>Retained unchanged</w:t>
            </w:r>
          </w:p>
        </w:tc>
        <w:tc>
          <w:tcPr>
            <w:tcW w:w="2140" w:type="dxa"/>
            <w:vAlign w:val="center"/>
          </w:tcPr>
          <w:p>
            <w:pPr>
              <w:pStyle w:val="TraceabilityTableText"/>
              <w:widowControl/>
            </w:pPr>
            <w:r>
              <w:rPr>
                <w:rFonts w:ascii="Calibri" w:hAnsi="Calibri" w:cs="Calibri"/>
              </w:rPr>
              <w:t>Proposal compiler and canonical lifecycle tests</w:t>
            </w:r>
          </w:p>
        </w:tc>
      </w:tr>
      <w:tr>
        <w:trPr>
          <w:cantSplit/>
        </w:trPr>
        <w:tc>
          <w:tcPr>
            <w:tcW w:w="720" w:type="dxa"/>
            <w:vAlign w:val="center"/>
          </w:tcPr>
          <w:p>
            <w:pPr>
              <w:pStyle w:val="TraceabilityTableText"/>
              <w:widowControl/>
            </w:pPr>
            <w:r>
              <w:rPr>
                <w:rFonts w:ascii="Calibri" w:hAnsi="Calibri" w:cs="Calibri"/>
                <w:b/>
                <w:bCs/>
              </w:rPr>
              <w:t>AC-134</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Golden-store evaluation proves grounded composition, canonical-commerce preservation, accessibility, and responsive functional quality across representative catalogue shapes and at least one non-jewellery merchant; commercial visual acceptance remains P10B.</w:t>
            </w:r>
          </w:p>
        </w:tc>
        <w:tc>
          <w:tcPr>
            <w:tcW w:w="1300" w:type="dxa"/>
            <w:vAlign w:val="center"/>
          </w:tcPr>
          <w:p>
            <w:pPr>
              <w:pStyle w:val="TraceabilityTableText"/>
              <w:widowControl/>
            </w:pPr>
            <w:r>
              <w:rPr>
                <w:rFonts w:ascii="Calibri" w:hAnsi="Calibri" w:cs="Calibri"/>
              </w:rPr>
              <w:t>§§10, 13; P10A functional gate/P10B visual gate</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Golden-store evaluation; human review protocol</w:t>
            </w:r>
          </w:p>
        </w:tc>
      </w:tr>
      <w:tr>
        <w:trPr>
          <w:cantSplit/>
        </w:trPr>
        <w:tc>
          <w:tcPr>
            <w:tcW w:w="720" w:type="dxa"/>
            <w:vAlign w:val="center"/>
          </w:tcPr>
          <w:p>
            <w:pPr>
              <w:pStyle w:val="TraceabilityTableText"/>
              <w:widowControl/>
            </w:pPr>
            <w:r>
              <w:rPr>
                <w:rFonts w:ascii="Calibri" w:hAnsi="Calibri" w:cs="Calibri"/>
                <w:b/>
                <w:bCs/>
              </w:rPr>
              <w:t>AC-135</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Publication deterministically validates and compiles the authorized accepted </w:t>
            </w:r>
            <w:r>
              <w:rPr>
                <w:rFonts w:ascii="Consolas" w:hAnsi="Consolas" w:cs="Consolas"/>
                <w:sz w:val="19"/>
                <w:szCs w:val="19"/>
              </w:rPr>
              <w:t>StorefrontSnapshot</w:t>
            </w:r>
            <w:r>
              <w:rPr>
                <w:rFonts w:ascii="Calibri" w:hAnsi="Calibri" w:cs="Calibri"/>
              </w:rPr>
              <w:t xml:space="preserve"> without an AI call, provider payload, or provider-owned page graph at publish time.</w:t>
            </w:r>
          </w:p>
        </w:tc>
        <w:tc>
          <w:tcPr>
            <w:tcW w:w="1300" w:type="dxa"/>
            <w:vAlign w:val="center"/>
          </w:tcPr>
          <w:p>
            <w:pPr>
              <w:pStyle w:val="TraceabilityTableText"/>
              <w:widowControl/>
            </w:pPr>
            <w:r>
              <w:rPr>
                <w:rFonts w:ascii="Calibri" w:hAnsi="Calibri" w:cs="Calibri"/>
              </w:rPr>
              <w:t>§9; P10A</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Publish compiler/gateway authority and zero-provider tests</w:t>
            </w:r>
          </w:p>
        </w:tc>
      </w:tr>
      <w:tr>
        <w:trPr>
          <w:cantSplit/>
        </w:trPr>
        <w:tc>
          <w:tcPr>
            <w:tcW w:w="720" w:type="dxa"/>
            <w:vAlign w:val="center"/>
          </w:tcPr>
          <w:p>
            <w:pPr>
              <w:pStyle w:val="TraceabilityTableText"/>
              <w:widowControl/>
            </w:pPr>
            <w:r>
              <w:rPr>
                <w:rFonts w:ascii="Calibri" w:hAnsi="Calibri" w:cs="Calibri"/>
                <w:b/>
                <w:bCs/>
              </w:rPr>
              <w:t>AC-136</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Proposal and PageBlueprint validation accept only registered profiles, compatible families/variants, permitted slots/order/bindings/assets, and typed parameters within registered bounds; arbitrary trees, raw CSS/classes, executable code, unrestricted font imports, and out-of-contract values are rejected before acceptance.</w:t>
            </w:r>
          </w:p>
        </w:tc>
        <w:tc>
          <w:tcPr>
            <w:tcW w:w="1300" w:type="dxa"/>
            <w:vAlign w:val="center"/>
          </w:tcPr>
          <w:p>
            <w:pPr>
              <w:pStyle w:val="TraceabilityTableText"/>
              <w:widowControl/>
            </w:pPr>
            <w:r>
              <w:rPr>
                <w:rFonts w:ascii="Calibri" w:hAnsi="Calibri" w:cs="Calibri"/>
              </w:rPr>
              <w:t>§§6.3, 7, 10; P10B on P10A authority</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P10B audit; manifest and validation gates</w:t>
            </w:r>
          </w:p>
        </w:tc>
      </w:tr>
    </w:tbl>
    <w:p>
      <w:pPr>
        <w:pStyle w:val="Normal"/>
        <w:widowControl/>
      </w:pPr>
    </w:p>
    <w:p>
      <w:pPr>
        <w:pStyle w:val="Normal"/>
        <w:widowControl/>
      </w:pPr>
      <w:r>
        <w:br w:type="page"/>
      </w:r>
    </w:p>
    <w:tbl>
      <w:tblPr>
        <w:tblW w:w="93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900"/>
        <w:gridCol w:w="3000"/>
        <w:gridCol w:w="1300"/>
        <w:gridCol w:w="1300"/>
        <w:gridCol w:w="2140"/>
      </w:tblGrid>
      <w:tr>
        <w:trPr>
          <w:tblHeader/>
          <w:cantSplit/>
        </w:trPr>
        <w:tc>
          <w:tcPr>
            <w:tcW w:w="720" w:type="dxa"/>
            <w:vAlign w:val="center"/>
            <w:shd w:val="clear" w:fill="E8EEF5"/>
          </w:tcPr>
          <w:p>
            <w:pPr>
              <w:pStyle w:val="TableHeader"/>
              <w:jc w:val="center"/>
              <w:widowControl/>
            </w:pPr>
            <w:r>
              <w:rPr>
                <w:rFonts w:ascii="Calibri" w:hAnsi="Calibri" w:cs="Calibri"/>
              </w:rPr>
              <w:t>ID</w:t>
            </w:r>
          </w:p>
        </w:tc>
        <w:tc>
          <w:tcPr>
            <w:tcW w:w="900" w:type="dxa"/>
            <w:vAlign w:val="center"/>
            <w:shd w:val="clear" w:fill="E8EEF5"/>
          </w:tcPr>
          <w:p>
            <w:pPr>
              <w:pStyle w:val="TableHeader"/>
              <w:jc w:val="center"/>
              <w:widowControl/>
            </w:pPr>
            <w:r>
              <w:rPr>
                <w:rFonts w:ascii="Calibri" w:hAnsi="Calibri" w:cs="Calibri"/>
              </w:rPr>
              <w:t>Type</w:t>
            </w:r>
          </w:p>
        </w:tc>
        <w:tc>
          <w:tcPr>
            <w:tcW w:w="3000" w:type="dxa"/>
            <w:vAlign w:val="center"/>
            <w:shd w:val="clear" w:fill="E8EEF5"/>
          </w:tcPr>
          <w:p>
            <w:pPr>
              <w:pStyle w:val="TableHeader"/>
              <w:jc w:val="center"/>
              <w:widowControl/>
            </w:pPr>
            <w:r>
              <w:rPr>
                <w:rFonts w:ascii="Calibri" w:hAnsi="Calibri" w:cs="Calibri"/>
              </w:rPr>
              <w:t>Requirement / acceptance meaning</w:t>
            </w:r>
          </w:p>
        </w:tc>
        <w:tc>
          <w:tcPr>
            <w:tcW w:w="1300" w:type="dxa"/>
            <w:vAlign w:val="center"/>
            <w:shd w:val="clear" w:fill="E8EEF5"/>
          </w:tcPr>
          <w:p>
            <w:pPr>
              <w:pStyle w:val="TableHeader"/>
              <w:jc w:val="center"/>
              <w:widowControl/>
            </w:pPr>
            <w:r>
              <w:rPr>
                <w:rFonts w:ascii="Calibri" w:hAnsi="Calibri" w:cs="Calibri"/>
              </w:rPr>
              <w:t>v1.3.0 owner</w:t>
            </w:r>
          </w:p>
        </w:tc>
        <w:tc>
          <w:tcPr>
            <w:tcW w:w="1300" w:type="dxa"/>
            <w:vAlign w:val="center"/>
            <w:shd w:val="clear" w:fill="E8EEF5"/>
          </w:tcPr>
          <w:p>
            <w:pPr>
              <w:pStyle w:val="TableHeader"/>
              <w:jc w:val="center"/>
              <w:widowControl/>
            </w:pPr>
            <w:r>
              <w:rPr>
                <w:rFonts w:ascii="Calibri" w:hAnsi="Calibri" w:cs="Calibri"/>
              </w:rPr>
              <w:t>Current status</w:t>
            </w:r>
          </w:p>
        </w:tc>
        <w:tc>
          <w:tcPr>
            <w:tcW w:w="2140" w:type="dxa"/>
            <w:vAlign w:val="center"/>
            <w:shd w:val="clear" w:fill="E8EEF5"/>
          </w:tcPr>
          <w:p>
            <w:pPr>
              <w:pStyle w:val="TableHeader"/>
              <w:jc w:val="center"/>
              <w:widowControl/>
            </w:pPr>
            <w:r>
              <w:rPr>
                <w:rFonts w:ascii="Calibri" w:hAnsi="Calibri" w:cs="Calibri"/>
              </w:rPr>
              <w:t>Evidence / linked authority</w:t>
            </w:r>
          </w:p>
        </w:tc>
      </w:tr>
      <w:tr>
        <w:trPr>
          <w:cantSplit/>
        </w:trPr>
        <w:tc>
          <w:tcPr>
            <w:tcW w:w="720" w:type="dxa"/>
            <w:vAlign w:val="center"/>
          </w:tcPr>
          <w:p>
            <w:pPr>
              <w:pStyle w:val="TraceabilityTableText"/>
              <w:widowControl/>
            </w:pPr>
            <w:r>
              <w:rPr>
                <w:rFonts w:ascii="Calibri" w:hAnsi="Calibri" w:cs="Calibri"/>
                <w:b/>
                <w:bCs/>
              </w:rPr>
              <w:t>AC-137</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 xml:space="preserve">Validation and renderer proof enforce </w:t>
            </w:r>
            <w:r>
              <w:rPr>
                <w:rFonts w:ascii="Consolas" w:hAnsi="Consolas" w:cs="Consolas"/>
                <w:sz w:val="19"/>
                <w:szCs w:val="19"/>
              </w:rPr>
              <w:t>BrandSystem → registered PageBlueprint profile → component family/variant → constrained instance override</w:t>
            </w:r>
            <w:r>
              <w:rPr>
                <w:rFonts w:ascii="Calibri" w:hAnsi="Calibri" w:cs="Calibri"/>
              </w:rPr>
              <w:t>, and every supported capability proves the complete applicable chain from registration through retained evidence.</w:t>
            </w:r>
          </w:p>
        </w:tc>
        <w:tc>
          <w:tcPr>
            <w:tcW w:w="1300" w:type="dxa"/>
            <w:vAlign w:val="center"/>
          </w:tcPr>
          <w:p>
            <w:pPr>
              <w:pStyle w:val="TraceabilityTableText"/>
              <w:widowControl/>
            </w:pPr>
            <w:r>
              <w:rPr>
                <w:rFonts w:ascii="Calibri" w:hAnsi="Calibri" w:cs="Calibri"/>
              </w:rPr>
              <w:t>§§7.3,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Capability ledger; P10B human review gate</w:t>
            </w:r>
          </w:p>
        </w:tc>
      </w:tr>
      <w:tr>
        <w:trPr>
          <w:cantSplit/>
        </w:trPr>
        <w:tc>
          <w:tcPr>
            <w:tcW w:w="720" w:type="dxa"/>
            <w:vAlign w:val="center"/>
          </w:tcPr>
          <w:p>
            <w:pPr>
              <w:pStyle w:val="TraceabilityTableText"/>
              <w:widowControl/>
            </w:pPr>
            <w:r>
              <w:rPr>
                <w:rFonts w:ascii="Calibri" w:hAnsi="Calibri" w:cs="Calibri"/>
                <w:b/>
                <w:bCs/>
              </w:rPr>
              <w:t>AC-138</w:t>
            </w:r>
          </w:p>
        </w:tc>
        <w:tc>
          <w:tcPr>
            <w:tcW w:w="900" w:type="dxa"/>
            <w:vAlign w:val="center"/>
          </w:tcPr>
          <w:p>
            <w:pPr>
              <w:pStyle w:val="TraceabilityTableText"/>
              <w:widowControl/>
            </w:pPr>
            <w:r>
              <w:rPr>
                <w:rFonts w:ascii="Calibri" w:hAnsi="Calibri" w:cs="Calibri"/>
              </w:rPr>
              <w:t>Acceptance criterion</w:t>
            </w:r>
          </w:p>
        </w:tc>
        <w:tc>
          <w:tcPr>
            <w:tcW w:w="3000" w:type="dxa"/>
            <w:vAlign w:val="center"/>
          </w:tcPr>
          <w:p>
            <w:pPr>
              <w:pStyle w:val="TraceabilityTableText"/>
              <w:widowControl/>
            </w:pPr>
            <w:r>
              <w:rPr>
                <w:rFonts w:ascii="Calibri" w:hAnsi="Calibri" w:cs="Calibri"/>
              </w:rPr>
              <w:t>Without approved merchant evidence, optional trust/evidence sections are omitted and registry defaults cannot introduce unsupported claims; approved provenance is preserved, and responsive human review proves homepage, collection, and PDP as one coordinated storefront. Placeholder-only, deterministic-only, or schema-only evidence fails.</w:t>
            </w:r>
          </w:p>
        </w:tc>
        <w:tc>
          <w:tcPr>
            <w:tcW w:w="1300" w:type="dxa"/>
            <w:vAlign w:val="center"/>
          </w:tcPr>
          <w:p>
            <w:pPr>
              <w:pStyle w:val="TraceabilityTableText"/>
              <w:widowControl/>
            </w:pPr>
            <w:r>
              <w:rPr>
                <w:rFonts w:ascii="Calibri" w:hAnsi="Calibri" w:cs="Calibri"/>
              </w:rPr>
              <w:t>§§3.3, 10, 13; P10B</w:t>
            </w:r>
          </w:p>
        </w:tc>
        <w:tc>
          <w:tcPr>
            <w:tcW w:w="1300" w:type="dxa"/>
            <w:vAlign w:val="center"/>
          </w:tcPr>
          <w:p>
            <w:pPr>
              <w:pStyle w:val="TraceabilityTableText"/>
              <w:widowControl/>
            </w:pPr>
            <w:r>
              <w:rPr>
                <w:rFonts w:ascii="Calibri" w:hAnsi="Calibri" w:cs="Calibri"/>
                <w:b/>
                <w:bCs/>
              </w:rPr>
              <w:t>Clarified</w:t>
            </w:r>
          </w:p>
        </w:tc>
        <w:tc>
          <w:tcPr>
            <w:tcW w:w="2140" w:type="dxa"/>
            <w:vAlign w:val="center"/>
          </w:tcPr>
          <w:p>
            <w:pPr>
              <w:pStyle w:val="TraceabilityTableText"/>
              <w:widowControl/>
            </w:pPr>
            <w:r>
              <w:rPr>
                <w:rFonts w:ascii="Calibri" w:hAnsi="Calibri" w:cs="Calibri"/>
              </w:rPr>
              <w:t>Provenance guards; responsive retained human review</w:t>
            </w:r>
          </w:p>
        </w:tc>
      </w:tr>
    </w:tbl>
    <w:p>
      <w:pPr>
        <w:pStyle w:val="Normal"/>
        <w:widowControl/>
      </w:pPr>
    </w:p>
    <w:sectPr>
      <w:footerReference w:type="default" r:id="rId4"/>
      <w:pgSz w:w="12240" w:h="15840"/>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9360"/>
      </w:tabs>
    </w:pPr>
    <w:r>
      <w:rPr>
        <w:rFonts w:ascii="Calibri" w:hAnsi="Calibri" w:cs="Calibri"/>
      </w:rPr>
      <w:t>Veskify SDD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DEVELOPMENT_ROADMAP.md" TargetMode="External"/><Relationship Id="rIdHyperlink2" Type="http://schemas.openxmlformats.org/officeDocument/2006/relationships/hyperlink" Target="VESKIFY_DEVELOPMENT_DELIVERY_TRACKER.md" TargetMode="External"/><Relationship Id="rIdHyperlink3" Type="http://schemas.openxmlformats.org/officeDocument/2006/relationships/hyperlink" Target="VESKIFY_SDD_v1.3.0.docx" TargetMode="External"/><Relationship Id="rIdHyperlink4" Type="http://schemas.openxmlformats.org/officeDocument/2006/relationships/hyperlink" Target="archive/VESKIFY_SDD_v1.2.2.docx" TargetMode="External"/><Relationship Id="rIdHyperlink5" Type="http://schemas.openxmlformats.org/officeDocument/2006/relationships/hyperlink" Target="P10A_PHASE_CLOSURE.md" TargetMode="External"/><Relationship Id="rIdHyperlink6" Type="http://schemas.openxmlformats.org/officeDocument/2006/relationships/hyperlink" Target="P10B_COMMERCIAL_STOREFRONT_GENERATION_ARCHITECTURE.md" TargetMode="External"/><Relationship Id="rIdHyperlink7" Type="http://schemas.openxmlformats.org/officeDocument/2006/relationships/hyperlink" Target="P10B_01_COMMERCIAL_DESIGN_GRAMMAR.md" TargetMode="External"/><Relationship Id="rIdHyperlink8" Type="http://schemas.openxmlformats.org/officeDocument/2006/relationships/hyperlink" Target="P10B_02_PARAMETRIC_BRAND_SYSTEM.md" TargetMode="External"/><Relationship Id="rIdHyperlink9" Type="http://schemas.openxmlformats.org/officeDocument/2006/relationships/hyperlink" Target="P10B_03_COMPONENT_ANATOMY_AND_MEANINGFUL_VARIANTS.md" TargetMode="External"/><Relationship Id="rIdHyperlink10" Type="http://schemas.openxmlformats.org/officeDocument/2006/relationships/hyperlink" Target="P10B_04_RESPONSIVE_IMAGE_ART_DIRECTION.md" TargetMode="External"/><Relationship Id="rIdHyperlink11" Type="http://schemas.openxmlformats.org/officeDocument/2006/relationships/hyperlink" Target="P10B_05_SITE_MAP_AND_PAGE_FAMILY_AUTHORITY.md" TargetMode="External"/><Relationship Id="rIdHyperlink12" Type="http://schemas.openxmlformats.org/officeDocument/2006/relationships/hyperlink" Target="P10B_06_COMMERCIAL_SHARED_FRAME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7_HERO_EDITORIAL_CAMPAIGN_PROOF_FAMILIES.md" TargetMode="External"/><Relationship Id="rIdHyperlink15" Type="http://schemas.openxmlformats.org/officeDocument/2006/relationships/hyperlink" Target="P10B_09_COMMERCIAL_HOMEPAGE_PROFILE_LIBRARY.md" TargetMode="External"/><Relationship Id="rIdHyperlink16" Type="http://schemas.openxmlformats.org/officeDocument/2006/relationships/hyperlink" Target="P10B_10_COMMERCIAL_COLLECTION_SEARCH_PROFIL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VESKO_OPENAPI_CONTRACT_AUDIT.md" TargetMode="External"/><Relationship Id="rIdHyperlink19" Type="http://schemas.openxmlformats.org/officeDocument/2006/relationships/hyperlink" Target="VESKO_VESKIFY_INTEGRATION_MATRIX.md" TargetMode="External"/><Relationship Id="rIdHyperlink20" Type="http://schemas.openxmlformats.org/officeDocument/2006/relationships/hyperlink" Target="archive/README.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Software Design Document</dc:title>
  <dc:subject>Version 1.3.0</dc:subject>
  <dc:creator>Vesko Oy</dc:creator>
  <dc:description>Synchronized deterministic export of docs/VESKIFY_SDD.md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docs/VESKIFY_SDD.md</vt:lpwstr>
  </property>
  <property fmtid="{D5CDD505-2E9C-101B-9397-08002B2CF9AE}" pid="3" name="SourceSha256">
    <vt:lpwstr>8655c4a392f50c22cf3faf7a06a952d193d4c231088fc8ce4d0d4fc0f37a4be9</vt:lpwstr>
  </property>
  <property fmtid="{D5CDD505-2E9C-101B-9397-08002B2CF9AE}" pid="4" name="ExporterVersion">
    <vt:lpwstr>1.1.0</vt:lpwstr>
  </property>
  <property fmtid="{D5CDD505-2E9C-101B-9397-08002B2CF9AE}" pid="5" name="DesignPreset">
    <vt:lpwstr>compact_reference_guide</vt:lpwstr>
  </property>
</Properties>
</file>