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18 August 2026</w:t>
      </w:r>
    </w:p>
    <w:p>
      <w:pPr>
        <w:pStyle w:val="CoverMeta"/>
        <w:jc w:val="center"/>
        <w:widowControl/>
      </w:pPr>
      <w:r>
        <w:rPr>
          <w:rFonts w:ascii="Calibri" w:hAnsi="Calibri" w:cs="Calibri"/>
        </w:rPr>
        <w:t>Accepted P10B-18B-03 collection/search/product-card quality upgrade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18 August 2026, accepted P10B-18B-03 collection/search/product-card quality upgrade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and accepted P10B-18B-03 collection/search/product-card quality upgrade are Baseline. P10B-16P-02 is Baseline; parent P10B-18B, P10B-18, and P10B remain Partial. P10B-18B-04 is the next focused product task; P10B-18C 100+ quality/diversity acceptance remains Planned. P10B-16P-05B final historical cleanup remains Planned after P10B-18C.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P10B-14 provide the commercial grammar, Design DNA, assets, page/frame/component/profile/utility authorities and first complete 17-route proof; P10B-15 generalizes them into deterministic bounded complete-store synthesis; P10B-16 adds coordinated constraint packages and diversity control; P10B-16P-01 converges dynamic commerce routes; P10B-16P-02 adds strict transient Design Intent plus deterministic exact compilation and one canonical materialization; P10B-16P-03 connects that authority to normal Studio; P10B-16P-04 proves separately authorized real OpenAI A/B/C proposals plus the C accept/undo/redo/save/reload/preview lifecycle; P10B-16P-05A makes that semantic route and one coordinator/resolver/decision/executor chain the sole active initial-generation authority; P10B-16P-06 supplies standalone canonical transient search query/results authority; P10B-17 closes bounded responsive, accessibility, media-loading, layout-stability and renderer-performance evidence across current registered families; accepted P10B-18A freezes a 72-case deterministic and 18-store/108-capture human-reviewed diagnosis of the commercial ceiling; accepted P10B-18B-01 adds two material Design DNA density outcomes per direction, truthful semantic dependency reporting, complete-store compact-frame reachability, and focused shared-frame refinement; accepted P10B-18B-06 adds bounded shared purpose-affine asset selection, explicit reuse, paired responsive-source/crop execution, approved-logo frame consumption and material art-direction causality; accepted P10B-18B-02 adds explicit homepage transition authority, truthful story/catalogue profile causality and richer/sparser observable hierarchy across the existing six profiles; and accepted P10B-18B-03 adds bounded collection cardinality/facet hierarchy, distinct collection/search purposes, five strengthened canonical card anatomies and executable comparison/dense search truth. Parent P10B-18B, P10B-18 and P10B remain Partial; PDP and content/utility commercial visual quality remains owned by P10B-18B-04/05 and P10B-18C designer-grade/100+ quality-scale acceptance remains incomplete.</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7"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8"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19"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and accepted P10B-18B-03 closes bounded collection/search/product-card quality. Parent P10B-18B remains Partial with P10B-18B-04 next; the P10B-18C repeated quality-and-scale gate remains Planned.</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0"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1"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2"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3"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4"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remain until the P10B-16P-05B cleanup gate after P10B-18C. At this acceptance boundary, search presentation remained registered while execution failed closed; P10B-16P-06 later supplies the standalone runtime adapter. See </w:t>
      </w:r>
      <w:hyperlink r:id="rIdHyperlink25"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pPr>
      <w:r>
        <w:rPr>
          <w:rFonts w:ascii="Calibri" w:hAnsi="Calibri" w:cs="Calibri"/>
        </w:rPr>
        <w:t>P10B-16P-05A makes prompted initial generation one explicit path:</w:t>
      </w:r>
    </w:p>
    <w:p>
      <w:pPr>
        <w:pStyle w:val="CodeBlock"/>
        <w:shd w:val="clear" w:fill="F4F6F9"/>
        <w:ind w:left="180" w:right="180"/>
        <w:widowControl/>
      </w:pPr>
      <w:r>
        <w:rPr>
          <w:rFonts w:ascii="Consolas" w:hAnsi="Consolas" w:cs="Consolas"/>
          <w:sz w:val="19"/>
          <w:szCs w:val="19"/>
        </w:rPr>
        <w:t>Storefront Studio</w:t>
      </w:r>
    </w:p>
    <w:p>
      <w:pPr>
        <w:pStyle w:val="CodeBlock"/>
        <w:shd w:val="clear" w:fill="F4F6F9"/>
        <w:ind w:left="180" w:right="180"/>
        <w:widowControl/>
      </w:pPr>
      <w:r>
        <w:rPr>
          <w:rFonts w:ascii="Consolas" w:hAnsi="Consolas" w:cs="Consolas"/>
          <w:sz w:val="19"/>
          <w:szCs w:val="19"/>
        </w:rPr>
        <w:t xml:space="preserve">  → /api/ai/whole-storefront-proposals</w:t>
      </w:r>
    </w:p>
    <w:p>
      <w:pPr>
        <w:pStyle w:val="CodeBlock"/>
        <w:shd w:val="clear" w:fill="F4F6F9"/>
        <w:ind w:left="180" w:right="180"/>
        <w:widowControl/>
      </w:pPr>
      <w:r>
        <w:rPr>
          <w:rFonts w:ascii="Consolas" w:hAnsi="Consolas" w:cs="Consolas"/>
          <w:sz w:val="19"/>
          <w:szCs w:val="19"/>
        </w:rPr>
        <w:t xml:space="preserve">  → prompted Storefront Studio server handler</w:t>
      </w:r>
    </w:p>
    <w:p>
      <w:pPr>
        <w:pStyle w:val="CodeBlock"/>
        <w:shd w:val="clear" w:fill="F4F6F9"/>
        <w:ind w:left="180" w:right="180"/>
        <w:widowControl/>
      </w:pPr>
      <w:r>
        <w:rPr>
          <w:rFonts w:ascii="Consolas" w:hAnsi="Consolas" w:cs="Consolas"/>
          <w:sz w:val="19"/>
          <w:szCs w:val="19"/>
        </w:rPr>
        <w:t xml:space="preserve">  → trusted current-authority composition</w:t>
      </w:r>
    </w:p>
    <w:p>
      <w:pPr>
        <w:pStyle w:val="CodeBlock"/>
        <w:shd w:val="clear" w:fill="F4F6F9"/>
        <w:ind w:left="180" w:right="180"/>
        <w:widowControl/>
      </w:pPr>
      <w:r>
        <w:rPr>
          <w:rFonts w:ascii="Consolas" w:hAnsi="Consolas" w:cs="Consolas"/>
          <w:sz w:val="19"/>
          <w:szCs w:val="19"/>
        </w:rPr>
        <w:t xml:space="preserve">  → semantic provider selector</w:t>
      </w:r>
    </w:p>
    <w:p>
      <w:pPr>
        <w:pStyle w:val="CodeBlock"/>
        <w:shd w:val="clear" w:fill="F4F6F9"/>
        <w:ind w:left="180" w:right="180"/>
        <w:widowControl/>
      </w:pPr>
      <w:r>
        <w:rPr>
          <w:rFonts w:ascii="Consolas" w:hAnsi="Consolas" w:cs="Consolas"/>
          <w:sz w:val="19"/>
          <w:szCs w:val="19"/>
        </w:rPr>
        <w:t xml:space="preserve">  → deterministic semantic compatibility resolver</w:t>
      </w:r>
    </w:p>
    <w:p>
      <w:pPr>
        <w:pStyle w:val="CodeBlock"/>
        <w:shd w:val="clear" w:fill="F4F6F9"/>
        <w:ind w:left="180" w:right="180"/>
        <w:widowControl/>
      </w:pPr>
      <w:r>
        <w:rPr>
          <w:rFonts w:ascii="Consolas" w:hAnsi="Consolas" w:cs="Consolas"/>
          <w:sz w:val="19"/>
          <w:szCs w:val="19"/>
        </w:rPr>
        <w:t xml:space="preserve">  → exact compiled storefront decision</w:t>
      </w:r>
    </w:p>
    <w:p>
      <w:pPr>
        <w:pStyle w:val="CodeBlock"/>
        <w:shd w:val="clear" w:fill="F4F6F9"/>
        <w:ind w:left="180" w:right="180"/>
        <w:widowControl/>
      </w:pPr>
      <w:r>
        <w:rPr>
          <w:rFonts w:ascii="Consolas" w:hAnsi="Consolas" w:cs="Consolas"/>
          <w:sz w:val="19"/>
          <w:szCs w:val="19"/>
        </w:rPr>
        <w:t xml:space="preserve">  → coordinator and sole executor</w:t>
      </w:r>
    </w:p>
    <w:p>
      <w:pPr>
        <w:pStyle w:val="CodeBlock"/>
        <w:shd w:val="clear" w:fill="F4F6F9"/>
        <w:ind w:left="180" w:right="180"/>
        <w:widowControl/>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and retained through P10B-18C for deterministic A/B/C replay and acceptance evidence. P10B-16P-05B is Planned after P10B-18C for consumer-verified final historical cleanup.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and accepted P10B-18B-03 closes bounded collection/search/product-card quality. Parent P10B-18B, P10B-18 and P10B remain Partial; P10B-18B-04 is next, P10B-18C remains Planned, and P10B-16P-05B remains Planned after P10B-18C.</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and accepted P10B-18B-03 closes bounded collection/search/product-card quality. Parent P10B-18B, P10B-18 and P10B remain Partial; P10B-18B-04 is next, P10B-18C remains Planned, and P10B-16P-05B remains Planned after P10B-18C.</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6"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Partial</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and P10B-18B-02 and P10B-18B-03 are </w:t>
      </w:r>
      <w:r>
        <w:rPr>
          <w:rFonts w:ascii="Calibri" w:hAnsi="Calibri" w:cs="Calibri"/>
          <w:b/>
          <w:bCs/>
        </w:rPr>
        <w:t>Baseline</w:t>
      </w:r>
      <w:r>
        <w:rPr>
          <w:rFonts w:ascii="Calibri" w:hAnsi="Calibri" w:cs="Calibri"/>
        </w:rPr>
        <w:t xml:space="preserve">, accepted on 18 August 2026, while P10B-18B-04/05 are incomplete. P10B-18B-04 is next. P10B-18C is </w:t>
      </w:r>
      <w:r>
        <w:rPr>
          <w:rFonts w:ascii="Calibri" w:hAnsi="Calibri" w:cs="Calibri"/>
          <w:b/>
          <w:bCs/>
        </w:rPr>
        <w:t>Planned</w:t>
      </w:r>
      <w:r>
        <w:rPr>
          <w:rFonts w:ascii="Calibri" w:hAnsi="Calibri" w:cs="Calibri"/>
        </w:rPr>
        <w:t xml:space="preserve"> to run the final 100+ quality/diversity gate after the accepted P10B-18B packages integrate.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PDP and content/utility quality remain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until P10B-18C completes this gate. P10B-16P-05B remains Planned after P10B-18C so historical acceptance scaffolding is retained while any audit, replay, migration or final quality evidence still consumes it.</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7" w:history="1">
        <w:r>
          <w:rPr>
            <w:rFonts w:ascii="Calibri" w:hAnsi="Calibri" w:cs="Calibri"/>
            <w:color w:val="2E74B5"/>
            <w:u w:val="single"/>
          </w:rPr>
          <w:t>VESKO_OPENAPI_CONTRACT_AUDIT.md</w:t>
        </w:r>
      </w:hyperlink>
      <w:r>
        <w:rPr>
          <w:rFonts w:ascii="Calibri" w:hAnsi="Calibri" w:cs="Calibri"/>
        </w:rPr>
        <w:t xml:space="preserve"> and </w:t>
      </w:r>
      <w:hyperlink r:id="rIdHyperlink2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P10B-18B-01, P10B-18B-06, P10B-18B-02 and P10B-18B-03 are Baseline; parent P10B-18B, P10B-18 and P10B remain Partial. P10B-18B-04 is the next focused product task, P10B-18C remains Planned, and P10B-16P-05B remains Planned after P10B-18C.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P10B-16P-05B remains Planned after P10B-18C;</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2_CONTENT_AND_SUPPORT_PAGE_FAMILIES.md" TargetMode="External"/><Relationship Id="rIdHyperlink18" Type="http://schemas.openxmlformats.org/officeDocument/2006/relationships/hyperlink" Target="P10B_13_COMMERCE_UTILITY_PRESENTATION_PAGES.md" TargetMode="External"/><Relationship Id="rIdHyperlink19" Type="http://schemas.openxmlformats.org/officeDocument/2006/relationships/hyperlink" Target="P10B_14_PREMIUM_EDITORIAL_COMPLETE_STOREFRONT_VERTICAL_SLICE.md" TargetMode="External"/><Relationship Id="rIdHyperlink20" Type="http://schemas.openxmlformats.org/officeDocument/2006/relationships/hyperlink" Target="P10B_15_BOUNDED_STOREFRONT_SYNTHESIS_AND_NARRATIVE_ENGINE.md" TargetMode="External"/><Relationship Id="rIdHyperlink21" Type="http://schemas.openxmlformats.org/officeDocument/2006/relationships/hyperlink" Target="P10B_16_COORDINATED_DIRECTIONS_AND_DIVERSITY_CONTROL.md" TargetMode="External"/><Relationship Id="rIdHyperlink22" Type="http://schemas.openxmlformats.org/officeDocument/2006/relationships/hyperlink" Target="P10B_16P_01_DYNAMIC_COMMERCE_ROUTE_ARCHETYPES.md" TargetMode="External"/><Relationship Id="rIdHyperlink23" Type="http://schemas.openxmlformats.org/officeDocument/2006/relationships/hyperlink" Target="P10B_16P_02_PROMPTED_STOREFRONT_DESIGN_PLAN_V2.md" TargetMode="External"/><Relationship Id="rIdHyperlink24" Type="http://schemas.openxmlformats.org/officeDocument/2006/relationships/hyperlink" Target="P10B_16P_03_STUDIO_PROMPT_GENERATION_JOURNEY.md" TargetMode="External"/><Relationship Id="rIdHyperlink25" Type="http://schemas.openxmlformats.org/officeDocument/2006/relationships/hyperlink" Target="P10B_16P_04_REAL_STUDIO_DESIGN_INTENT_ACCEPTANCE.md" TargetMode="External"/><Relationship Id="rIdHyperlink26" Type="http://schemas.openxmlformats.org/officeDocument/2006/relationships/hyperlink" Target="P10B_18_COMMERCIAL_QUALITY_AUDIT.md" TargetMode="External"/><Relationship Id="rIdHyperlink27" Type="http://schemas.openxmlformats.org/officeDocument/2006/relationships/hyperlink" Target="VESKO_OPENAPI_CONTRACT_AUDIT.md" TargetMode="External"/><Relationship Id="rIdHyperlink28" Type="http://schemas.openxmlformats.org/officeDocument/2006/relationships/hyperlink" Target="VESKO_VESKIFY_INTEGRATION_MATRIX.md" TargetMode="External"/><Relationship Id="rIdHyperlink2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0cc93b28f859965d13a343d99e8784411feeb266ebf8724b82f3fc073e944f3a</vt:lpwstr>
  </property>
  <property fmtid="{D5CDD505-2E9C-101B-9397-08002B2CF9AE}" pid="4" name="ExporterVersion">
    <vt:lpwstr>1.1.2</vt:lpwstr>
  </property>
  <property fmtid="{D5CDD505-2E9C-101B-9397-08002B2CF9AE}" pid="5" name="DesignPreset">
    <vt:lpwstr>compact_reference_guide</vt:lpwstr>
  </property>
</Properties>
</file>