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19 August 2026, accepted P10B-18B-04 PDP quality upgrade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19 August 2026, accepted P10B-18B-04 PDP quality upgrade</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 ] DEVX-01 - Contract-driven development and CI execution enablement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 ] DEVX-01D - Parallel static, Vitest and production-build jobs (</w:t>
      </w:r>
      <w:r>
        <w:rPr>
          <w:rFonts w:ascii="Calibri" w:hAnsi="Calibri" w:cs="Calibri"/>
          <w:b/>
          <w:bCs/>
        </w:rPr>
        <w:t>exact next engineering task</w:t>
      </w:r>
      <w:r>
        <w:rPr>
          <w:rFonts w:ascii="Calibri" w:hAnsi="Calibri" w:cs="Calibri"/>
        </w:rPr>
        <w:t>)</w:t>
      </w:r>
    </w:p>
    <w:p>
      <w:pPr>
        <w:pStyle w:val="Normal"/>
        <w:numPr>
          <w:ilvl w:val="0"/>
          <w:numId w:val="1"/>
        </w:numPr>
        <w:widowControl/>
      </w:pPr>
      <w:r>
        <w:rPr>
          <w:rFonts w:ascii="Calibri" w:hAnsi="Calibri" w:cs="Calibri"/>
        </w:rPr>
        <w:t>[ ] DEVX-01E - Playwright timing inventory and balanced execution groups</w:t>
      </w:r>
    </w:p>
    <w:p>
      <w:pPr>
        <w:pStyle w:val="Normal"/>
        <w:numPr>
          <w:ilvl w:val="0"/>
          <w:numId w:val="1"/>
        </w:numPr>
        <w:widowControl/>
      </w:pPr>
      <w:r>
        <w:rPr>
          <w:rFonts w:ascii="Calibri" w:hAnsi="Calibri" w:cs="Calibri"/>
        </w:rPr>
        <w:t>[ ] DEVX-01F - Playwright sharding/matrix, merged reports and stable required aggregator</w:t>
      </w:r>
    </w:p>
    <w:p>
      <w:pPr>
        <w:pStyle w:val="Normal"/>
        <w:numPr>
          <w:ilvl w:val="0"/>
          <w:numId w:val="1"/>
        </w:numPr>
        <w:widowControl/>
      </w:pPr>
      <w:r>
        <w:rPr>
          <w:rFonts w:ascii="Calibri" w:hAnsi="Calibri" w:cs="Calibri"/>
        </w:rPr>
        <w:t>[ ]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Versioned family and PageBlueprint v2 contracts, registry, topology identity, deterministic selection, and v1 compatibility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Planned / exact next engineering</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Required-status and failure propagation proof</w:t>
            </w:r>
          </w:p>
        </w:tc>
        <w:tc>
          <w:tcPr>
            <w:tcW w:w="2160" w:type="dxa"/>
            <w:vAlign w:val="center"/>
          </w:tcPr>
          <w:p>
            <w:pPr>
              <w:pStyle w:val="TableText"/>
              <w:widowControl/>
            </w:pPr>
            <w:r>
              <w:rPr>
                <w:rFonts w:ascii="Calibri" w:hAnsi="Calibri" w:cs="Calibri"/>
              </w:rPr>
              <w:t>Playwright sharding</w:t>
            </w:r>
          </w:p>
        </w:tc>
      </w:tr>
      <w:tr>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Planned</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Planned</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Planned</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P10B-19A is the next product-development sprint after DEVX-01. DEVX-01C retains one serial </w:t>
      </w:r>
      <w:r>
        <w:rPr>
          <w:rFonts w:ascii="Consolas" w:hAnsi="Consolas" w:cs="Consolas"/>
          <w:sz w:val="19"/>
          <w:szCs w:val="19"/>
        </w:rPr>
        <w:t>validate</w:t>
      </w:r>
      <w:r>
        <w:rPr>
          <w:rFonts w:ascii="Calibri" w:hAnsi="Calibri" w:cs="Calibri"/>
        </w:rPr>
        <w:t xml:space="preserve"> job while adding nine safe command timings, PR/ref-scoped native cancellation and compatible </w:t>
      </w:r>
      <w:r>
        <w:rPr>
          <w:rFonts w:ascii="Consolas" w:hAnsi="Consolas" w:cs="Consolas"/>
          <w:sz w:val="19"/>
          <w:szCs w:val="19"/>
        </w:rPr>
        <w:t>.next/cache</w:t>
      </w:r>
      <w:r>
        <w:rPr>
          <w:rFonts w:ascii="Calibri" w:hAnsi="Calibri" w:cs="Calibri"/>
        </w:rPr>
        <w:t xml:space="preserve"> reuse. Its PR #211 baseline is 2h 6m 13s; the first instrumented run is bounded measurement evidence, while two-run performance acceptance remains DEVX-01G authority.</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8660"/>
      </w:tblGrid>
      <w:tr>
        <w:trPr>
          <w:tblHeader/>
          <w:cantSplit/>
        </w:trPr>
        <w:tc>
          <w:tcPr>
            <w:tcW w:w="3000" w:type="dxa"/>
            <w:vAlign w:val="center"/>
            <w:shd w:val="clear" w:fill="E8EEF5"/>
          </w:tcPr>
          <w:p>
            <w:pPr>
              <w:pStyle w:val="TableHeader"/>
              <w:jc w:val="center"/>
              <w:widowControl/>
            </w:pPr>
            <w:r>
              <w:rPr>
                <w:rFonts w:ascii="Calibri" w:hAnsi="Calibri" w:cs="Calibri"/>
              </w:rPr>
              <w:t>Order</w:t>
            </w:r>
          </w:p>
        </w:tc>
        <w:tc>
          <w:tcPr>
            <w:tcW w:w="1300" w:type="dxa"/>
            <w:vAlign w:val="center"/>
            <w:shd w:val="clear" w:fill="E8EEF5"/>
          </w:tcPr>
          <w:p>
            <w:pPr>
              <w:pStyle w:val="TableHeader"/>
              <w:jc w:val="center"/>
              <w:widowControl/>
            </w:pPr>
            <w:r>
              <w:rPr>
                <w:rFonts w:ascii="Calibri" w:hAnsi="Calibri" w:cs="Calibri"/>
              </w:rPr>
              <w:t>Child task</w:t>
            </w:r>
          </w:p>
        </w:tc>
        <w:tc>
          <w:tcPr>
            <w:tcW w:w="8660" w:type="dxa"/>
            <w:vAlign w:val="center"/>
            <w:shd w:val="clear" w:fill="E8EEF5"/>
          </w:tcPr>
          <w:p>
            <w:pPr>
              <w:pStyle w:val="TableHeader"/>
              <w:jc w:val="center"/>
              <w:widowControl/>
            </w:pPr>
            <w:r>
              <w:rPr>
                <w:rFonts w:ascii="Calibri" w:hAnsi="Calibri" w:cs="Calibri"/>
              </w:rPr>
              <w:t>Merge eligibility</w:t>
            </w:r>
          </w:p>
        </w:tc>
      </w:tr>
      <w:tr>
        <w:trPr/>
        <w:tc>
          <w:tcPr>
            <w:tcW w:w="3000" w:type="dxa"/>
            <w:vAlign w:val="center"/>
          </w:tcPr>
          <w:p>
            <w:pPr>
              <w:pStyle w:val="TableText"/>
              <w:widowControl/>
            </w:pPr>
            <w:r>
              <w:rPr>
                <w:rFonts w:ascii="Calibri" w:hAnsi="Calibri" w:cs="Calibri"/>
              </w:rPr>
              <w:t>1</w:t>
            </w:r>
          </w:p>
        </w:tc>
        <w:tc>
          <w:tcPr>
            <w:tcW w:w="1300" w:type="dxa"/>
            <w:vAlign w:val="center"/>
          </w:tcPr>
          <w:p>
            <w:pPr>
              <w:pStyle w:val="TableText"/>
              <w:widowControl/>
            </w:pPr>
            <w:r>
              <w:rPr>
                <w:rFonts w:ascii="Calibri" w:hAnsi="Calibri" w:cs="Calibri"/>
              </w:rPr>
              <w:t>P10B-19A-01 - Structural family identity, versions, lifecycle states and invariants</w:t>
            </w:r>
          </w:p>
        </w:tc>
        <w:tc>
          <w:tcPr>
            <w:tcW w:w="8660" w:type="dxa"/>
            <w:vAlign w:val="center"/>
          </w:tcPr>
          <w:p>
            <w:pPr>
              <w:pStyle w:val="TableText"/>
              <w:widowControl/>
            </w:pPr>
            <w:r>
              <w:rPr>
                <w:rFonts w:ascii="Calibri" w:hAnsi="Calibri" w:cs="Calibri"/>
              </w:rPr>
              <w:t>DEVX-01 closed</w:t>
            </w:r>
          </w:p>
        </w:tc>
      </w:tr>
      <w:tr>
        <w:trPr/>
        <w:tc>
          <w:tcPr>
            <w:tcW w:w="3000" w:type="dxa"/>
            <w:vAlign w:val="center"/>
          </w:tcPr>
          <w:p>
            <w:pPr>
              <w:pStyle w:val="TableText"/>
              <w:widowControl/>
            </w:pPr>
            <w:r>
              <w:rPr>
                <w:rFonts w:ascii="Calibri" w:hAnsi="Calibri" w:cs="Calibri"/>
              </w:rPr>
              <w:t>2</w:t>
            </w:r>
          </w:p>
        </w:tc>
        <w:tc>
          <w:tcPr>
            <w:tcW w:w="1300" w:type="dxa"/>
            <w:vAlign w:val="center"/>
          </w:tcPr>
          <w:p>
            <w:pPr>
              <w:pStyle w:val="TableText"/>
              <w:widowControl/>
            </w:pPr>
            <w:r>
              <w:rPr>
                <w:rFonts w:ascii="Calibri" w:hAnsi="Calibri" w:cs="Calibri"/>
              </w:rPr>
              <w:t>P10B-19A-02 - Cross-page structural relationship contract</w:t>
            </w:r>
          </w:p>
        </w:tc>
        <w:tc>
          <w:tcPr>
            <w:tcW w:w="8660" w:type="dxa"/>
            <w:vAlign w:val="center"/>
          </w:tcPr>
          <w:p>
            <w:pPr>
              <w:pStyle w:val="TableText"/>
              <w:widowControl/>
            </w:pPr>
            <w:r>
              <w:rPr>
                <w:rFonts w:ascii="Calibri" w:hAnsi="Calibri" w:cs="Calibri"/>
              </w:rPr>
              <w:t>A-01 merged</w:t>
            </w:r>
          </w:p>
        </w:tc>
      </w:tr>
      <w:tr>
        <w:trPr/>
        <w:tc>
          <w:tcPr>
            <w:tcW w:w="3000" w:type="dxa"/>
            <w:vAlign w:val="center"/>
          </w:tcPr>
          <w:p>
            <w:pPr>
              <w:pStyle w:val="TableText"/>
              <w:widowControl/>
            </w:pPr>
            <w:r>
              <w:rPr>
                <w:rFonts w:ascii="Calibri" w:hAnsi="Calibri" w:cs="Calibri"/>
              </w:rPr>
              <w:t>3</w:t>
            </w:r>
          </w:p>
        </w:tc>
        <w:tc>
          <w:tcPr>
            <w:tcW w:w="1300" w:type="dxa"/>
            <w:vAlign w:val="center"/>
          </w:tcPr>
          <w:p>
            <w:pPr>
              <w:pStyle w:val="TableText"/>
              <w:widowControl/>
            </w:pPr>
            <w:r>
              <w:rPr>
                <w:rFonts w:ascii="Calibri" w:hAnsi="Calibri" w:cs="Calibri"/>
              </w:rPr>
              <w:t>P10B-19A-03 - Required page structures, region graph and PageBlueprint v2 dispatch</w:t>
            </w:r>
          </w:p>
        </w:tc>
        <w:tc>
          <w:tcPr>
            <w:tcW w:w="8660" w:type="dxa"/>
            <w:vAlign w:val="center"/>
          </w:tcPr>
          <w:p>
            <w:pPr>
              <w:pStyle w:val="TableText"/>
              <w:widowControl/>
            </w:pPr>
            <w:r>
              <w:rPr>
                <w:rFonts w:ascii="Calibri" w:hAnsi="Calibri" w:cs="Calibri"/>
              </w:rPr>
              <w:t>A-02 merged</w:t>
            </w:r>
          </w:p>
        </w:tc>
      </w:tr>
      <w:tr>
        <w:trPr/>
        <w:tc>
          <w:tcPr>
            <w:tcW w:w="3000" w:type="dxa"/>
            <w:vAlign w:val="center"/>
          </w:tcPr>
          <w:p>
            <w:pPr>
              <w:pStyle w:val="TableText"/>
              <w:widowControl/>
            </w:pPr>
            <w:r>
              <w:rPr>
                <w:rFonts w:ascii="Calibri" w:hAnsi="Calibri" w:cs="Calibri"/>
              </w:rPr>
              <w:t>4</w:t>
            </w:r>
          </w:p>
        </w:tc>
        <w:tc>
          <w:tcPr>
            <w:tcW w:w="1300" w:type="dxa"/>
            <w:vAlign w:val="center"/>
          </w:tcPr>
          <w:p>
            <w:pPr>
              <w:pStyle w:val="TableText"/>
              <w:widowControl/>
            </w:pPr>
            <w:r>
              <w:rPr>
                <w:rFonts w:ascii="Calibri" w:hAnsi="Calibri" w:cs="Calibri"/>
              </w:rPr>
              <w:t>P10B-19A-04 - Asset-role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5</w:t>
            </w:r>
          </w:p>
        </w:tc>
        <w:tc>
          <w:tcPr>
            <w:tcW w:w="1300" w:type="dxa"/>
            <w:vAlign w:val="center"/>
          </w:tcPr>
          <w:p>
            <w:pPr>
              <w:pStyle w:val="TableText"/>
              <w:widowControl/>
            </w:pPr>
            <w:r>
              <w:rPr>
                <w:rFonts w:ascii="Calibri" w:hAnsi="Calibri" w:cs="Calibri"/>
              </w:rPr>
              <w:t>P10B-19A-05 - Responsive-rule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6</w:t>
            </w:r>
          </w:p>
        </w:tc>
        <w:tc>
          <w:tcPr>
            <w:tcW w:w="1300" w:type="dxa"/>
            <w:vAlign w:val="center"/>
          </w:tcPr>
          <w:p>
            <w:pPr>
              <w:pStyle w:val="TableText"/>
              <w:widowControl/>
            </w:pPr>
            <w:r>
              <w:rPr>
                <w:rFonts w:ascii="Calibri" w:hAnsi="Calibri" w:cs="Calibri"/>
              </w:rPr>
              <w:t>P10B-19A-06 - Omission, substitution and fallback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7</w:t>
            </w:r>
          </w:p>
        </w:tc>
        <w:tc>
          <w:tcPr>
            <w:tcW w:w="1300" w:type="dxa"/>
            <w:vAlign w:val="center"/>
          </w:tcPr>
          <w:p>
            <w:pPr>
              <w:pStyle w:val="TableText"/>
              <w:widowControl/>
            </w:pPr>
            <w:r>
              <w:rPr>
                <w:rFonts w:ascii="Calibri" w:hAnsi="Calibri" w:cs="Calibri"/>
              </w:rPr>
              <w:t>P10B-19A-07 - Inactive family registry and candidate fingerprints</w:t>
            </w:r>
          </w:p>
        </w:tc>
        <w:tc>
          <w:tcPr>
            <w:tcW w:w="8660" w:type="dxa"/>
            <w:vAlign w:val="center"/>
          </w:tcPr>
          <w:p>
            <w:pPr>
              <w:pStyle w:val="TableText"/>
              <w:widowControl/>
            </w:pPr>
            <w:r>
              <w:rPr>
                <w:rFonts w:ascii="Calibri" w:hAnsi="Calibri" w:cs="Calibri"/>
              </w:rPr>
              <w:t>A-01 through A-06 authority merged</w:t>
            </w:r>
          </w:p>
        </w:tc>
      </w:tr>
      <w:tr>
        <w:trPr/>
        <w:tc>
          <w:tcPr>
            <w:tcW w:w="3000" w:type="dxa"/>
            <w:vAlign w:val="center"/>
          </w:tcPr>
          <w:p>
            <w:pPr>
              <w:pStyle w:val="TableText"/>
              <w:widowControl/>
            </w:pPr>
            <w:r>
              <w:rPr>
                <w:rFonts w:ascii="Calibri" w:hAnsi="Calibri" w:cs="Calibri"/>
              </w:rPr>
              <w:t>8</w:t>
            </w:r>
          </w:p>
        </w:tc>
        <w:tc>
          <w:tcPr>
            <w:tcW w:w="1300" w:type="dxa"/>
            <w:vAlign w:val="center"/>
          </w:tcPr>
          <w:p>
            <w:pPr>
              <w:pStyle w:val="TableText"/>
              <w:widowControl/>
            </w:pPr>
            <w:r>
              <w:rPr>
                <w:rFonts w:ascii="Calibri" w:hAnsi="Calibri" w:cs="Calibri"/>
              </w:rPr>
              <w:t>P10B-19A-08 - Compatibility, deterministic selection and normalized topology identity</w:t>
            </w:r>
          </w:p>
        </w:tc>
        <w:tc>
          <w:tcPr>
            <w:tcW w:w="8660" w:type="dxa"/>
            <w:vAlign w:val="center"/>
          </w:tcPr>
          <w:p>
            <w:pPr>
              <w:pStyle w:val="TableText"/>
              <w:widowControl/>
            </w:pPr>
            <w:r>
              <w:rPr>
                <w:rFonts w:ascii="Calibri" w:hAnsi="Calibri" w:cs="Calibri"/>
              </w:rPr>
              <w:t>A-07 merged</w:t>
            </w:r>
          </w:p>
        </w:tc>
      </w:tr>
      <w:tr>
        <w:trPr/>
        <w:tc>
          <w:tcPr>
            <w:tcW w:w="3000" w:type="dxa"/>
            <w:vAlign w:val="center"/>
          </w:tcPr>
          <w:p>
            <w:pPr>
              <w:pStyle w:val="TableText"/>
              <w:widowControl/>
            </w:pPr>
            <w:r>
              <w:rPr>
                <w:rFonts w:ascii="Calibri" w:hAnsi="Calibri" w:cs="Calibri"/>
              </w:rPr>
              <w:t>9</w:t>
            </w:r>
          </w:p>
        </w:tc>
        <w:tc>
          <w:tcPr>
            <w:tcW w:w="1300" w:type="dxa"/>
            <w:vAlign w:val="center"/>
          </w:tcPr>
          <w:p>
            <w:pPr>
              <w:pStyle w:val="TableText"/>
              <w:widowControl/>
            </w:pPr>
            <w:r>
              <w:rPr>
                <w:rFonts w:ascii="Calibri" w:hAnsi="Calibri" w:cs="Calibri"/>
              </w:rPr>
              <w:t>P10B-19A-09 - v1 read/render/migration/publication compatibility</w:t>
            </w:r>
          </w:p>
        </w:tc>
        <w:tc>
          <w:tcPr>
            <w:tcW w:w="8660" w:type="dxa"/>
            <w:vAlign w:val="center"/>
          </w:tcPr>
          <w:p>
            <w:pPr>
              <w:pStyle w:val="TableText"/>
              <w:widowControl/>
            </w:pPr>
            <w:r>
              <w:rPr>
                <w:rFonts w:ascii="Calibri" w:hAnsi="Calibri" w:cs="Calibri"/>
              </w:rPr>
              <w:t>A-08 merged</w:t>
            </w:r>
          </w:p>
        </w:tc>
      </w:tr>
      <w:tr>
        <w:trPr/>
        <w:tc>
          <w:tcPr>
            <w:tcW w:w="3000" w:type="dxa"/>
            <w:vAlign w:val="center"/>
          </w:tcPr>
          <w:p>
            <w:pPr>
              <w:pStyle w:val="TableText"/>
              <w:widowControl/>
            </w:pPr>
            <w:r>
              <w:rPr>
                <w:rFonts w:ascii="Calibri" w:hAnsi="Calibri" w:cs="Calibri"/>
              </w:rPr>
              <w:t>10</w:t>
            </w:r>
          </w:p>
        </w:tc>
        <w:tc>
          <w:tcPr>
            <w:tcW w:w="1300" w:type="dxa"/>
            <w:vAlign w:val="center"/>
          </w:tcPr>
          <w:p>
            <w:pPr>
              <w:pStyle w:val="TableText"/>
              <w:widowControl/>
            </w:pPr>
            <w:r>
              <w:rPr>
                <w:rFonts w:ascii="Calibri" w:hAnsi="Calibri" w:cs="Calibri"/>
              </w:rPr>
              <w:t>P10B-19A-10 - Retained matrices, integration and P10B-19A closure</w:t>
            </w:r>
          </w:p>
        </w:tc>
        <w:tc>
          <w:tcPr>
            <w:tcW w:w="8660" w:type="dxa"/>
            <w:vAlign w:val="center"/>
          </w:tcPr>
          <w:p>
            <w:pPr>
              <w:pStyle w:val="TableText"/>
              <w:widowControl/>
            </w:pPr>
            <w:r>
              <w:rPr>
                <w:rFonts w:ascii="Calibri" w:hAnsi="Calibri" w:cs="Calibri"/>
              </w:rPr>
              <w:t>A-01 through A-09 merged</w:t>
            </w:r>
          </w:p>
        </w:tc>
      </w:tr>
    </w:tbl>
    <w:p>
      <w:pPr>
        <w:pStyle w:val="Normal"/>
        <w:widowControl/>
      </w:pP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and P10B-19A is </w:t>
      </w:r>
      <w:r>
        <w:rPr>
          <w:rFonts w:ascii="Calibri" w:hAnsi="Calibri" w:cs="Calibri"/>
          <w:b/>
          <w:bCs/>
        </w:rPr>
        <w:t>Planned / exact next</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 is the exact next product task, followed by planned P10B-19B through P10B-19J.</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 is the exact next task, followed by planned P10B-19B through P10B-19J.</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and P10B-18B-04 are Baseline; parent P10B-18B is Partial and P10B-18C remains Planned.</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w:t>
      </w:r>
      <w:r>
        <w:rPr>
          <w:rFonts w:ascii="Consolas" w:hAnsi="Consolas" w:cs="Consolas"/>
          <w:sz w:val="19"/>
          <w:szCs w:val="19"/>
        </w:rPr>
        <w:t>P10B-19A - Structural Storefront Family Contract</w:t>
      </w:r>
      <w:r>
        <w:rPr>
          <w:rFonts w:ascii="Calibri" w:hAnsi="Calibri" w:cs="Calibri"/>
        </w:rPr>
        <w:t xml:space="preserve"> is the exact next task;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and P10B-19A is the exact next task.</w:t>
      </w:r>
    </w:p>
    <w:p>
      <w:pPr>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Structural Storefront Family and PageBlueprint v2 contracts, registry, topology identity, deterministic selection, and v1 compatibility</w:t>
            </w:r>
          </w:p>
        </w:tc>
      </w:tr>
      <w:tr>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parent plan contains 73 bounded child tasks. Each meaningful visual family requires a focused product-owner screenshot checkpoint before merge. P10B remains Partial.</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6396fcb4f4a5e02cdfba7244a0f62f99249613d62bebf3c37b3bd0573cee25f4</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