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19 August 2026, accepted P10B-18B-04 PDP quality upgrade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19 August 2026, accepted P10B-18B-04 PDP quality upgrade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Bounded merchant-neutral cross-page relationship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is Baseline, P10B-19A is Partial, and P10B-19A-02 is the exact next implementation task.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8660"/>
      </w:tblGrid>
      <w:tr>
        <w:trPr>
          <w:tblHeader/>
          <w:cantSplit/>
        </w:trPr>
        <w:tc>
          <w:tcPr>
            <w:tcW w:w="3000" w:type="dxa"/>
            <w:vAlign w:val="center"/>
            <w:shd w:val="clear" w:fill="E8EEF5"/>
          </w:tcPr>
          <w:p>
            <w:pPr>
              <w:pStyle w:val="TableHeader"/>
              <w:jc w:val="center"/>
              <w:widowControl/>
            </w:pPr>
            <w:r>
              <w:rPr>
                <w:rFonts w:ascii="Calibri" w:hAnsi="Calibri" w:cs="Calibri"/>
              </w:rPr>
              <w:t>Order</w:t>
            </w:r>
          </w:p>
        </w:tc>
        <w:tc>
          <w:tcPr>
            <w:tcW w:w="1300" w:type="dxa"/>
            <w:vAlign w:val="center"/>
            <w:shd w:val="clear" w:fill="E8EEF5"/>
          </w:tcPr>
          <w:p>
            <w:pPr>
              <w:pStyle w:val="TableHeader"/>
              <w:jc w:val="center"/>
              <w:widowControl/>
            </w:pPr>
            <w:r>
              <w:rPr>
                <w:rFonts w:ascii="Calibri" w:hAnsi="Calibri" w:cs="Calibri"/>
              </w:rPr>
              <w:t>Child task</w:t>
            </w:r>
          </w:p>
        </w:tc>
        <w:tc>
          <w:tcPr>
            <w:tcW w:w="8660" w:type="dxa"/>
            <w:vAlign w:val="center"/>
            <w:shd w:val="clear" w:fill="E8EEF5"/>
          </w:tcPr>
          <w:p>
            <w:pPr>
              <w:pStyle w:val="TableHeader"/>
              <w:jc w:val="center"/>
              <w:widowControl/>
            </w:pPr>
            <w:r>
              <w:rPr>
                <w:rFonts w:ascii="Calibri" w:hAnsi="Calibri" w:cs="Calibri"/>
              </w:rPr>
              <w:t>Merge eligibility</w:t>
            </w:r>
          </w:p>
        </w:tc>
      </w:tr>
      <w:tr>
        <w:trPr/>
        <w:tc>
          <w:tcPr>
            <w:tcW w:w="3000" w:type="dxa"/>
            <w:vAlign w:val="center"/>
          </w:tcPr>
          <w:p>
            <w:pPr>
              <w:pStyle w:val="TableText"/>
              <w:widowControl/>
            </w:pPr>
            <w:r>
              <w:rPr>
                <w:rFonts w:ascii="Calibri" w:hAnsi="Calibri" w:cs="Calibri"/>
              </w:rPr>
              <w:t>1</w:t>
            </w:r>
          </w:p>
        </w:tc>
        <w:tc>
          <w:tcPr>
            <w:tcW w:w="1300" w:type="dxa"/>
            <w:vAlign w:val="center"/>
          </w:tcPr>
          <w:p>
            <w:pPr>
              <w:pStyle w:val="TableText"/>
              <w:widowControl/>
            </w:pPr>
            <w:r>
              <w:rPr>
                <w:rFonts w:ascii="Calibri" w:hAnsi="Calibri" w:cs="Calibri"/>
              </w:rPr>
              <w:t>P10B-19A-01 - Structural family identity, versions, lifecycle states and invariants</w:t>
            </w:r>
          </w:p>
        </w:tc>
        <w:tc>
          <w:tcPr>
            <w:tcW w:w="8660" w:type="dxa"/>
            <w:vAlign w:val="center"/>
          </w:tcPr>
          <w:p>
            <w:pPr>
              <w:pStyle w:val="TableText"/>
              <w:widowControl/>
            </w:pPr>
            <w:r>
              <w:rPr>
                <w:rFonts w:ascii="Calibri" w:hAnsi="Calibri" w:cs="Calibri"/>
              </w:rPr>
              <w:t>DEVX-01 closed</w:t>
            </w:r>
          </w:p>
        </w:tc>
      </w:tr>
      <w:tr>
        <w:trPr/>
        <w:tc>
          <w:tcPr>
            <w:tcW w:w="3000" w:type="dxa"/>
            <w:vAlign w:val="center"/>
          </w:tcPr>
          <w:p>
            <w:pPr>
              <w:pStyle w:val="TableText"/>
              <w:widowControl/>
            </w:pPr>
            <w:r>
              <w:rPr>
                <w:rFonts w:ascii="Calibri" w:hAnsi="Calibri" w:cs="Calibri"/>
              </w:rPr>
              <w:t>2</w:t>
            </w:r>
          </w:p>
        </w:tc>
        <w:tc>
          <w:tcPr>
            <w:tcW w:w="1300" w:type="dxa"/>
            <w:vAlign w:val="center"/>
          </w:tcPr>
          <w:p>
            <w:pPr>
              <w:pStyle w:val="TableText"/>
              <w:widowControl/>
            </w:pPr>
            <w:r>
              <w:rPr>
                <w:rFonts w:ascii="Calibri" w:hAnsi="Calibri" w:cs="Calibri"/>
              </w:rPr>
              <w:t>P10B-19A-02 - Cross-page structural relationship contract</w:t>
            </w:r>
          </w:p>
        </w:tc>
        <w:tc>
          <w:tcPr>
            <w:tcW w:w="8660" w:type="dxa"/>
            <w:vAlign w:val="center"/>
          </w:tcPr>
          <w:p>
            <w:pPr>
              <w:pStyle w:val="TableText"/>
              <w:widowControl/>
            </w:pPr>
            <w:r>
              <w:rPr>
                <w:rFonts w:ascii="Calibri" w:hAnsi="Calibri" w:cs="Calibri"/>
              </w:rPr>
              <w:t>A-01 merged</w:t>
            </w:r>
          </w:p>
        </w:tc>
      </w:tr>
      <w:tr>
        <w:trPr/>
        <w:tc>
          <w:tcPr>
            <w:tcW w:w="3000" w:type="dxa"/>
            <w:vAlign w:val="center"/>
          </w:tcPr>
          <w:p>
            <w:pPr>
              <w:pStyle w:val="TableText"/>
              <w:widowControl/>
            </w:pPr>
            <w:r>
              <w:rPr>
                <w:rFonts w:ascii="Calibri" w:hAnsi="Calibri" w:cs="Calibri"/>
              </w:rPr>
              <w:t>3</w:t>
            </w:r>
          </w:p>
        </w:tc>
        <w:tc>
          <w:tcPr>
            <w:tcW w:w="1300" w:type="dxa"/>
            <w:vAlign w:val="center"/>
          </w:tcPr>
          <w:p>
            <w:pPr>
              <w:pStyle w:val="TableText"/>
              <w:widowControl/>
            </w:pPr>
            <w:r>
              <w:rPr>
                <w:rFonts w:ascii="Calibri" w:hAnsi="Calibri" w:cs="Calibri"/>
              </w:rPr>
              <w:t>P10B-19A-03 - Required page structures, region graph and PageBlueprint v2 dispatch</w:t>
            </w:r>
          </w:p>
        </w:tc>
        <w:tc>
          <w:tcPr>
            <w:tcW w:w="8660" w:type="dxa"/>
            <w:vAlign w:val="center"/>
          </w:tcPr>
          <w:p>
            <w:pPr>
              <w:pStyle w:val="TableText"/>
              <w:widowControl/>
            </w:pPr>
            <w:r>
              <w:rPr>
                <w:rFonts w:ascii="Calibri" w:hAnsi="Calibri" w:cs="Calibri"/>
              </w:rPr>
              <w:t>A-02 merged</w:t>
            </w:r>
          </w:p>
        </w:tc>
      </w:tr>
      <w:tr>
        <w:trPr/>
        <w:tc>
          <w:tcPr>
            <w:tcW w:w="3000" w:type="dxa"/>
            <w:vAlign w:val="center"/>
          </w:tcPr>
          <w:p>
            <w:pPr>
              <w:pStyle w:val="TableText"/>
              <w:widowControl/>
            </w:pPr>
            <w:r>
              <w:rPr>
                <w:rFonts w:ascii="Calibri" w:hAnsi="Calibri" w:cs="Calibri"/>
              </w:rPr>
              <w:t>4</w:t>
            </w:r>
          </w:p>
        </w:tc>
        <w:tc>
          <w:tcPr>
            <w:tcW w:w="1300" w:type="dxa"/>
            <w:vAlign w:val="center"/>
          </w:tcPr>
          <w:p>
            <w:pPr>
              <w:pStyle w:val="TableText"/>
              <w:widowControl/>
            </w:pPr>
            <w:r>
              <w:rPr>
                <w:rFonts w:ascii="Calibri" w:hAnsi="Calibri" w:cs="Calibri"/>
              </w:rPr>
              <w:t>P10B-19A-04 - Asset-role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5</w:t>
            </w:r>
          </w:p>
        </w:tc>
        <w:tc>
          <w:tcPr>
            <w:tcW w:w="1300" w:type="dxa"/>
            <w:vAlign w:val="center"/>
          </w:tcPr>
          <w:p>
            <w:pPr>
              <w:pStyle w:val="TableText"/>
              <w:widowControl/>
            </w:pPr>
            <w:r>
              <w:rPr>
                <w:rFonts w:ascii="Calibri" w:hAnsi="Calibri" w:cs="Calibri"/>
              </w:rPr>
              <w:t>P10B-19A-05 - Responsive-rule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6</w:t>
            </w:r>
          </w:p>
        </w:tc>
        <w:tc>
          <w:tcPr>
            <w:tcW w:w="1300" w:type="dxa"/>
            <w:vAlign w:val="center"/>
          </w:tcPr>
          <w:p>
            <w:pPr>
              <w:pStyle w:val="TableText"/>
              <w:widowControl/>
            </w:pPr>
            <w:r>
              <w:rPr>
                <w:rFonts w:ascii="Calibri" w:hAnsi="Calibri" w:cs="Calibri"/>
              </w:rPr>
              <w:t>P10B-19A-06 - Omission, substitution and fallback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7</w:t>
            </w:r>
          </w:p>
        </w:tc>
        <w:tc>
          <w:tcPr>
            <w:tcW w:w="1300" w:type="dxa"/>
            <w:vAlign w:val="center"/>
          </w:tcPr>
          <w:p>
            <w:pPr>
              <w:pStyle w:val="TableText"/>
              <w:widowControl/>
            </w:pPr>
            <w:r>
              <w:rPr>
                <w:rFonts w:ascii="Calibri" w:hAnsi="Calibri" w:cs="Calibri"/>
              </w:rPr>
              <w:t>P10B-19A-07 - Inactive family registry and candidate fingerprints</w:t>
            </w:r>
          </w:p>
        </w:tc>
        <w:tc>
          <w:tcPr>
            <w:tcW w:w="8660" w:type="dxa"/>
            <w:vAlign w:val="center"/>
          </w:tcPr>
          <w:p>
            <w:pPr>
              <w:pStyle w:val="TableText"/>
              <w:widowControl/>
            </w:pPr>
            <w:r>
              <w:rPr>
                <w:rFonts w:ascii="Calibri" w:hAnsi="Calibri" w:cs="Calibri"/>
              </w:rPr>
              <w:t>A-01 through A-06 authority merged</w:t>
            </w:r>
          </w:p>
        </w:tc>
      </w:tr>
      <w:tr>
        <w:trPr/>
        <w:tc>
          <w:tcPr>
            <w:tcW w:w="3000" w:type="dxa"/>
            <w:vAlign w:val="center"/>
          </w:tcPr>
          <w:p>
            <w:pPr>
              <w:pStyle w:val="TableText"/>
              <w:widowControl/>
            </w:pPr>
            <w:r>
              <w:rPr>
                <w:rFonts w:ascii="Calibri" w:hAnsi="Calibri" w:cs="Calibri"/>
              </w:rPr>
              <w:t>8</w:t>
            </w:r>
          </w:p>
        </w:tc>
        <w:tc>
          <w:tcPr>
            <w:tcW w:w="1300" w:type="dxa"/>
            <w:vAlign w:val="center"/>
          </w:tcPr>
          <w:p>
            <w:pPr>
              <w:pStyle w:val="TableText"/>
              <w:widowControl/>
            </w:pPr>
            <w:r>
              <w:rPr>
                <w:rFonts w:ascii="Calibri" w:hAnsi="Calibri" w:cs="Calibri"/>
              </w:rPr>
              <w:t>P10B-19A-08 - Compatibility, deterministic selection and normalized topology identity</w:t>
            </w:r>
          </w:p>
        </w:tc>
        <w:tc>
          <w:tcPr>
            <w:tcW w:w="8660" w:type="dxa"/>
            <w:vAlign w:val="center"/>
          </w:tcPr>
          <w:p>
            <w:pPr>
              <w:pStyle w:val="TableText"/>
              <w:widowControl/>
            </w:pPr>
            <w:r>
              <w:rPr>
                <w:rFonts w:ascii="Calibri" w:hAnsi="Calibri" w:cs="Calibri"/>
              </w:rPr>
              <w:t>A-07 merged</w:t>
            </w:r>
          </w:p>
        </w:tc>
      </w:tr>
      <w:tr>
        <w:trPr/>
        <w:tc>
          <w:tcPr>
            <w:tcW w:w="3000" w:type="dxa"/>
            <w:vAlign w:val="center"/>
          </w:tcPr>
          <w:p>
            <w:pPr>
              <w:pStyle w:val="TableText"/>
              <w:widowControl/>
            </w:pPr>
            <w:r>
              <w:rPr>
                <w:rFonts w:ascii="Calibri" w:hAnsi="Calibri" w:cs="Calibri"/>
              </w:rPr>
              <w:t>9</w:t>
            </w:r>
          </w:p>
        </w:tc>
        <w:tc>
          <w:tcPr>
            <w:tcW w:w="1300" w:type="dxa"/>
            <w:vAlign w:val="center"/>
          </w:tcPr>
          <w:p>
            <w:pPr>
              <w:pStyle w:val="TableText"/>
              <w:widowControl/>
            </w:pPr>
            <w:r>
              <w:rPr>
                <w:rFonts w:ascii="Calibri" w:hAnsi="Calibri" w:cs="Calibri"/>
              </w:rPr>
              <w:t>P10B-19A-09 - v1 read/render/migration/publication compatibility</w:t>
            </w:r>
          </w:p>
        </w:tc>
        <w:tc>
          <w:tcPr>
            <w:tcW w:w="8660" w:type="dxa"/>
            <w:vAlign w:val="center"/>
          </w:tcPr>
          <w:p>
            <w:pPr>
              <w:pStyle w:val="TableText"/>
              <w:widowControl/>
            </w:pPr>
            <w:r>
              <w:rPr>
                <w:rFonts w:ascii="Calibri" w:hAnsi="Calibri" w:cs="Calibri"/>
              </w:rPr>
              <w:t>A-08 merged</w:t>
            </w:r>
          </w:p>
        </w:tc>
      </w:tr>
      <w:tr>
        <w:trPr/>
        <w:tc>
          <w:tcPr>
            <w:tcW w:w="3000" w:type="dxa"/>
            <w:vAlign w:val="center"/>
          </w:tcPr>
          <w:p>
            <w:pPr>
              <w:pStyle w:val="TableText"/>
              <w:widowControl/>
            </w:pPr>
            <w:r>
              <w:rPr>
                <w:rFonts w:ascii="Calibri" w:hAnsi="Calibri" w:cs="Calibri"/>
              </w:rPr>
              <w:t>10</w:t>
            </w:r>
          </w:p>
        </w:tc>
        <w:tc>
          <w:tcPr>
            <w:tcW w:w="1300" w:type="dxa"/>
            <w:vAlign w:val="center"/>
          </w:tcPr>
          <w:p>
            <w:pPr>
              <w:pStyle w:val="TableText"/>
              <w:widowControl/>
            </w:pPr>
            <w:r>
              <w:rPr>
                <w:rFonts w:ascii="Calibri" w:hAnsi="Calibri" w:cs="Calibri"/>
              </w:rPr>
              <w:t>P10B-19A-10 - Retained matrices, integration and P10B-19A closure</w:t>
            </w:r>
          </w:p>
        </w:tc>
        <w:tc>
          <w:tcPr>
            <w:tcW w:w="8660" w:type="dxa"/>
            <w:vAlign w:val="center"/>
          </w:tcPr>
          <w:p>
            <w:pPr>
              <w:pStyle w:val="TableText"/>
              <w:widowControl/>
            </w:pPr>
            <w:r>
              <w:rPr>
                <w:rFonts w:ascii="Calibri" w:hAnsi="Calibri" w:cs="Calibri"/>
              </w:rPr>
              <w:t>A-01 through A-09 merged</w:t>
            </w:r>
          </w:p>
        </w:tc>
      </w:tr>
    </w:tbl>
    <w:p>
      <w:pPr>
        <w:pStyle w:val="Normal"/>
        <w:widowControl/>
      </w:pPr>
    </w:p>
    <w:p>
      <w:pPr>
        <w:pStyle w:val="Normal"/>
        <w:widowControl/>
      </w:pPr>
      <w:r>
        <w:rPr>
          <w:rFonts w:ascii="Calibri" w:hAnsi="Calibri" w:cs="Calibri"/>
        </w:rPr>
        <w:t xml:space="preserve">P10B-19A-01 is </w:t>
      </w:r>
      <w:r>
        <w:rPr>
          <w:rFonts w:ascii="Calibri" w:hAnsi="Calibri" w:cs="Calibri"/>
          <w:b/>
          <w:bCs/>
        </w:rPr>
        <w:t>Baseline</w:t>
      </w:r>
      <w:r>
        <w:rPr>
          <w:rFonts w:ascii="Calibri" w:hAnsi="Calibri" w:cs="Calibri"/>
        </w:rPr>
        <w:t xml:space="preserve">, and parent P10B-19A is </w:t>
      </w:r>
      <w:r>
        <w:rPr>
          <w:rFonts w:ascii="Calibri" w:hAnsi="Calibri" w:cs="Calibri"/>
          <w:b/>
          <w:bCs/>
        </w:rPr>
        <w:t>Partial</w:t>
      </w:r>
      <w:r>
        <w:rPr>
          <w:rFonts w:ascii="Calibri" w:hAnsi="Calibri" w:cs="Calibri"/>
        </w:rPr>
        <w:t xml:space="preserve">. P10B-19A-02 - Cross-Page Structural Relationship Contract is the exact next implementation task.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No registry, fingerprint, selection, PageBlueprint v2, rendering, or current-generation wiring exists yet.</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and P10B-19A is </w:t>
      </w:r>
      <w:r>
        <w:rPr>
          <w:rFonts w:ascii="Calibri" w:hAnsi="Calibri" w:cs="Calibri"/>
          <w:b/>
          <w:bCs/>
        </w:rPr>
        <w:t>Partial</w:t>
      </w:r>
      <w:r>
        <w:rPr>
          <w:rFonts w:ascii="Calibri" w:hAnsi="Calibri" w:cs="Calibri"/>
        </w:rPr>
        <w:t xml:space="preserve">; P10B-19A-01 is </w:t>
      </w:r>
      <w:r>
        <w:rPr>
          <w:rFonts w:ascii="Calibri" w:hAnsi="Calibri" w:cs="Calibri"/>
          <w:b/>
          <w:bCs/>
        </w:rPr>
        <w:t>Baseline</w:t>
      </w:r>
      <w:r>
        <w:rPr>
          <w:rFonts w:ascii="Calibri" w:hAnsi="Calibri" w:cs="Calibri"/>
        </w:rPr>
        <w:t xml:space="preserve">, and P10B-19A-02 is </w:t>
      </w:r>
      <w:r>
        <w:rPr>
          <w:rFonts w:ascii="Calibri" w:hAnsi="Calibri" w:cs="Calibri"/>
          <w:b/>
          <w:bCs/>
        </w:rPr>
        <w:t>Planned / exact next</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 is Partial; P10B-19A-02 is the exact next product task, followed by planned P10B-19B through P10B-19J.</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 is the exact next task, followed by planned P10B-19B through P10B-19J.</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w:t>
      </w:r>
      <w:r>
        <w:rPr>
          <w:rFonts w:ascii="Consolas" w:hAnsi="Consolas" w:cs="Consolas"/>
          <w:sz w:val="19"/>
          <w:szCs w:val="19"/>
        </w:rPr>
        <w:t>P10B-19A - Structural Storefront Family Contract</w:t>
      </w:r>
      <w:r>
        <w:rPr>
          <w:rFonts w:ascii="Calibri" w:hAnsi="Calibri" w:cs="Calibri"/>
        </w:rPr>
        <w:t xml:space="preserve"> is the exact next task;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and P10B-19A is Partial; P10B-19A-02 is the exact next task.</w:t>
      </w:r>
    </w:p>
    <w:p>
      <w:pPr>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tc>
          <w:tcPr>
            <w:tcW w:w="1000" w:type="dxa"/>
            <w:vAlign w:val="center"/>
          </w:tcPr>
          <w:p>
            <w:pPr>
              <w:pStyle w:val="TableText"/>
              <w:jc w:val="center"/>
              <w:widowControl/>
            </w:pPr>
            <w:r>
              <w:rPr>
                <w:rFonts w:ascii="Calibri" w:hAnsi="Calibri" w:cs="Calibri"/>
              </w:rPr>
              <w:t>Current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Partial</w:t>
            </w:r>
          </w:p>
        </w:tc>
        <w:tc>
          <w:tcPr>
            <w:tcW w:w="8460" w:type="dxa"/>
            <w:vAlign w:val="center"/>
          </w:tcPr>
          <w:p>
            <w:pPr>
              <w:pStyle w:val="TableText"/>
              <w:widowControl/>
            </w:pPr>
            <w:r>
              <w:rPr>
                <w:rFonts w:ascii="Calibri" w:hAnsi="Calibri" w:cs="Calibri"/>
              </w:rPr>
              <w:t>Structural Storefront Family and PageBlueprint v2 contracts, registry, topology identity, deterministic selection, and v1 compatibility</w:t>
            </w:r>
          </w:p>
        </w:tc>
      </w:tr>
      <w:tr>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Cross-page Structural Storefront Family relationship contract</w:t>
            </w:r>
          </w:p>
        </w:tc>
      </w:tr>
      <w:tr>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parent plan contains 73 bounded child tasks.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 = Partial</w:t>
      </w:r>
    </w:p>
    <w:p>
      <w:pPr>
        <w:pStyle w:val="Normal"/>
        <w:numPr>
          <w:ilvl w:val="0"/>
          <w:numId w:val="1"/>
        </w:numPr>
        <w:widowControl/>
      </w:pPr>
      <w:r>
        <w:rPr>
          <w:rFonts w:ascii="Calibri" w:hAnsi="Calibri" w:cs="Calibri"/>
        </w:rPr>
        <w:t>P10B-19A-02 = exact next implementation task</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10312f11439ff375106b55979640673570118659d3f1d29332121085516e2f25</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