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AR-00B</w:t>
            </w:r>
          </w:p>
        </w:tc>
        <w:tc>
          <w:tcPr>
            <w:tcW w:w="1500" w:type="dxa"/>
            <w:vAlign w:val="center"/>
          </w:tcPr>
          <w:p>
            <w:pPr>
              <w:pStyle w:val="TableText"/>
              <w:jc w:val="center"/>
              <w:widowControl/>
            </w:pPr>
            <w:r>
              <w:rPr>
                <w:rFonts w:ascii="Calibri" w:hAnsi="Calibri" w:cs="Calibri"/>
              </w:rPr>
              <w:t>29 September 2026</w:t>
            </w:r>
          </w:p>
        </w:tc>
        <w:tc>
          <w:tcPr>
            <w:tcW w:w="2000" w:type="dxa"/>
            <w:vAlign w:val="center"/>
          </w:tcPr>
          <w:p>
            <w:pPr>
              <w:pStyle w:val="TableText"/>
              <w:widowControl/>
            </w:pPr>
            <w:r>
              <w:rPr>
                <w:rFonts w:ascii="Calibri" w:hAnsi="Calibri" w:cs="Calibri"/>
              </w:rPr>
              <w:t>Owner-approved visual-feedback-led delivery amendment; effective on accepted merge</w:t>
            </w:r>
          </w:p>
        </w:tc>
        <w:tc>
          <w:tcPr>
            <w:tcW w:w="4860" w:type="dxa"/>
            <w:vAlign w:val="center"/>
          </w:tcPr>
          <w:p>
            <w:pPr>
              <w:pStyle w:val="TableText"/>
              <w:widowControl/>
            </w:pPr>
            <w:r>
              <w:rPr>
                <w:rFonts w:ascii="Calibri" w:hAnsi="Calibri" w:cs="Calibri"/>
              </w:rPr>
              <w:t>Amend delivery order through bounded early slices and real generated-store review while preserving every original AR/T requirement, canonical safety and separate visual/production gates; select AR-06D only.</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10.21A AR-00B visual-feedback-led delivery amendment</w:t>
      </w:r>
    </w:p>
    <w:p>
      <w:pPr>
        <w:pStyle w:val="Normal"/>
        <w:widowControl/>
      </w:pPr>
      <w:r>
        <w:rPr>
          <w:rFonts w:ascii="Calibri" w:hAnsi="Calibri" w:cs="Calibri"/>
        </w:rPr>
        <w:t>The incorporated AR-00 addendum permits an internal, bounded review loop through an actual provider intent, canonical compilation and isolated pending proposal, registered rendering, mechanical QA, and retained owner feedback. It retains StorefrontSnapshot, BrandSystem, PageBlueprint, registered components, protected Vesko commerce, proposal isolation, and explicit Accept/Save/Publish as the sole authorities. An inspectable genuine output, owner-accepted visual quality, and production readiness remain distinct.</w:t>
      </w:r>
    </w:p>
    <w:p>
      <w:pPr>
        <w:pStyle w:val="Normal"/>
        <w:widowControl/>
      </w:pPr>
      <w:r>
        <w:rPr>
          <w:rFonts w:ascii="Calibri" w:hAnsi="Calibri" w:cs="Calibri"/>
        </w:rPr>
        <w:t>AR-06D is the selected unstarted child for a guarded same-running-server-process and authorized-P04-request-context P10B-16P-04 run-to-cross-page review packet. It requires separate authorization for provider/model/calls/attempts/tokens/cost and a zero-call preflight. It may use the existing legacy/dynamic registered baseline, but does not prove composed dynamic rendering, normal tenant activation, publication, or AR-06 closure.</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AR-02M merged in PR #255 and BATCH-10 closeout is complete. AR-05B merged in PR #258 and BATCH-13 closeout is complete. AR-06A and AR-06B accepted merges are verified; accepted AR-06C delivery is verified; its historical verification record remains event evidence.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AR-02M is Baseline / closed. AR-02 is Baseline / closed;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Its accepted merge is e2addffc29f7719e23e9e7856ecf7c739924501f. AR-06C is Baseline / closed. Its accepted PR #261 head is af75994f2a4e1186b4429db6b93cb1bf51d2e048, merged as de0faeba0d40bd36ac83f25d533a3428f83501cc. AR-06 is Partial; rendering, editing and save/reload evidence is mapped in AR_06_RENDERING_ACCEPTANCE.md. History/lifecycle/publication integration, positive collection/search and PDP executable-commerce proof, and the shared collection/search context decision remain required before enablement.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BATCH-10 is complete. BATCH-11 is complete. BATCH-12 is complete. BATCH-13 is complete. BATCH-14 is complete. BATCH-15 is complete. BATCH-16 is complete after accepted AR-06C delivery and safe closeout. AR-00B is a policy amendment under review until its accepted merge. AR-06D is the exact selected next child, Planned and unstarted; it requires a separate launch. No successor implementation is authorized.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 xml:space="preserve">AR-05A specifies </w:t>
      </w:r>
      <w:r>
        <w:rPr>
          <w:rFonts w:ascii="Consolas" w:hAnsi="Consolas" w:cs="Consolas"/>
          <w:sz w:val="19"/>
          <w:szCs w:val="19"/>
        </w:rPr>
        <w:t>CompiledPageBlueprintCompositionV1</w:t>
      </w:r>
      <w:r>
        <w:rPr>
          <w:rFonts w:ascii="Calibri" w:hAnsi="Calibri" w:cs="Calibri"/>
        </w:rPr>
        <w:t xml:space="preserve"> at composition version </w:t>
      </w:r>
      <w:r>
        <w:rPr>
          <w:rFonts w:ascii="Consolas" w:hAnsi="Consolas" w:cs="Consolas"/>
          <w:sz w:val="19"/>
          <w:szCs w:val="19"/>
        </w:rPr>
        <w:t>1.0.0</w:t>
      </w:r>
      <w:r>
        <w:rPr>
          <w:rFonts w:ascii="Calibri" w:hAnsi="Calibri" w:cs="Calibri"/>
        </w:rPr>
        <w:t xml:space="preserve"> over the existing PageBlueprint v2 authority; </w:t>
      </w:r>
      <w:hyperlink r:id="rIdHyperlink36" w:history="1">
        <w:r>
          <w:rPr>
            <w:rFonts w:ascii="Calibri" w:hAnsi="Calibri" w:cs="Calibri"/>
            <w:color w:val="2E74B5"/>
            <w:u w:val="single"/>
          </w:rPr>
          <w:t>the design</w:t>
        </w:r>
      </w:hyperlink>
      <w:r>
        <w:rPr>
          <w:rFonts w:ascii="Calibri" w:hAnsi="Calibri" w:cs="Calibri"/>
        </w:rPr>
        <w:t xml:space="preserve"> defines exact owner/reference, realization and fingerprint fields. Accepted AR-05B attaches that same value with explicit snapshot-extension/dynamic-version dispatch; A changed no current snapshot reader/writer. Positive collection/search and PDP composition is an AR-06 executable-commerce obligation before dynamic enablement, distinct from A’s static positives and specific dynamic rejection evidence. The design decision remains:</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The AR-00B amendment below permits bounded feature slices before this full milestone when their own hard prerequisites are proven; AR-08 still closes the complete foundational evidence. Each slice retires only the obsolete path it demonstrably replaces.</w:t>
      </w:r>
    </w:p>
    <w:p>
      <w:pPr>
        <w:pStyle w:val="Heading1"/>
        <w:keepNext/>
        <w:widowControl/>
      </w:pPr>
      <w:r>
        <w:rPr>
          <w:rFonts w:ascii="Calibri" w:hAnsi="Calibri" w:cs="Calibri"/>
        </w:rPr>
        <w:t>18.1 AR-00B visual-feedback-led delivery amendment — 29 September 2026</w:t>
      </w:r>
    </w:p>
    <w:p>
      <w:pPr>
        <w:pStyle w:val="Normal"/>
        <w:widowControl/>
      </w:pPr>
      <w:r>
        <w:rPr>
          <w:rFonts w:ascii="Calibri" w:hAnsi="Calibri" w:cs="Calibri"/>
        </w:rPr>
        <w:t>Veskify advances through visible, reviewable, genuinely generated stores. Leo is the first internal evaluator and supplies early-pilot feedback. The loop is approved merchant inputs and assets → actual AI intent → the canonical compiler and isolated proposal → registered rendering → automated QA → Leo’s visual/product assessment → one bounded reusable correction → a comparable regenerated result.</w:t>
      </w:r>
    </w:p>
    <w:p>
      <w:pPr>
        <w:pStyle w:val="Normal"/>
        <w:widowControl/>
      </w:pPr>
      <w:r>
        <w:rPr>
          <w:rFonts w:ascii="Calibri" w:hAnsi="Calibri" w:cs="Calibri"/>
        </w:rPr>
        <w:t xml:space="preserve">This is not a throwaway demo, a reason to postpone safety, or a requirement to finish unrelated infrastructure before useful output. </w:t>
      </w:r>
      <w:r>
        <w:rPr>
          <w:rFonts w:ascii="Consolas" w:hAnsi="Consolas" w:cs="Consolas"/>
          <w:sz w:val="19"/>
          <w:szCs w:val="19"/>
        </w:rPr>
        <w:t>StorefrontSnapshot</w:t>
      </w:r>
      <w:r>
        <w:rPr>
          <w:rFonts w:ascii="Calibri" w:hAnsi="Calibri" w:cs="Calibri"/>
        </w:rPr>
        <w:t xml:space="preserve"> remains the sole editable aggregate; BrandSystem and versioned Design DNA own visual values; PageBlueprint owns executable composition; registered component definitions own capabilities; Puck remains transient; Vesko commerce remains read-only. Proposal isolation, version compatibility, stale checks, atomic failure, and explicit Accept, Save, and Publish boundaries remain mandatory.</w:t>
      </w:r>
    </w:p>
    <w:p>
      <w:pPr>
        <w:pStyle w:val="Normal"/>
        <w:widowControl/>
      </w:pPr>
      <w:r>
        <w:rPr>
          <w:rFonts w:ascii="Calibri" w:hAnsi="Calibri" w:cs="Calibri"/>
        </w:rPr>
        <w:t>A poor but genuinely generated result may establish an inspectable baseline. It is not commercial acceptance. A mock, hand-authored finished snapshot, undisclosed best-of-many selection, or manual cosmetic finishing must never be presented as live AI proof. Every review packet attributes AI choices, deterministic compilation, inherited registered behavior, and developer intervention. An inspectable genuine output, owner-accepted visual quality, and production readiness are separate outcomes. The target remains a coherent complete e-commerce site credible to a serious retailer, with jewellery/watches as the first reference vertical, one concept by default and two eventual complete families. Neither a polished homepage nor an early technical PASS activates a family.</w:t>
      </w:r>
    </w:p>
    <w:p>
      <w:pPr>
        <w:pStyle w:val="Normal"/>
        <w:widowControl/>
      </w:pPr>
      <w:r>
        <w:rPr>
          <w:rFonts w:ascii="Calibri" w:hAnsi="Calibri" w:cs="Calibri"/>
        </w:rPr>
        <w:t>AR-06D is the one selected, unstarted child: the genuine generated-storefront visual review loop. It reuses the production-disabled P10B-16P-04 raw Aurum fixture authority, canonical prompted handler/provider-to-intent/compiler/proposal chain, fingerprint-keyed in-memory candidate map, and existing home, collection, search, PDP, support, and utility preview routes. It must use a separately authorized bounded real-provider launch and the same running server process plus authorized P04 request context; it supplies a truthfully labelled legacy/dynamic-renderer baseline, never a claim of composed dynamic rendering, normal tenant activation, or AR-06 closure. Its small future envelope is the guarded run-to-cross-page capture/review bridge and evidence records, not another generator, renderer, registry, page tree, feedback service, or screenshot engine.</w:t>
      </w:r>
    </w:p>
    <w:p>
      <w:pPr>
        <w:pStyle w:val="Normal"/>
        <w:widowControl/>
      </w:pPr>
      <w:r>
        <w:rPr>
          <w:rFonts w:ascii="Calibri" w:hAnsi="Calibri" w:cs="Calibri"/>
        </w:rPr>
        <w:t>Before any such launch, use a zero-call preflight and obtain explicit owner authorization for provider/model, maximum calls/attempts/tokens/cost, credentials boundary, request identity, and capture retention. The review packet includes approved context, request/provider/intent/candidate/source identities, accepted or substituted intent, local viewing instructions, 375/768/1024/1440 EN/FI captures where supported, directly inspectable original images, compact sanitized boards, limitations, and Leo’s actual assessment.</w:t>
      </w:r>
    </w:p>
    <w:p>
      <w:pPr>
        <w:pStyle w:val="Normal"/>
        <w:widowControl/>
      </w:pPr>
      <w:r>
        <w:rPr>
          <w:rFonts w:ascii="Calibri" w:hAnsi="Calibri" w:cs="Calibri"/>
        </w:rPr>
        <w:t>Early review eligibility does not close parent work. AR-06 supplies the guarded static render/edit/save foundation; AR-07 supplies exact canonical assembly; AR-09–15 supply reusable visual and commerce capabilities; AR-18/19 supply provider/compiler and Studio progress; AR-21 supplies bounded capture/critique; AR-22 remains the engine-quality gate. AR-08 remains a required foundational completion gate, but it is not a blanket prerequisite for a separately safe internal review. AR-16/17 and AR-23–30 remain visible with their original acceptance, family, host, lifecycle, and production gates intact.</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 Id="rIdHyperlink36" Type="http://schemas.openxmlformats.org/officeDocument/2006/relationships/hyperlink" Target="./AR_05_COMPOSITION_DESIGN.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57cc701b0b18c61e8ba551a8959063d1d1b9864fa2c03e5caa0f573995845a89</vt:lpwstr>
  </property>
  <property fmtid="{D5CDD505-2E9C-101B-9397-08002B2CF9AE}" pid="4" name="ExporterVersion">
    <vt:lpwstr>1.1.2</vt:lpwstr>
  </property>
  <property fmtid="{D5CDD505-2E9C-101B-9397-08002B2CF9AE}" pid="5" name="DesignPreset">
    <vt:lpwstr>compact_reference_guide</vt:lpwstr>
  </property>
</Properties>
</file>