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AR-05B merged in PR #258 and BATCH-13 closeout is complete. The AR-06A candidate status projection takes effect only upon independently verified accepted merge; it does not assert that merge has already occurred.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AR-05A is Baseline / closed. AR-05B is Baseline / closed. AR-05 is Baseline / closed; original T01/T02 acceptance is mapped in AR_05_CANONICAL_ACCEPTANCE.md. AR-06A is Baseline / closed effective upon accepted merge. AR-06 is Partial; static rendering evidence is mapped in AR_06_RENDERING_ACCEPTANCE.md. Lossless Puck/save/history/publication integration, positive collection/search and PDP executable-commerce proof, and the shared collection/search context decision remain required before enablement.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BATCH-12 is complete. BATCH-13 is complete. BATCH-14 is complete upon AR-06A acceptance/merge and safe closeout. No next reset task is selected. No third task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 xml:space="preserve">AR-05A specifies </w:t>
      </w:r>
      <w:r>
        <w:rPr>
          <w:rFonts w:ascii="Consolas" w:hAnsi="Consolas" w:cs="Consolas"/>
          <w:sz w:val="19"/>
          <w:szCs w:val="19"/>
        </w:rPr>
        <w:t>CompiledPageBlueprintCompositionV1</w:t>
      </w:r>
      <w:r>
        <w:rPr>
          <w:rFonts w:ascii="Calibri" w:hAnsi="Calibri" w:cs="Calibri"/>
        </w:rPr>
        <w:t xml:space="preserve"> at composition version </w:t>
      </w:r>
      <w:r>
        <w:rPr>
          <w:rFonts w:ascii="Consolas" w:hAnsi="Consolas" w:cs="Consolas"/>
          <w:sz w:val="19"/>
          <w:szCs w:val="19"/>
        </w:rPr>
        <w:t>1.0.0</w:t>
      </w:r>
      <w:r>
        <w:rPr>
          <w:rFonts w:ascii="Calibri" w:hAnsi="Calibri" w:cs="Calibri"/>
        </w:rPr>
        <w:t xml:space="preserve"> over the existing PageBlueprint v2 authority; </w:t>
      </w:r>
      <w:hyperlink r:id="rIdHyperlink36" w:history="1">
        <w:r>
          <w:rPr>
            <w:rFonts w:ascii="Calibri" w:hAnsi="Calibri" w:cs="Calibri"/>
            <w:color w:val="2E74B5"/>
            <w:u w:val="single"/>
          </w:rPr>
          <w:t>the design</w:t>
        </w:r>
      </w:hyperlink>
      <w:r>
        <w:rPr>
          <w:rFonts w:ascii="Calibri" w:hAnsi="Calibri" w:cs="Calibri"/>
        </w:rPr>
        <w:t xml:space="preserve"> defines exact owner/reference, realization and fingerprint fields. Accepted AR-05B attaches that same value with explicit snapshot-extension/dynamic-version dispatch; A changed no current snapshot reader/writer. Positive collection/search and PDP composition is an AR-06 executable-commerce obligation before dynamic enablement, distinct from A’s static positives and specific dynamic rejection evidence. The design decision remains:</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 Id="rIdHyperlink36" Type="http://schemas.openxmlformats.org/officeDocument/2006/relationships/hyperlink" Target="./AR_05_COMPOSITION_DESIGN.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d5c879e03ba2dcb6a503603d51c19371bb88abfd9d71f3b3f3009b52024cf456</vt:lpwstr>
  </property>
  <property fmtid="{D5CDD505-2E9C-101B-9397-08002B2CF9AE}" pid="4" name="ExporterVersion">
    <vt:lpwstr>1.1.2</vt:lpwstr>
  </property>
  <property fmtid="{D5CDD505-2E9C-101B-9397-08002B2CF9AE}" pid="5" name="DesignPreset">
    <vt:lpwstr>compact_reference_guide</vt:lpwstr>
  </property>
</Properties>
</file>