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12 August 2026, P10B-16P-03 Storefront Studio prompted generation journey</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12 August 2026, P10B-16P-03 Storefront Studio prompted generation journey</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9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9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990" w:type="dxa"/>
            <w:vAlign w:val="center"/>
          </w:tcPr>
          <w:p>
            <w:pPr>
              <w:pStyle w:val="CompactTableText"/>
              <w:widowControl/>
            </w:pPr>
            <w:r>
              <w:rPr>
                <w:rFonts w:ascii="Calibri" w:hAnsi="Calibri" w:cs="Calibri"/>
              </w:rPr>
              <w:t>Integration;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990" w:type="dxa"/>
            <w:vAlign w:val="center"/>
          </w:tcPr>
          <w:p>
            <w:pPr>
              <w:pStyle w:val="CompactTableText"/>
              <w:widowControl/>
            </w:pPr>
            <w:r>
              <w:rPr>
                <w:rFonts w:ascii="Calibri" w:hAnsi="Calibri" w:cs="Calibri"/>
              </w:rPr>
              <w:t>Contract; browser/E2E; accessibility; performance; fallback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990" w:type="dxa"/>
            <w:vAlign w:val="center"/>
          </w:tcPr>
          <w:p>
            <w:pPr>
              <w:pStyle w:val="CompactTableText"/>
              <w:widowControl/>
            </w:pPr>
            <w:r>
              <w:rPr>
                <w:rFonts w:ascii="Calibri" w:hAnsi="Calibri" w:cs="Calibri"/>
              </w:rPr>
              <w:t>Adapter conformance; browser/E2E; Vesko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9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9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9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9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9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9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990" w:type="dxa"/>
            <w:vAlign w:val="center"/>
          </w:tcPr>
          <w:p>
            <w:pPr>
              <w:pStyle w:val="CompactTableText"/>
              <w:widowControl/>
            </w:pPr>
            <w:r>
              <w:rPr>
                <w:rFonts w:ascii="Calibri" w:hAnsi="Calibri" w:cs="Calibri"/>
              </w:rPr>
              <w:t>Schema/queryability, migration, compatibility and typed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9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Page-set/navigation/generation/lifecycle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9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990" w:type="dxa"/>
            <w:vAlign w:val="center"/>
          </w:tcPr>
          <w:p>
            <w:pPr>
              <w:pStyle w:val="CompactTableText"/>
              <w:widowControl/>
            </w:pPr>
            <w:r>
              <w:rPr>
                <w:rFonts w:ascii="Calibri" w:hAnsi="Calibri" w:cs="Calibri"/>
              </w:rPr>
              <w:t>Six heroes, story/campaign/proof chain, provenance and four-width browser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9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990" w:type="dxa"/>
            <w:vAlign w:val="center"/>
          </w:tcPr>
          <w:p>
            <w:pPr>
              <w:pStyle w:val="CompactTableText"/>
              <w:widowControl/>
            </w:pPr>
            <w:r>
              <w:rPr>
                <w:rFonts w:ascii="Calibri" w:hAnsi="Calibri" w:cs="Calibri"/>
              </w:rPr>
              <w:t>Six profiles, materialization-to-render and 24-view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9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990" w:type="dxa"/>
            <w:vAlign w:val="center"/>
          </w:tcPr>
          <w:p>
            <w:pPr>
              <w:pStyle w:val="CompactTableText"/>
              <w:widowControl/>
            </w:pPr>
            <w:r>
              <w:rPr>
                <w:rFonts w:ascii="Calibri" w:hAnsi="Calibri" w:cs="Calibri"/>
              </w:rPr>
              <w:t>Four profiles, generic options/commerce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9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9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990" w:type="dxa"/>
            <w:vAlign w:val="center"/>
          </w:tcPr>
          <w:p>
            <w:pPr>
              <w:pStyle w:val="CompactTableText"/>
              <w:widowControl/>
            </w:pPr>
            <w:r>
              <w:rPr>
                <w:rFonts w:ascii="Calibri" w:hAnsi="Calibri" w:cs="Calibri"/>
              </w:rPr>
              <w:t>17 routes; canonical generation/save/publish; 15 screenshots; passing 160-scenario human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9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9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9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9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9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9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9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990" w:type="dxa"/>
            <w:vAlign w:val="center"/>
          </w:tcPr>
          <w:p>
            <w:pPr>
              <w:pStyle w:val="CompactTableText"/>
              <w:widowControl/>
            </w:pPr>
            <w:r>
              <w:rPr>
                <w:rFonts w:ascii="Calibri" w:hAnsi="Calibri" w:cs="Calibri"/>
              </w:rPr>
              <w:t>Injected authenticated tenant/project authority, separately authorized real-provider V2 evidence and explicit P10B-16L bridge disposition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P10B-16P-04 and implemented families</w:t>
            </w:r>
          </w:p>
        </w:tc>
        <w:tc>
          <w:tcPr>
            <w:tcW w:w="2990" w:type="dxa"/>
            <w:vAlign w:val="center"/>
          </w:tcPr>
          <w:p>
            <w:pPr>
              <w:pStyle w:val="CompactTableText"/>
              <w:widowControl/>
            </w:pPr>
            <w:r>
              <w:rPr>
                <w:rFonts w:ascii="Calibri" w:hAnsi="Calibri" w:cs="Calibri"/>
              </w:rPr>
              <w:t>Four-width EN/FI geometry, a11y, performance and visual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990" w:type="dxa"/>
            <w:vAlign w:val="center"/>
          </w:tcPr>
          <w:p>
            <w:pPr>
              <w:pStyle w:val="CompactTableText"/>
              <w:widowControl/>
            </w:pPr>
            <w:r>
              <w:rPr>
                <w:rFonts w:ascii="Calibri" w:hAnsi="Calibri" w:cs="Calibri"/>
              </w:rPr>
              <w:t>100+ configurations and fingerprint-stratified human review</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990" w:type="dxa"/>
            <w:vAlign w:val="center"/>
          </w:tcPr>
          <w:p>
            <w:pPr>
              <w:pStyle w:val="CompactTableText"/>
              <w:widowControl/>
            </w:pPr>
            <w:r>
              <w:rPr>
                <w:rFonts w:ascii="Calibri" w:hAnsi="Calibri" w:cs="Calibri"/>
              </w:rPr>
              <w:t>Contract, integration,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990" w:type="dxa"/>
            <w:vAlign w:val="center"/>
          </w:tcPr>
          <w:p>
            <w:pPr>
              <w:pStyle w:val="CompactTableText"/>
              <w:widowControl/>
            </w:pPr>
            <w:r>
              <w:rPr>
                <w:rFonts w:ascii="Calibri" w:hAnsi="Calibri" w:cs="Calibri"/>
              </w:rPr>
              <w:t>Assignment validation and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990" w:type="dxa"/>
            <w:vAlign w:val="center"/>
          </w:tcPr>
          <w:p>
            <w:pPr>
              <w:pStyle w:val="CompactTableText"/>
              <w:widowControl/>
            </w:pPr>
            <w:r>
              <w:rPr>
                <w:rFonts w:ascii="Calibri" w:hAnsi="Calibri" w:cs="Calibri"/>
              </w:rPr>
              <w:t>Adapter conformance and save/reload preservation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990" w:type="dxa"/>
            <w:vAlign w:val="center"/>
          </w:tcPr>
          <w:p>
            <w:pPr>
              <w:pStyle w:val="CompactTableText"/>
              <w:widowControl/>
            </w:pPr>
            <w:r>
              <w:rPr>
                <w:rFonts w:ascii="Calibri" w:hAnsi="Calibri" w:cs="Calibri"/>
              </w:rPr>
              <w:t>Frame/page scope integration and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990" w:type="dxa"/>
            <w:vAlign w:val="center"/>
          </w:tcPr>
          <w:p>
            <w:pPr>
              <w:pStyle w:val="CompactTableText"/>
              <w:widowControl/>
            </w:pPr>
            <w:r>
              <w:rPr>
                <w:rFonts w:ascii="Calibri" w:hAnsi="Calibri" w:cs="Calibri"/>
              </w:rPr>
              <w:t>Positive/fail-closed integration, undo/redo,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990" w:type="dxa"/>
            <w:vAlign w:val="center"/>
          </w:tcPr>
          <w:p>
            <w:pPr>
              <w:pStyle w:val="CompactTableText"/>
              <w:widowControl/>
            </w:pPr>
            <w:r>
              <w:rPr>
                <w:rFonts w:ascii="Calibri" w:hAnsi="Calibri" w:cs="Calibri"/>
              </w:rPr>
              <w:t>Scope, ambiguity, and proposal lifecycle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990" w:type="dxa"/>
            <w:vAlign w:val="center"/>
          </w:tcPr>
          <w:p>
            <w:pPr>
              <w:pStyle w:val="CompactTableText"/>
              <w:widowControl/>
            </w:pPr>
            <w:r>
              <w:rPr>
                <w:rFonts w:ascii="Calibri" w:hAnsi="Calibri" w:cs="Calibri"/>
              </w:rPr>
              <w:t>Mixed-operation atomicity, save/reload, undo/redo</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990" w:type="dxa"/>
            <w:vAlign w:val="center"/>
          </w:tcPr>
          <w:p>
            <w:pPr>
              <w:pStyle w:val="CompactTableText"/>
              <w:widowControl/>
            </w:pPr>
            <w:r>
              <w:rPr>
                <w:rFonts w:ascii="Calibri" w:hAnsi="Calibri" w:cs="Calibri"/>
              </w:rPr>
              <w:t>UI states, responsive accessibility,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9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990" w:type="dxa"/>
            <w:vAlign w:val="center"/>
          </w:tcPr>
          <w:p>
            <w:pPr>
              <w:pStyle w:val="CompactTableText"/>
              <w:widowControl/>
            </w:pPr>
            <w:r>
              <w:rPr>
                <w:rFonts w:ascii="Calibri" w:hAnsi="Calibri" w:cs="Calibri"/>
              </w:rPr>
              <w:t>Contract audit and integration matrix</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990" w:type="dxa"/>
            <w:vAlign w:val="center"/>
          </w:tcPr>
          <w:p>
            <w:pPr>
              <w:pStyle w:val="CompactTableText"/>
              <w:widowControl/>
            </w:pPr>
            <w:r>
              <w:rPr>
                <w:rFonts w:ascii="Calibri" w:hAnsi="Calibri" w:cs="Calibri"/>
              </w:rPr>
              <w:t>Approved typed contracts and ownership record</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990" w:type="dxa"/>
            <w:vAlign w:val="center"/>
          </w:tcPr>
          <w:p>
            <w:pPr>
              <w:pStyle w:val="CompactTableText"/>
              <w:widowControl/>
            </w:pPr>
            <w:r>
              <w:rPr>
                <w:rFonts w:ascii="Calibri" w:hAnsi="Calibri" w:cs="Calibri"/>
              </w:rPr>
              <w:t>Auth/tenant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990" w:type="dxa"/>
            <w:vAlign w:val="center"/>
          </w:tcPr>
          <w:p>
            <w:pPr>
              <w:pStyle w:val="CompactTableText"/>
              <w:widowControl/>
            </w:pPr>
            <w:r>
              <w:rPr>
                <w:rFonts w:ascii="Calibri" w:hAnsi="Calibri" w:cs="Calibri"/>
              </w:rPr>
              <w:t>Read-only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990" w:type="dxa"/>
            <w:vAlign w:val="center"/>
          </w:tcPr>
          <w:p>
            <w:pPr>
              <w:pStyle w:val="CompactTableText"/>
              <w:widowControl/>
            </w:pPr>
            <w:r>
              <w:rPr>
                <w:rFonts w:ascii="Calibri" w:hAnsi="Calibri" w:cs="Calibri"/>
              </w:rPr>
              <w:t>Simple/configurable product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990" w:type="dxa"/>
            <w:vAlign w:val="center"/>
          </w:tcPr>
          <w:p>
            <w:pPr>
              <w:pStyle w:val="CompactTableText"/>
              <w:widowControl/>
            </w:pPr>
            <w:r>
              <w:rPr>
                <w:rFonts w:ascii="Calibri" w:hAnsi="Calibri" w:cs="Calibri"/>
              </w:rPr>
              <w:t>Provenance, permissions, lifecycle,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990" w:type="dxa"/>
            <w:vAlign w:val="center"/>
          </w:tcPr>
          <w:p>
            <w:pPr>
              <w:pStyle w:val="CompactTableText"/>
              <w:widowControl/>
            </w:pPr>
            <w:r>
              <w:rPr>
                <w:rFonts w:ascii="Calibri" w:hAnsi="Calibri" w:cs="Calibri"/>
              </w:rPr>
              <w:t>Concurrency and canonical save/reload/restore in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9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990" w:type="dxa"/>
            <w:vAlign w:val="center"/>
          </w:tcPr>
          <w:p>
            <w:pPr>
              <w:pStyle w:val="CompactTableText"/>
              <w:widowControl/>
            </w:pPr>
            <w:r>
              <w:rPr>
                <w:rFonts w:ascii="Calibri" w:hAnsi="Calibri" w:cs="Calibri"/>
              </w:rPr>
              <w:t>Conflict, retry, cache, and recovery integration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990" w:type="dxa"/>
            <w:vAlign w:val="center"/>
          </w:tcPr>
          <w:p>
            <w:pPr>
              <w:pStyle w:val="CompactTableText"/>
              <w:widowControl/>
            </w:pPr>
            <w:r>
              <w:rPr>
                <w:rFonts w:ascii="Calibri" w:hAnsi="Calibri" w:cs="Calibri"/>
              </w:rPr>
              <w:t>Browser/E2E and correlated Vesko staging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9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P10B-16 and P10B-16P-01 through P10B-16P-03 are </w:t>
      </w:r>
      <w:r>
        <w:rPr>
          <w:rFonts w:ascii="Calibri" w:hAnsi="Calibri" w:cs="Calibri"/>
          <w:b/>
          <w:bCs/>
        </w:rPr>
        <w:t>Baseline</w:t>
      </w:r>
      <w:r>
        <w:rPr>
          <w:rFonts w:ascii="Calibri" w:hAnsi="Calibri" w:cs="Calibri"/>
        </w:rPr>
        <w:t xml:space="preserve">. P10B-16P-02 is </w:t>
      </w:r>
      <w:r>
        <w:rPr>
          <w:rFonts w:ascii="Calibri" w:hAnsi="Calibri" w:cs="Calibri"/>
          <w:b/>
          <w:bCs/>
        </w:rPr>
        <w:t>Baseline</w:t>
      </w:r>
      <w:r>
        <w:rPr>
          <w:rFonts w:ascii="Calibri" w:hAnsi="Calibri" w:cs="Calibri"/>
        </w:rPr>
        <w:t xml:space="preserve">. P10B-16P-04, P10B-17, and P10B-18 remain </w:t>
      </w:r>
      <w:r>
        <w:rPr>
          <w:rFonts w:ascii="Calibri" w:hAnsi="Calibri" w:cs="Calibri"/>
          <w:b/>
          <w:bCs/>
        </w:rPr>
        <w:t>Planned</w:t>
      </w:r>
      <w:r>
        <w:rPr>
          <w:rFonts w:ascii="Calibri" w:hAnsi="Calibri" w:cs="Calibri"/>
        </w:rPr>
        <w:t>. The remaining Done conditions are implementation gates, not claims about the current repository. The P10B-16P sequence is a mandatory convergence package between P10B-16 and P10B-17; it supplements rather than renumbers the locked P10B-01 through P10B-18 plan.</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7"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8"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9"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0"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1"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2"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3"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4"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5"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6"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7"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8"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19"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0"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but runtime search materialization requires exact transient query/results from a first-class canonical adapter. Until P11 supplies that seam, missing search context fails closed and never substitutes a collection.</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1"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retire, migrate or retain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 when:</w:t>
      </w:r>
      <w:r>
        <w:rPr>
          <w:rFonts w:ascii="Calibri" w:hAnsi="Calibri" w:cs="Calibri"/>
        </w:rPr>
        <w:t xml:space="preserve"> The provider receives capability knowledge before any complete-store execution, authenticated tenant/project-backed current authority is injected before provider selection, the provider returns a strict intent, current authority compiles it through normal Studio proposal review, and safe retained evidence proves call/retry limits, lifecycle, protection and bridge disposition.</w:t>
      </w:r>
    </w:p>
    <w:p>
      <w:pPr>
        <w:pStyle w:val="Normal"/>
        <w:numPr>
          <w:ilvl w:val="0"/>
          <w:numId w:val="1"/>
        </w:numPr>
        <w:widowControl/>
      </w:pPr>
      <w:r>
        <w:rPr>
          <w:rFonts w:ascii="Calibri" w:hAnsi="Calibri" w:cs="Calibri"/>
          <w:b/>
          <w:bCs/>
        </w:rPr>
        <w:t>Non-goal:</w:t>
      </w:r>
      <w:r>
        <w:rPr>
          <w:rFonts w:ascii="Calibri" w:hAnsi="Calibri" w:cs="Calibri"/>
        </w:rPr>
        <w:t xml:space="preserve"> Treating another preset-selection run as V2 evidence or automatic provider calls.</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P10B-16P-04 and implemented commercial families/profiles/directions.</w:t>
      </w:r>
    </w:p>
    <w:p>
      <w:pPr>
        <w:pStyle w:val="Normal"/>
        <w:numPr>
          <w:ilvl w:val="0"/>
          <w:numId w:val="1"/>
        </w:numPr>
        <w:widowControl/>
      </w:pPr>
      <w:r>
        <w:rPr>
          <w:rFonts w:ascii="Calibri" w:hAnsi="Calibri" w:cs="Calibri"/>
          <w:b/>
          <w:bCs/>
        </w:rPr>
        <w:t>Done when:</w:t>
      </w:r>
      <w:r>
        <w:rPr>
          <w:rFonts w:ascii="Calibri" w:hAnsi="Calibri" w:cs="Calibri"/>
        </w:rPr>
        <w:t xml:space="preserve"> All supported page families/directions pass 375/768/1024/1440 and EN/FI geometry, declared transformations, keyboard/focus/semantics/contrast, content/commerce retention, and explicit performance budgets with correlated evidence.</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geometry/a11y/performance/browser matrices plus retained representative human review.</w:t>
      </w:r>
    </w:p>
    <w:p>
      <w:pPr>
        <w:pStyle w:val="Normal"/>
        <w:numPr>
          <w:ilvl w:val="0"/>
          <w:numId w:val="1"/>
        </w:numPr>
        <w:widowControl/>
      </w:pPr>
      <w:r>
        <w:rPr>
          <w:rFonts w:ascii="Calibri" w:hAnsi="Calibri" w:cs="Calibri"/>
          <w:b/>
          <w:bCs/>
        </w:rPr>
        <w:t>Non-goal:</w:t>
      </w:r>
      <w:r>
        <w:rPr>
          <w:rFonts w:ascii="Calibri" w:hAnsi="Calibri" w:cs="Calibri"/>
        </w:rPr>
        <w:t xml:space="preserve">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2" w:history="1">
        <w:r>
          <w:rPr>
            <w:rFonts w:ascii="Calibri" w:hAnsi="Calibri" w:cs="Calibri"/>
            <w:color w:val="2E74B5"/>
            <w:u w:val="single"/>
          </w:rPr>
          <w:t>VESKO_OPENAPI_CONTRACT_AUDIT.md</w:t>
        </w:r>
      </w:hyperlink>
      <w:r>
        <w:rPr>
          <w:rFonts w:ascii="Calibri" w:hAnsi="Calibri" w:cs="Calibri"/>
        </w:rPr>
        <w:t xml:space="preserve"> and </w:t>
      </w:r>
      <w:hyperlink r:id="rIdHyperlink23"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 </w:t>
      </w:r>
      <w:r>
        <w:rPr>
          <w:rFonts w:ascii="Calibri" w:hAnsi="Calibri" w:cs="Calibri"/>
          <w:b/>
          <w:bCs/>
        </w:rPr>
        <w:t>Non-goal:</w:t>
      </w:r>
      <w:r>
        <w:rPr>
          <w:rFonts w:ascii="Calibri" w:hAnsi="Calibri" w:cs="Calibri"/>
        </w:rPr>
        <w:t xml:space="preserve"> New design, editor, advanced-media, or commerce scope.</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1152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01_COMMERCIAL_DESIGN_GRAMMAR.md" TargetMode="External"/><Relationship Id="rIdHyperlink6" Type="http://schemas.openxmlformats.org/officeDocument/2006/relationships/hyperlink" Target="P10B_02_PARAMETRIC_BRAND_SYSTEM.md" TargetMode="External"/><Relationship Id="rIdHyperlink7" Type="http://schemas.openxmlformats.org/officeDocument/2006/relationships/hyperlink" Target="P10B_03_COMPONENT_ANATOMY_AND_MEANINGFUL_VARIANTS.md" TargetMode="External"/><Relationship Id="rIdHyperlink8" Type="http://schemas.openxmlformats.org/officeDocument/2006/relationships/hyperlink" Target="P10B_04_RESPONSIVE_IMAGE_ART_DIRECTION.md" TargetMode="External"/><Relationship Id="rIdHyperlink9" Type="http://schemas.openxmlformats.org/officeDocument/2006/relationships/hyperlink" Target="P10B_05_SITE_MAP_AND_PAGE_FAMILY_AUTHORITY.md" TargetMode="External"/><Relationship Id="rIdHyperlink10" Type="http://schemas.openxmlformats.org/officeDocument/2006/relationships/hyperlink" Target="P10B_06_COMMERCIAL_SHARED_FRAME_FAMILIES.md" TargetMode="External"/><Relationship Id="rIdHyperlink11" Type="http://schemas.openxmlformats.org/officeDocument/2006/relationships/hyperlink" Target="P10B_07_HERO_EDITORIAL_CAMPAIGN_PROOF_FAMILIES.md" TargetMode="External"/><Relationship Id="rIdHyperlink12" Type="http://schemas.openxmlformats.org/officeDocument/2006/relationships/hyperlink" Target="P10B_08_CANONICAL_PRODUCT_CARD_AND_MERCHANDISING.md" TargetMode="External"/><Relationship Id="rIdHyperlink13" Type="http://schemas.openxmlformats.org/officeDocument/2006/relationships/hyperlink" Target="P10B_09_COMMERCIAL_HOMEPAGE_PROFILE_LIBRARY.md" TargetMode="External"/><Relationship Id="rIdHyperlink14" Type="http://schemas.openxmlformats.org/officeDocument/2006/relationships/hyperlink" Target="P10B_10_COMMERCIAL_COLLECTION_SEARCH_PROFILES.md" TargetMode="External"/><Relationship Id="rIdHyperlink15" Type="http://schemas.openxmlformats.org/officeDocument/2006/relationships/hyperlink" Target="P10B_12_CONTENT_AND_SUPPORT_PAGE_FAMILIES.md" TargetMode="External"/><Relationship Id="rIdHyperlink16" Type="http://schemas.openxmlformats.org/officeDocument/2006/relationships/hyperlink" Target="P10B_13_COMMERCE_UTILITY_PRESENTATION_PAGES.md" TargetMode="External"/><Relationship Id="rIdHyperlink17" Type="http://schemas.openxmlformats.org/officeDocument/2006/relationships/hyperlink" Target="P10B_14_PREMIUM_EDITORIAL_COMPLETE_STOREFRONT_VERTICAL_SLICE.md" TargetMode="External"/><Relationship Id="rIdHyperlink18" Type="http://schemas.openxmlformats.org/officeDocument/2006/relationships/hyperlink" Target="P10B_15_BOUNDED_STOREFRONT_SYNTHESIS_AND_NARRATIVE_ENGINE.md" TargetMode="External"/><Relationship Id="rIdHyperlink19" Type="http://schemas.openxmlformats.org/officeDocument/2006/relationships/hyperlink" Target="P10B_16_COORDINATED_DIRECTIONS_AND_DIVERSITY_CONTROL.md" TargetMode="External"/><Relationship Id="rIdHyperlink20" Type="http://schemas.openxmlformats.org/officeDocument/2006/relationships/hyperlink" Target="P10B_16P_01_DYNAMIC_COMMERCE_ROUTE_ARCHETYPES.md" TargetMode="External"/><Relationship Id="rIdHyperlink21" Type="http://schemas.openxmlformats.org/officeDocument/2006/relationships/hyperlink" Target="P10B_16P_02_PROMPTED_STOREFRONT_DESIGN_PLAN_V2.md" TargetMode="External"/><Relationship Id="rIdHyperlink22" Type="http://schemas.openxmlformats.org/officeDocument/2006/relationships/hyperlink" Target="VESKO_OPENAPI_CONTRACT_AUDIT.md" TargetMode="External"/><Relationship Id="rIdHyperlink23"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035b3b3eeef2a876d2d8de4ae91fe84404ce763275f8edaca04f2c99ffccd4aa</vt:lpwstr>
  </property>
  <property fmtid="{D5CDD505-2E9C-101B-9397-08002B2CF9AE}" pid="4" name="ExporterVersion">
    <vt:lpwstr>1.1.0</vt:lpwstr>
  </property>
  <property fmtid="{D5CDD505-2E9C-101B-9397-08002B2CF9AE}" pid="5" name="DesignPreset">
    <vt:lpwstr>compact_reference_guide_landscape_checklist_override</vt:lpwstr>
  </property>
</Properties>
</file>