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17 August 2026</w:t>
      </w:r>
    </w:p>
    <w:p>
      <w:pPr>
        <w:pStyle w:val="CoverMeta"/>
        <w:jc w:val="center"/>
        <w:widowControl/>
      </w:pPr>
      <w:r>
        <w:rPr>
          <w:rFonts w:ascii="Calibri" w:hAnsi="Calibri" w:cs="Calibri"/>
        </w:rPr>
        <w:t>Accepted P10B-18B-06 bounded asset-composition and art-direction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17 August 2026, accepted P10B-18B-06 asset-composition/art-direction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and accepted P10B-18B-06 asset-composition/art-direction upgrade are Baseline. P10B-16P-02 is Baseline; parent P10B-18B, P10B-18, and P10B remain Partial. P10B-18B-02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and accepted P10B-18B-06 adds bounded shared purpose-affine asset selection, explicit reuse, paired responsive-source/crop execution, approved-logo frame consumption and material art-direction causality. Parent P10B-18B, P10B-18 and P10B remain Partial; page-level commercial visual quality remains owned by P10B-18B-02/03/04/05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and accepted P10B-18B-06 closes bounded asset-composition authority. Parent P10B-18B remains Partial with P10B-18B-02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and accepted P10B-18B-06 closes bounded asset-composition authority. Parent P10B-18B, P10B-18 and P10B remain Partial; P10B-18B-02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and accepted P10B-18B-06 closes bounded asset-composition authority. Parent P10B-18B, P10B-18 and P10B remain Partial; P10B-18B-02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while the remaining packages are incomplete. P10B-18B-02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not parent P10B-18B/P10B-18 or complete-storefront designer-grade quality.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P10B-18B-01 and P10B-18B-06 are Baseline; parent P10B-18B, P10B-18 and P10B remain Partial. P10B-18B-02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P10B-18B-01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implements the six conditional P10B-18B source-authority packages, or that accepted P10B-18B-01 implements later homepage, collection/search/card, PDP, content/utility, asset/art- direction, evaluation packages, or satisfies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The exact next task is </w:t>
      </w:r>
      <w:r>
        <w:rPr>
          <w:rFonts w:ascii="Calibri" w:hAnsi="Calibri" w:cs="Calibri"/>
          <w:b/>
          <w:bCs/>
        </w:rPr>
        <w:t>P10B-18B-02 — Homepage / Editorial / Campaign Quality Upgrade</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abd87a6ccbfe2fa1d0ac12ee4bf9cddf15ce3749ad2662e08d92d081209736f6</vt:lpwstr>
  </property>
  <property fmtid="{D5CDD505-2E9C-101B-9397-08002B2CF9AE}" pid="4" name="ExporterVersion">
    <vt:lpwstr>1.1.2</vt:lpwstr>
  </property>
  <property fmtid="{D5CDD505-2E9C-101B-9397-08002B2CF9AE}" pid="5" name="DesignPreset">
    <vt:lpwstr>compact_reference_guide</vt:lpwstr>
  </property>
</Properties>
</file>