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8 August 2026</w:t>
      </w:r>
    </w:p>
    <w:p>
      <w:pPr>
        <w:pStyle w:val="CoverMeta"/>
        <w:jc w:val="center"/>
        <w:widowControl/>
      </w:pPr>
      <w:r>
        <w:rPr>
          <w:rFonts w:ascii="Calibri" w:hAnsi="Calibri" w:cs="Calibri"/>
        </w:rPr>
        <w:t>P10B-06 commercial shared-frame delivery</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8 August 2026, P10B-06 delivery</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and P10B-06 commercial shared-frame families are Baseline, while P10B-07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and P10B-05 page-set authority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25 current V2 component definitions and all 91 registered variants have explicit executable metadata. P10B-06 promotes exactly four header and four footer variants through realized shared- frame anatomy; the remaining 83 variants remain conservatively </w:t>
      </w:r>
      <w:r>
        <w:rPr>
          <w:rFonts w:ascii="Consolas" w:hAnsi="Consolas" w:cs="Consolas"/>
          <w:sz w:val="19"/>
          <w:szCs w:val="19"/>
        </w:rPr>
        <w:t>notYetP10BCommercialReady</w:t>
      </w:r>
      <w:r>
        <w:rPr>
          <w:rFonts w:ascii="Calibri" w:hAnsi="Calibri" w:cs="Calibri"/>
        </w:rPr>
        <w:t>. Nothing is promoted from its name, CSS, or finishing difference. A meaningful claim must declare and realize a material difference in hierarchy, region arrangement/ presence, asset placement, content/CTA relationship, merchandising emphasis, navigation model, responsive transformation, or presentation mode.</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only the shared-frame subset. Hero, product-card, homepage, collection, and PDP renderer/profile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10.9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10.10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3" w:history="1">
        <w:r>
          <w:rPr>
            <w:rFonts w:ascii="Calibri" w:hAnsi="Calibri" w:cs="Calibri"/>
            <w:color w:val="2E74B5"/>
            <w:u w:val="single"/>
          </w:rPr>
          <w:t>VESKO_OPENAPI_CONTRACT_AUDIT.md</w:t>
        </w:r>
      </w:hyperlink>
      <w:r>
        <w:rPr>
          <w:rFonts w:ascii="Calibri" w:hAnsi="Calibri" w:cs="Calibri"/>
        </w:rPr>
        <w:t xml:space="preserve"> and </w:t>
      </w:r>
      <w:hyperlink r:id="rIdHyperlink14"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P10B-06 are Baseline; P10B-07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5"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VESKO_OPENAPI_CONTRACT_AUDIT.md" TargetMode="External"/><Relationship Id="rIdHyperlink14" Type="http://schemas.openxmlformats.org/officeDocument/2006/relationships/hyperlink" Target="VESKO_VESKIFY_INTEGRATION_MATRIX.md" TargetMode="External"/><Relationship Id="rIdHyperlink15"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780104d57426a9c9eef3616ab447320989bc7319e0402f78f91b7e8641190243</vt:lpwstr>
  </property>
  <property fmtid="{D5CDD505-2E9C-101B-9397-08002B2CF9AE}" pid="4" name="ExporterVersion">
    <vt:lpwstr>1.1.0</vt:lpwstr>
  </property>
  <property fmtid="{D5CDD505-2E9C-101B-9397-08002B2CF9AE}" pid="5" name="DesignPreset">
    <vt:lpwstr>compact_reference_guide</vt:lpwstr>
  </property>
</Properties>
</file>