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7 August 2026</w:t>
      </w:r>
    </w:p>
    <w:p>
      <w:pPr>
        <w:pStyle w:val="CoverMeta"/>
        <w:jc w:val="center"/>
        <w:widowControl/>
      </w:pPr>
      <w:r>
        <w:rPr>
          <w:rFonts w:ascii="Calibri" w:hAnsi="Calibri" w:cs="Calibri"/>
        </w:rPr>
        <w:t>Current main after merged PR #170</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7 August 2026, current </w:t>
            </w:r>
            <w:r>
              <w:rPr>
                <w:rFonts w:ascii="Consolas" w:hAnsi="Consolas" w:cs="Consolas"/>
                <w:sz w:val="19"/>
                <w:szCs w:val="19"/>
              </w:rPr>
              <w:t>main</w:t>
            </w:r>
            <w:r>
              <w:rPr>
                <w:rFonts w:ascii="Calibri" w:hAnsi="Calibri" w:cs="Calibri"/>
              </w:rPr>
              <w:t xml:space="preserve"> after PR #170</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the next active development phase, while all P10B work remains </w:t>
      </w:r>
      <w:r>
        <w:rPr>
          <w:rFonts w:ascii="Calibri" w:hAnsi="Calibri" w:cs="Calibri"/>
          <w:b/>
          <w:bCs/>
        </w:rPr>
        <w:t>Planned</w:t>
      </w:r>
      <w:r>
        <w:rPr>
          <w:rFonts w:ascii="Calibri" w:hAnsi="Calibri" w:cs="Calibri"/>
        </w:rPr>
        <w:t>.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design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should let a retailer reuse an existing website, brand assets, product media, and canonical Vesko commerce data to approve a storefront brief, generate a complete storefront, improve it through controlled natural-language and visual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presentation and composition:</w:t>
      </w:r>
    </w:p>
    <w:p>
      <w:pPr>
        <w:pStyle w:val="Normal"/>
        <w:numPr>
          <w:ilvl w:val="0"/>
          <w:numId w:val="1"/>
        </w:numPr>
        <w:widowControl/>
      </w:pPr>
      <w:r>
        <w:rPr>
          <w:rFonts w:ascii="Calibri" w:hAnsi="Calibri" w:cs="Calibri"/>
        </w:rPr>
        <w:t>projects, brand systems, pages, sections, navigation, snapshots, drafts, and history;</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orders, payments, checkout operations, shipping, tax, returns, and logistics.</w:t>
      </w:r>
    </w:p>
    <w:p>
      <w:pPr>
        <w:pStyle w:val="Normal"/>
        <w:widowControl/>
      </w:pPr>
      <w:r>
        <w:rPr>
          <w:rFonts w:ascii="Calibri" w:hAnsi="Calibri" w:cs="Calibri"/>
        </w:rPr>
        <w:t>Public source evidence can inform presentation but cannot override Vesko commerce truth. Generated copy must not invent materials, certifications, guarantees, delivery promises, availability, or price facts.</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registered capability and PageBlueprint authority</w:t>
      </w:r>
    </w:p>
    <w:p>
      <w:pPr>
        <w:pStyle w:val="CodeBlock"/>
        <w:shd w:val="clear" w:fill="F4F6F9"/>
        <w:ind w:left="180" w:right="180"/>
        <w:widowControl/>
      </w:pPr>
      <w:r>
        <w:rPr>
          <w:rFonts w:ascii="Consolas" w:hAnsi="Consolas" w:cs="Consolas"/>
          <w:sz w:val="19"/>
          <w:szCs w:val="19"/>
        </w:rPr>
        <w:t xml:space="preserve">  → governed instruction and scope</w:t>
      </w:r>
    </w:p>
    <w:p>
      <w:pPr>
        <w:pStyle w:val="CodeBlock"/>
        <w:shd w:val="clear" w:fill="F4F6F9"/>
        <w:ind w:left="180" w:right="180"/>
        <w:widowControl/>
      </w:pPr>
      <w:r>
        <w:rPr>
          <w:rFonts w:ascii="Consolas" w:hAnsi="Consolas" w:cs="Consolas"/>
          <w:sz w:val="19"/>
          <w:szCs w:val="19"/>
        </w:rPr>
        <w:t xml:space="preserve">  → structured plan and proposal</w:t>
      </w:r>
    </w:p>
    <w:p>
      <w:pPr>
        <w:pStyle w:val="CodeBlock"/>
        <w:shd w:val="clear" w:fill="F4F6F9"/>
        <w:ind w:left="180" w:right="180"/>
        <w:widowControl/>
      </w:pPr>
      <w:r>
        <w:rPr>
          <w:rFonts w:ascii="Consolas" w:hAnsi="Consolas" w:cs="Consolas"/>
          <w:sz w:val="19"/>
          <w:szCs w:val="19"/>
        </w:rPr>
        <w:t xml:space="preserve">  → validated StorefrontSnapshot</w:t>
      </w:r>
    </w:p>
    <w:p>
      <w:pPr>
        <w:pStyle w:val="CodeBlock"/>
        <w:shd w:val="clear" w:fill="F4F6F9"/>
        <w:ind w:left="180" w:right="180"/>
        <w:widowControl/>
      </w:pPr>
      <w:r>
        <w:rPr>
          <w:rFonts w:ascii="Consolas" w:hAnsi="Consolas" w:cs="Consolas"/>
          <w:sz w:val="19"/>
          <w:szCs w:val="19"/>
        </w:rPr>
        <w:t xml:space="preserve">  → review and atomic acceptance</w:t>
      </w:r>
    </w:p>
    <w:p>
      <w:pPr>
        <w:pStyle w:val="CodeBlock"/>
        <w:shd w:val="clear" w:fill="F4F6F9"/>
        <w:ind w:left="180" w:right="180"/>
        <w:widowControl/>
      </w:pPr>
      <w:r>
        <w:rPr>
          <w:rFonts w:ascii="Consolas" w:hAnsi="Consolas" w:cs="Consolas"/>
          <w:sz w:val="19"/>
          <w:szCs w:val="19"/>
        </w:rPr>
        <w:t xml:space="preserve">  → draft, history and preview</w:t>
      </w:r>
    </w:p>
    <w:p>
      <w:pPr>
        <w:pStyle w:val="CodeBlock"/>
        <w:shd w:val="clear" w:fill="F4F6F9"/>
        <w:ind w:left="180" w:right="180"/>
        <w:widowControl/>
      </w:pPr>
      <w:r>
        <w:rPr>
          <w:rFonts w:ascii="Consolas" w:hAnsi="Consolas" w:cs="Consolas"/>
          <w:sz w:val="19"/>
          <w:szCs w:val="19"/>
        </w:rPr>
        <w:t xml:space="preserve">  → deterministic publication compilation</w:t>
      </w:r>
    </w:p>
    <w:p>
      <w:pPr>
        <w:pStyle w:val="CodeBlock"/>
        <w:shd w:val="clear" w:fill="F4F6F9"/>
        <w:ind w:left="180" w:right="180"/>
        <w:widowControl/>
      </w:pPr>
      <w:r>
        <w:rPr>
          <w:rFonts w:ascii="Consolas" w:hAnsi="Consolas" w:cs="Consolas"/>
          <w:sz w:val="19"/>
          <w:szCs w:val="19"/>
        </w:rPr>
        <w:t xml:space="preserve">  → immutable published version</w:t>
      </w:r>
    </w:p>
    <w:p>
      <w:pPr>
        <w:pStyle w:val="CodeBlock"/>
        <w:shd w:val="clear" w:fill="F4F6F9"/>
        <w:ind w:left="180" w:right="180"/>
        <w:widowControl/>
      </w:pPr>
      <w:r>
        <w:rPr>
          <w:rFonts w:ascii="Consolas" w:hAnsi="Consolas" w:cs="Consolas"/>
          <w:sz w:val="19"/>
          <w:szCs w:val="19"/>
        </w:rPr>
        <w:t xml:space="preserve">  → homepage, collection and PDP rendering</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design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commercial visual-quality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Design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w:t>
      </w:r>
    </w:p>
    <w:p>
      <w:pPr>
        <w:pStyle w:val="Normal"/>
        <w:widowControl/>
      </w:pPr>
      <w:r>
        <w:rPr>
          <w:rFonts w:ascii="Calibri" w:hAnsi="Calibri" w:cs="Calibri"/>
        </w:rPr>
        <w:t>P10B delivers Commercial Storefront Design System v1 through the existing canonical authorities. It must produce one credible complete Premium Editorial storefront before broadening to Modern Technical and Minimal Commerce. It then closes direction differentiation, narrative composition, responsive behavior, and retained human commercial review.</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must differ materially across shared frame, typography, density, imagery, home, collection, PDP, and composition—not merely palette or spacing. Optional proof and trust content is shown only when approved merchant evidence exists.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representative approved assets and canonical commerce produce a coherent home, collection, simple PDP, and configurable PDP at 375, 768, 1024, and 1440 px. Required evidence combines contract/schema, deterministic/integration/browser reachability, retained screenshots, and human commercial review. Tests alone cannot close visual quality.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6" w:history="1">
        <w:r>
          <w:rPr>
            <w:rFonts w:ascii="Calibri" w:hAnsi="Calibri" w:cs="Calibri"/>
            <w:color w:val="2E74B5"/>
            <w:u w:val="single"/>
          </w:rPr>
          <w:t>VESKO_OPENAPI_CONTRACT_AUDIT.md</w:t>
        </w:r>
      </w:hyperlink>
      <w:r>
        <w:rPr>
          <w:rFonts w:ascii="Calibri" w:hAnsi="Calibri" w:cs="Calibri"/>
        </w:rPr>
        <w:t xml:space="preserve"> and </w:t>
      </w:r>
      <w:hyperlink r:id="rIdHyperlink7"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Design System v1.</w:t>
      </w:r>
      <w:r>
        <w:rPr>
          <w:rFonts w:ascii="Calibri" w:hAnsi="Calibri" w:cs="Calibri"/>
        </w:rPr>
        <w:t xml:space="preserve"> </w:t>
      </w:r>
      <w:r>
        <w:rPr>
          <w:rFonts w:ascii="Calibri" w:hAnsi="Calibri" w:cs="Calibri"/>
          <w:b/>
          <w:bCs/>
        </w:rPr>
        <w:t>Planned / next active phase.</w:t>
      </w:r>
      <w:r>
        <w:rPr>
          <w:rFonts w:ascii="Calibri" w:hAnsi="Calibri" w:cs="Calibri"/>
        </w:rPr>
        <w:t xml:space="preserve"> Deliver the first commercially credible complete storefront through registered visual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8"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r>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r>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r>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r>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r>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r>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r>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VESKO_OPENAPI_CONTRACT_AUDIT.md" TargetMode="External"/><Relationship Id="rIdHyperlink7" Type="http://schemas.openxmlformats.org/officeDocument/2006/relationships/hyperlink" Target="VESKO_VESKIFY_INTEGRATION_MATRIX.md" TargetMode="External"/><Relationship Id="rIdHyperlink8"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4a8285e702e111c5575bf3a4dfb1bae43ff5c85ee6fdc13e32fd55753f121b1e</vt:lpwstr>
  </property>
  <property fmtid="{D5CDD505-2E9C-101B-9397-08002B2CF9AE}" pid="4" name="ExporterVersion">
    <vt:lpwstr>1.1.0</vt:lpwstr>
  </property>
  <property fmtid="{D5CDD505-2E9C-101B-9397-08002B2CF9AE}" pid="5" name="DesignPreset">
    <vt:lpwstr>compact_reference_guide</vt:lpwstr>
  </property>
</Properties>
</file>