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15 August 2026, P10B-16P-06 canonical search query/results adapter</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15 August 2026, P10B-16P-06 canonical search query/results adapter</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Four-width EN/FI geometry, a11y, performance and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Final historical acceptance cleanup</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P10B-18</w:t>
            </w:r>
          </w:p>
        </w:tc>
        <w:tc>
          <w:tcPr>
            <w:tcW w:w="2890" w:type="dxa"/>
            <w:vAlign w:val="center"/>
          </w:tcPr>
          <w:p>
            <w:pPr>
              <w:pStyle w:val="CompactTableText"/>
              <w:widowControl/>
            </w:pPr>
            <w:r>
              <w:rPr>
                <w:rFonts w:ascii="Calibri" w:hAnsi="Calibri" w:cs="Calibri"/>
              </w:rPr>
              <w:t>Consumer-proven removal/archival of remaining historical scaffolding with migration and evidence retention</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P10B-16, P10B-16P-01 through P10B-16P-05A, and P10B-16P-06 are </w:t>
      </w:r>
      <w:r>
        <w:rPr>
          <w:rFonts w:ascii="Calibri" w:hAnsi="Calibri" w:cs="Calibri"/>
          <w:b/>
          <w:bCs/>
        </w:rPr>
        <w:t>Baseline</w:t>
      </w:r>
      <w:r>
        <w:rPr>
          <w:rFonts w:ascii="Calibri" w:hAnsi="Calibri" w:cs="Calibri"/>
        </w:rPr>
        <w:t xml:space="preserve">. P10B-16P-02 is </w:t>
      </w:r>
      <w:r>
        <w:rPr>
          <w:rFonts w:ascii="Calibri" w:hAnsi="Calibri" w:cs="Calibri"/>
          <w:b/>
          <w:bCs/>
        </w:rPr>
        <w:t>Baseline</w:t>
      </w:r>
      <w:r>
        <w:rPr>
          <w:rFonts w:ascii="Calibri" w:hAnsi="Calibri" w:cs="Calibri"/>
        </w:rPr>
        <w:t xml:space="preserve">. P10B-16P-05B, P10B-17, and P10B-18 remain </w:t>
      </w:r>
      <w:r>
        <w:rPr>
          <w:rFonts w:ascii="Calibri" w:hAnsi="Calibri" w:cs="Calibri"/>
          <w:b/>
          <w:bCs/>
        </w:rPr>
        <w:t>Planned</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P10B-18 as the final consumer-verified historical cleanup. P10B-17 is the next focused product task.</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Search presentation remains registered while execution fails closed.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Final historical acceptance cleanup</w:t>
      </w:r>
    </w:p>
    <w:p>
      <w:pPr>
        <w:pStyle w:val="Normal"/>
        <w:numPr>
          <w:ilvl w:val="0"/>
          <w:numId w:val="1"/>
        </w:numPr>
        <w:widowControl/>
      </w:pPr>
      <w:r>
        <w:rPr>
          <w:rFonts w:ascii="Calibri" w:hAnsi="Calibri" w:cs="Calibri"/>
          <w:b/>
          <w:bCs/>
        </w:rPr>
        <w:t>Outcome:</w:t>
      </w:r>
      <w:r>
        <w:rPr>
          <w:rFonts w:ascii="Calibri" w:hAnsi="Calibri" w:cs="Calibri"/>
        </w:rPr>
        <w:t xml:space="preserve"> Remove or archive remaining P10B-16L, P9/Lumo, and P04 acceptance scaffolding only after current quality/scale evidence no longer consumes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 xml:space="preserve"> after P10B-18.</w:t>
      </w:r>
    </w:p>
    <w:p>
      <w:pPr>
        <w:pStyle w:val="Normal"/>
        <w:numPr>
          <w:ilvl w:val="0"/>
          <w:numId w:val="1"/>
        </w:numPr>
        <w:widowControl/>
      </w:pPr>
      <w:r>
        <w:rPr>
          <w:rFonts w:ascii="Calibri" w:hAnsi="Calibri" w:cs="Calibri"/>
          <w:b/>
          <w:bCs/>
        </w:rPr>
        <w:t>Depends on:</w:t>
      </w:r>
      <w:r>
        <w:rPr>
          <w:rFonts w:ascii="Calibri" w:hAnsi="Calibri" w:cs="Calibri"/>
        </w:rPr>
        <w:t xml:space="preserve"> P10B-16P-05A and P10B-18.</w:t>
      </w:r>
    </w:p>
    <w:p>
      <w:pPr>
        <w:pStyle w:val="Normal"/>
        <w:numPr>
          <w:ilvl w:val="0"/>
          <w:numId w:val="1"/>
        </w:numPr>
        <w:widowControl/>
      </w:pPr>
      <w:r>
        <w:rPr>
          <w:rFonts w:ascii="Calibri" w:hAnsi="Calibri" w:cs="Calibri"/>
          <w:b/>
          <w:bCs/>
        </w:rPr>
        <w:t>Done when:</w:t>
      </w:r>
      <w:r>
        <w:rPr>
          <w:rFonts w:ascii="Calibri" w:hAnsi="Calibri" w:cs="Calibri"/>
        </w:rPr>
        <w:t xml:space="preserve"> Consumer search proves no active, migration, publication, replay, or retained evidence dependency; final removal preserves historical records and all valid snapshots/artifacts.</w:t>
      </w:r>
    </w:p>
    <w:p>
      <w:pPr>
        <w:pStyle w:val="Normal"/>
        <w:numPr>
          <w:ilvl w:val="0"/>
          <w:numId w:val="1"/>
        </w:numPr>
        <w:widowControl/>
      </w:pPr>
      <w:r>
        <w:rPr>
          <w:rFonts w:ascii="Calibri" w:hAnsi="Calibri" w:cs="Calibri"/>
          <w:b/>
          <w:bCs/>
        </w:rPr>
        <w:t>Non-goal:</w:t>
      </w:r>
      <w:r>
        <w:rPr>
          <w:rFonts w:ascii="Calibri" w:hAnsi="Calibri" w:cs="Calibri"/>
        </w:rPr>
        <w:t xml:space="preserve"> Deleting P10B-18 visual fixtures or compatibility data before their removal gate.</w:t>
      </w:r>
    </w:p>
    <w:p>
      <w:pPr>
        <w:pStyle w:val="Normal"/>
        <w:widowControl/>
      </w:pPr>
      <w:r>
        <w:rPr>
          <w:rFonts w:ascii="Calibri" w:hAnsi="Calibri" w:cs="Calibri"/>
        </w:rPr>
        <w:t>P10B-17 is the next focused product task. P10B remains Partial; P10B-18 and the P10B-16P-05B final historical cleanup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3" w:history="1">
        <w:r>
          <w:rPr>
            <w:rFonts w:ascii="Calibri" w:hAnsi="Calibri" w:cs="Calibri"/>
            <w:color w:val="2E74B5"/>
            <w:u w:val="single"/>
          </w:rPr>
          <w:t>VESKO_OPENAPI_CONTRACT_AUDIT.md</w:t>
        </w:r>
      </w:hyperlink>
      <w:r>
        <w:rPr>
          <w:rFonts w:ascii="Calibri" w:hAnsi="Calibri" w:cs="Calibri"/>
        </w:rPr>
        <w:t xml:space="preserve"> and </w:t>
      </w:r>
      <w:hyperlink r:id="rIdHyperlink24"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 </w:t>
      </w: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VESKO_OPENAPI_CONTRACT_AUDIT.md" TargetMode="External"/><Relationship Id="rIdHyperlink24"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1.1.1</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daf995c638a4616e2e1d00d12fb2d242d75ca19dde333e7d560dfc9b8ac5dd27</vt:lpwstr>
  </property>
  <property fmtid="{D5CDD505-2E9C-101B-9397-08002B2CF9AE}" pid="4" name="ExporterVersion">
    <vt:lpwstr>1.1.1</vt:lpwstr>
  </property>
  <property fmtid="{D5CDD505-2E9C-101B-9397-08002B2CF9AE}" pid="5" name="DesignPreset">
    <vt:lpwstr>compact_reference_guide_landscape_checklist_override</vt:lpwstr>
  </property>
</Properties>
</file>