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1.2.1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30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decision&lt;/strong&gt;&lt;/p&gt;</w:t>
      </w:r>
    </w:p>
    <w:p>
      <w:pPr/>
      <w:r>
        <w:rPr>
          <w:rFonts w:ascii="Helvetica Light" w:hAnsi="Helvetica Light" w:cs="Helvetica Light"/>
          <w:sz w:val="18"/>
          <w:szCs w:val="18"/>
        </w:rPr>
        <w:t>&lt;p&gt;Veskify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the amendment source commit and explicitly recorded evidence limitations.                       |</w:t>
      </w:r>
    </w:p>
    <w:p>
      <w:pPr/>
      <w:r>
        <w:rPr>
          <w:rFonts w:ascii="Helvetica Light" w:hAnsi="Helvetica Light" w:cs="Helvetica Light"/>
          <w:sz w:val="18"/>
          <w:szCs w:val="18"/>
        </w:rPr>
        <w:t>| **Amendment source commit**    | `8174b1a6d31301b4072622e2e3ef675957479121` (`origin/main` at amendment start).                                                                                                                            |</w:t>
      </w:r>
    </w:p>
    <w:p>
      <w:pPr/>
      <w:r>
        <w:rPr>
          <w:rFonts w:ascii="Helvetica Light" w:hAnsi="Helvetica Light" w:cs="Helvetica Light"/>
          <w:sz w:val="18"/>
          <w:szCs w:val="18"/>
        </w:rPr>
        <w:t>| **Amendment branch**           | `codex/sdd-v1.2.1-grounded-storefront-generator`.                                                                                                                                                         |</w:t>
      </w:r>
    </w:p>
    <w:p>
      <w:pPr/>
      <w:r>
        <w:rPr>
          <w:rFonts w:ascii="Helvetica Light" w:hAnsi="Helvetica Light" w:cs="Helvetica Light"/>
          <w:sz w:val="18"/>
          <w:szCs w:val="18"/>
        </w:rPr>
        <w:t>| **Amendment PR**               | Pending when this branch was prepared; the Ready PR is the delivery record.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`docs/VESKIFY_SDD_v1.2.1.docx` is the synchronized human-readable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and does not declare Phase 9 complete.</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 page</w:t>
      </w:r>
    </w:p>
    <w:p>
      <w:pPr/>
      <w:r>
        <w:rPr>
          <w:rFonts w:ascii="Helvetica Light" w:hAnsi="Helvetica Light" w:cs="Helvetica Light"/>
          <w:sz w:val="18"/>
          <w:szCs w:val="18"/>
        </w:rPr>
        <w:t>recipes,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approved page-composition capability;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prove meaningful page and shared-frame composition;</w:t>
      </w:r>
    </w:p>
    <w:p>
      <w:pPr/>
      <w:r>
        <w:rPr>
          <w:rFonts w:ascii="Helvetica Light" w:hAnsi="Helvetica Light" w:cs="Helvetica Light"/>
          <w:sz w:val="18"/>
          <w:szCs w:val="18"/>
        </w:rPr>
        <w:t>2. prove that every selected capability is registered and reachable;</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Pr/>
      <w:r>
        <w:rPr>
          <w:rFonts w:ascii="Helvetica Light" w:hAnsi="Helvetica Light" w:cs="Helvetica Light"/>
          <w:sz w:val="18"/>
          <w:szCs w:val="18"/>
        </w:rPr>
        <w:t>6. only then expand the controlled design vocabulary.</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P10B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P10B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P10B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Component Knowledge Registry:** generate a queryable view from</w:t>
      </w:r>
    </w:p>
    <w:p>
      <w:pPr/>
      <w:r>
        <w:rPr>
          <w:rFonts w:ascii="Helvetica Light" w:hAnsi="Helvetica Light" w:cs="Helvetica Light"/>
          <w:sz w:val="18"/>
          <w:szCs w:val="18"/>
        </w:rPr>
        <w:t xml:space="preserve">   `ComponentDefinitionV2`, renderers, bindings and responsive/accessibility contracts.</w:t>
      </w:r>
    </w:p>
    <w:p>
      <w:pPr/>
      <w:r>
        <w:rPr>
          <w:rFonts w:ascii="Helvetica Light" w:hAnsi="Helvetica Light" w:cs="Helvetica Light"/>
          <w:sz w:val="18"/>
          <w:szCs w:val="18"/>
        </w:rPr>
        <w:t>4. **P10A-04 — Executable PageBlueprints:** evolve the current template contracts into validated</w:t>
      </w:r>
    </w:p>
    <w:p>
      <w:pPr/>
      <w:r>
        <w:rPr>
          <w:rFonts w:ascii="Helvetica Light" w:hAnsi="Helvetica Light" w:cs="Helvetica Light"/>
          <w:sz w:val="18"/>
          <w:szCs w:val="18"/>
        </w:rPr>
        <w:t xml:space="preserve">   composition rules that compile to `StorefrontSnapshot`.</w:t>
      </w:r>
    </w:p>
    <w:p>
      <w:pPr/>
      <w:r>
        <w:rPr>
          <w:rFonts w:ascii="Helvetica Light" w:hAnsi="Helvetica Light" w:cs="Helvetica Light"/>
          <w:sz w:val="18"/>
          <w:szCs w:val="18"/>
        </w:rPr>
        <w:t>5. **P10A-05 — Skill packages:** package instructions, allowed scopes, required capabilities,</w:t>
      </w:r>
    </w:p>
    <w:p>
      <w:pPr/>
      <w:r>
        <w:rPr>
          <w:rFonts w:ascii="Helvetica Light" w:hAnsi="Helvetica Light" w:cs="Helvetica Light"/>
          <w:sz w:val="18"/>
          <w:szCs w:val="18"/>
        </w:rPr>
        <w:t xml:space="preserve">   operations, validation and evidence for initial generation and follow-up editing separately.</w:t>
      </w:r>
    </w:p>
    <w:p>
      <w:pPr/>
      <w:r>
        <w:rPr>
          <w:rFonts w:ascii="Helvetica Light" w:hAnsi="Helvetica Light" w:cs="Helvetica Light"/>
          <w:sz w:val="18"/>
          <w:szCs w:val="18"/>
        </w:rPr>
        <w:t>6. **P10A-06 — Instruction router:** select section, page, shared-frame, design-system or complete</w:t>
      </w:r>
    </w:p>
    <w:p>
      <w:pPr/>
      <w:r>
        <w:rPr>
          <w:rFonts w:ascii="Helvetica Light" w:hAnsi="Helvetica Light" w:cs="Helvetica Light"/>
          <w:sz w:val="18"/>
          <w:szCs w:val="18"/>
        </w:rPr>
        <w:t xml:space="preserve">   storefront scope without widening authority.</w:t>
      </w:r>
    </w:p>
    <w:p>
      <w:pPr/>
      <w:r>
        <w:rPr>
          <w:rFonts w:ascii="Helvetica Light" w:hAnsi="Helvetica Light" w:cs="Helvetica Light"/>
          <w:sz w:val="18"/>
          <w:szCs w:val="18"/>
        </w:rPr>
        <w:t>7. **P10A-07 — Golden-store quality gates:** deterministic and real-provider evaluation across</w:t>
      </w:r>
    </w:p>
    <w:p>
      <w:pPr/>
      <w:r>
        <w:rPr>
          <w:rFonts w:ascii="Helvetica Light" w:hAnsi="Helvetica Light" w:cs="Helvetica Light"/>
          <w:sz w:val="18"/>
          <w:szCs w:val="18"/>
        </w:rPr>
        <w:t xml:space="preserve">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design.</w:t>
      </w:r>
    </w:p>
    <w:p/>
    <w:p>
      <w:pPr/>
      <w:r>
        <w:rPr>
          <w:rFonts w:ascii="Helvetica Light" w:hAnsi="Helvetica Light" w:cs="Helvetica Light"/>
          <w:sz w:val="18"/>
          <w:szCs w:val="18"/>
        </w:rPr>
        <w:t>P10A-03 is generated from `ComponentDefinitionV2`, PageBlueprint/template contracts,</w:t>
      </w:r>
    </w:p>
    <w:p>
      <w:pPr/>
      <w:r>
        <w:rPr>
          <w:rFonts w:ascii="Helvetica Light" w:hAnsi="Helvetica Light" w:cs="Helvetica Light"/>
          <w:sz w:val="18"/>
          <w:szCs w:val="18"/>
        </w:rPr>
        <w:t>`DataBinding`, asset and adapter capability contracts, protected paths and migration metadata. For</w:t>
      </w:r>
    </w:p>
    <w:p>
      <w:pPr/>
      <w:r>
        <w:rPr>
          <w:rFonts w:ascii="Helvetica Light" w:hAnsi="Helvetica Light" w:cs="Helvetica Light"/>
          <w:sz w:val="18"/>
          <w:szCs w:val="18"/>
        </w:rPr>
        <w:t>each applicable component it exposes type, version, family, variants, page types, slots and</w:t>
      </w:r>
    </w:p>
    <w:p>
      <w:pPr/>
      <w:r>
        <w:rPr>
          <w:rFonts w:ascii="Helvetica Light" w:hAnsi="Helvetica Light" w:cs="Helvetica Light"/>
          <w:sz w:val="18"/>
          <w:szCs w:val="18"/>
        </w:rPr>
        <w:t>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Unknown or stale capability references fail before</w:t>
      </w:r>
    </w:p>
    <w:p>
      <w:pPr/>
      <w:r>
        <w:rPr>
          <w:rFonts w:ascii="Helvetica Light" w:hAnsi="Helvetica Light" w:cs="Helvetica Light"/>
          <w:sz w:val="18"/>
          <w:szCs w:val="18"/>
        </w:rPr>
        <w:t>preview.</w:t>
      </w:r>
    </w:p>
    <w:p/>
    <w:p>
      <w:pPr/>
      <w:r>
        <w:rPr>
          <w:rFonts w:ascii="Helvetica Light" w:hAnsi="Helvetica Light" w:cs="Helvetica Light"/>
          <w:sz w:val="18"/>
          <w:szCs w:val="18"/>
        </w:rPr>
        <w:t>P10A-04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A blueprint is an independent generation starting point; generated output becomes</w:t>
      </w:r>
    </w:p>
    <w:p>
      <w:pPr/>
      <w:r>
        <w:rPr>
          <w:rFonts w:ascii="Helvetica Light" w:hAnsi="Helvetica Light" w:cs="Helvetica Light"/>
          <w:sz w:val="18"/>
          <w:szCs w:val="18"/>
        </w:rPr>
        <w:t>ordinary snapshot state and is not silently rewritten when the blueprint later changes. Dynamic</w:t>
      </w:r>
    </w:p>
    <w:p>
      <w:pPr/>
      <w:r>
        <w:rPr>
          <w:rFonts w:ascii="Helvetica Light" w:hAnsi="Helvetica Light" w:cs="Helvetica Light"/>
          <w:sz w:val="18"/>
          <w:szCs w:val="18"/>
        </w:rPr>
        <w:t>PDP and collection composition stays stable while runtime bindings resolve different entities.</w:t>
      </w:r>
    </w:p>
    <w:p/>
    <w:p>
      <w:pPr/>
      <w:r>
        <w:rPr>
          <w:rFonts w:ascii="Helvetica Light" w:hAnsi="Helvetica Light" w:cs="Helvetica Light"/>
          <w:sz w:val="18"/>
          <w:szCs w:val="18"/>
        </w:rPr>
        <w:t>P10A-05 targets versioned Skill packages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package defines its instructions, required capability</w:t>
      </w:r>
    </w:p>
    <w:p>
      <w:pPr/>
      <w:r>
        <w:rPr>
          <w:rFonts w:ascii="Helvetica Light" w:hAnsi="Helvetica Light" w:cs="Helvetica Light"/>
          <w:sz w:val="18"/>
          <w:szCs w:val="18"/>
        </w:rPr>
        <w:t>queries, allowed operations, exact input/output schemas, examples, deterministic fixtures, negative</w:t>
      </w:r>
    </w:p>
    <w:p>
      <w:pPr/>
      <w:r>
        <w:rPr>
          <w:rFonts w:ascii="Helvetica Light" w:hAnsi="Helvetica Light" w:cs="Helvetica Light"/>
          <w:sz w:val="18"/>
          <w:szCs w:val="18"/>
        </w:rPr>
        <w:t>and validation cases and permission scope. A whole-store generation Skill is never reused for one</w:t>
      </w:r>
    </w:p>
    <w:p>
      <w:pPr/>
      <w:r>
        <w:rPr>
          <w:rFonts w:ascii="Helvetica Light" w:hAnsi="Helvetica Light" w:cs="Helvetica Light"/>
          <w:sz w:val="18"/>
          <w:szCs w:val="18"/>
        </w:rPr>
        <w:t>hero or page.</w:t>
      </w:r>
    </w:p>
    <w:p/>
    <w:p>
      <w:pPr/>
      <w:r>
        <w:rPr>
          <w:rFonts w:ascii="Helvetica Light" w:hAnsi="Helvetica Light" w:cs="Helvetica Light"/>
          <w:sz w:val="18"/>
          <w:szCs w:val="18"/>
        </w:rPr>
        <w:t>P10A-06 uses the canonical scopes selected section/component, current page, shared storefront frame,</w:t>
      </w:r>
    </w:p>
    <w:p>
      <w:pPr/>
      <w:r>
        <w:rPr>
          <w:rFonts w:ascii="Helvetica Light" w:hAnsi="Helvetica Light" w:cs="Helvetica Light"/>
          <w:sz w:val="18"/>
          <w:szCs w:val="18"/>
        </w:rPr>
        <w:t>design system and complete storefront. “Shared storefront frame” means navigation, header,</w:t>
      </w:r>
    </w:p>
    <w:p>
      <w:pPr/>
      <w:r>
        <w:rPr>
          <w:rFonts w:ascii="Helvetica Light" w:hAnsi="Helvetica Light" w:cs="Helvetica Light"/>
          <w:sz w:val="18"/>
          <w:szCs w:val="18"/>
        </w:rPr>
        <w:t>announcement bar and footer. The router explains unavailable capabilities, offers valid</w:t>
      </w:r>
    </w:p>
    <w:p>
      <w:pPr/>
      <w:r>
        <w:rPr>
          <w:rFonts w:ascii="Helvetica Light" w:hAnsi="Helvetica Light" w:cs="Helvetica Light"/>
          <w:sz w:val="18"/>
          <w:szCs w:val="18"/>
        </w:rPr>
        <w:t>alternatives and obtains approval before widening; “change this hero” cannot regenerate the site,</w:t>
      </w:r>
    </w:p>
    <w:p>
      <w:pPr/>
      <w:r>
        <w:rPr>
          <w:rFonts w:ascii="Helvetica Light" w:hAnsi="Helvetica Light" w:cs="Helvetica Light"/>
          <w:sz w:val="18"/>
          <w:szCs w:val="18"/>
        </w:rPr>
        <w:t>“make this PDP technical” cannot modify home, “navigation and footer” may target the shared frame</w:t>
      </w:r>
    </w:p>
    <w:p>
      <w:pPr/>
      <w:r>
        <w:rPr>
          <w:rFonts w:ascii="Helvetica Light" w:hAnsi="Helvetica Light" w:cs="Helvetica Light"/>
          <w:sz w:val="18"/>
          <w:szCs w:val="18"/>
        </w:rPr>
        <w:t>and “use this palette everywhere” may target the design system.</w:t>
      </w:r>
    </w:p>
    <w:p/>
    <w:p>
      <w:pPr/>
      <w:r>
        <w:rPr>
          <w:rFonts w:ascii="Helvetica Light" w:hAnsi="Helvetica Light" w:cs="Helvetica Light"/>
          <w:sz w:val="18"/>
          <w:szCs w:val="18"/>
        </w:rPr>
        <w:t>P10A-07 golden stores include premium/minimal jewellery, editorial jewellery, a watch retailer, a</w:t>
      </w:r>
    </w:p>
    <w:p>
      <w:pPr/>
      <w:r>
        <w:rPr>
          <w:rFonts w:ascii="Helvetica Light" w:hAnsi="Helvetica Light" w:cs="Helvetica Light"/>
          <w:sz w:val="18"/>
          <w:szCs w:val="18"/>
        </w:rPr>
        <w:t>dense hardware/general-retail catalogue, EN/FI, a simple watch PDP and a complex configurable ring</w:t>
      </w:r>
    </w:p>
    <w:p>
      <w:pPr/>
      <w:r>
        <w:rPr>
          <w:rFonts w:ascii="Helvetica Light" w:hAnsi="Helvetica Light" w:cs="Helvetica Light"/>
          <w:sz w:val="18"/>
          <w:szCs w:val="18"/>
        </w:rPr>
        <w:t>PDP. The non-jewellery fixture is mandatory to detect luxury, jewellery, Karvonen and sparse-catalog</w:t>
      </w:r>
    </w:p>
    <w:p>
      <w:pPr/>
      <w:r>
        <w:rPr>
          <w:rFonts w:ascii="Helvetica Light" w:hAnsi="Helvetica Light" w:cs="Helvetica Light"/>
          <w:sz w:val="18"/>
          <w:szCs w:val="18"/>
        </w:rPr>
        <w:t>assumptions. Gates cover schemas, registered capabilities, bindings/commerce, responsive behavior,</w:t>
      </w:r>
    </w:p>
    <w:p>
      <w:pPr/>
      <w:r>
        <w:rPr>
          <w:rFonts w:ascii="Helvetica Light" w:hAnsi="Helvetica Light" w:cs="Helvetica Light"/>
          <w:sz w:val="18"/>
          <w:szCs w:val="18"/>
        </w:rPr>
        <w:t>accessibility, brand/page coherence, diversity, fixture leakage, asset provenance, performance and</w:t>
      </w:r>
    </w:p>
    <w:p>
      <w:pPr/>
      <w:r>
        <w:rPr>
          <w:rFonts w:ascii="Helvetica Light" w:hAnsi="Helvetica Light" w:cs="Helvetica Light"/>
          <w:sz w:val="18"/>
          <w:szCs w:val="18"/>
        </w:rPr>
        <w:t>exact atomic Undo/Redo.</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 P10B asset governance and Storefront Studio</w:t>
      </w:r>
    </w:p>
    <w:p/>
    <w:p>
      <w:pPr/>
      <w:r>
        <w:rPr>
          <w:rFonts w:ascii="Helvetica Light" w:hAnsi="Helvetica Light" w:cs="Helvetica Light"/>
          <w:sz w:val="18"/>
          <w:szCs w:val="18"/>
        </w:rPr>
        <w:t>P10B follows P10A and consumes its capability/scope contracts:</w:t>
      </w:r>
    </w:p>
    <w:p/>
    <w:p>
      <w:pPr/>
      <w:r>
        <w:rPr>
          <w:rFonts w:ascii="Helvetica Light" w:hAnsi="Helvetica Light" w:cs="Helvetica Light"/>
          <w:sz w:val="18"/>
          <w:szCs w:val="18"/>
        </w:rPr>
        <w:t>- **P10B-01 — Brand asset upload/library:** primary/alternate/light/dark logos, favicons, brand,</w:t>
      </w:r>
    </w:p>
    <w:p>
      <w:pPr/>
      <w:r>
        <w:rPr>
          <w:rFonts w:ascii="Helvetica Light" w:hAnsi="Helvetica Light" w:cs="Helvetica Light"/>
          <w:sz w:val="18"/>
          <w:szCs w:val="18"/>
        </w:rPr>
        <w:t xml:space="preserve">  campaign, editorial and story imagery, marks/icons, approved illustrations, textures, permitted</w:t>
      </w:r>
    </w:p>
    <w:p>
      <w:pPr/>
      <w:r>
        <w:rPr>
          <w:rFonts w:ascii="Helvetica Light" w:hAnsi="Helvetica Light" w:cs="Helvetica Light"/>
          <w:sz w:val="18"/>
          <w:szCs w:val="18"/>
        </w:rPr>
        <w:t xml:space="preserve">  fonts and supported video. Fixture/developer registration is not the merchant workflow.</w:t>
      </w:r>
    </w:p>
    <w:p>
      <w:pPr/>
      <w:r>
        <w:rPr>
          <w:rFonts w:ascii="Helvetica Light" w:hAnsi="Helvetica Light" w:cs="Helvetica Light"/>
          <w:sz w:val="18"/>
          <w:szCs w:val="18"/>
        </w:rPr>
        <w:t>- **P10B-02 — Roles/provenance/metadata:** stable ID/domain, provenance, approval, role, dimensions,</w:t>
      </w:r>
    </w:p>
    <w:p>
      <w:pPr/>
      <w:r>
        <w:rPr>
          <w:rFonts w:ascii="Helvetica Light" w:hAnsi="Helvetica Light" w:cs="Helvetica Light"/>
          <w:sz w:val="18"/>
          <w:szCs w:val="18"/>
        </w:rPr>
        <w:t xml:space="preserve">  focal point, crop constraints, alt text, locale/market, light/dark suitability, usage restrictions</w:t>
      </w:r>
    </w:p>
    <w:p>
      <w:pPr/>
      <w:r>
        <w:rPr>
          <w:rFonts w:ascii="Helvetica Light" w:hAnsi="Helvetica Light" w:cs="Helvetica Light"/>
          <w:sz w:val="18"/>
          <w:szCs w:val="18"/>
        </w:rPr>
        <w:t xml:space="preserve">  and uploaded/generated origin. Canonical product/variant media, merchant brand, campaign,</w:t>
      </w:r>
    </w:p>
    <w:p>
      <w:pPr/>
      <w:r>
        <w:rPr>
          <w:rFonts w:ascii="Helvetica Light" w:hAnsi="Helvetica Light" w:cs="Helvetica Light"/>
          <w:sz w:val="18"/>
          <w:szCs w:val="18"/>
        </w:rPr>
        <w:t xml:space="preserve">  editorial, temporary generated and accepted generated assets remain distinct.</w:t>
      </w:r>
    </w:p>
    <w:p>
      <w:pPr/>
      <w:r>
        <w:rPr>
          <w:rFonts w:ascii="Helvetica Light" w:hAnsi="Helvetica Light" w:cs="Helvetica Light"/>
          <w:sz w:val="18"/>
          <w:szCs w:val="18"/>
        </w:rPr>
        <w:t>- **P10B-03 — Generated-image lifecycle:** merchant request → capability/policy check → temporary</w:t>
      </w:r>
    </w:p>
    <w:p>
      <w:pPr/>
      <w:r>
        <w:rPr>
          <w:rFonts w:ascii="Helvetica Light" w:hAnsi="Helvetica Light" w:cs="Helvetica Light"/>
          <w:sz w:val="18"/>
          <w:szCs w:val="18"/>
        </w:rPr>
        <w:t xml:space="preserve">  proposal asset → technical/safety validation → merchant review → accept/reject → promotion to the</w:t>
      </w:r>
    </w:p>
    <w:p>
      <w:pPr/>
      <w:r>
        <w:rPr>
          <w:rFonts w:ascii="Helvetica Light" w:hAnsi="Helvetica Light" w:cs="Helvetica Light"/>
          <w:sz w:val="18"/>
          <w:szCs w:val="18"/>
        </w:rPr>
        <w:t xml:space="preserve">  approved library → snapshot binding to a stable ID. Generated imagery may support hero,</w:t>
      </w:r>
    </w:p>
    <w:p>
      <w:pPr/>
      <w:r>
        <w:rPr>
          <w:rFonts w:ascii="Helvetica Light" w:hAnsi="Helvetica Light" w:cs="Helvetica Light"/>
          <w:sz w:val="18"/>
          <w:szCs w:val="18"/>
        </w:rPr>
        <w:t xml:space="preserve">  campaign, lifestyle/editorial, decorative background or abstract brand use but never silently</w:t>
      </w:r>
    </w:p>
    <w:p>
      <w:pPr/>
      <w:r>
        <w:rPr>
          <w:rFonts w:ascii="Helvetica Light" w:hAnsi="Helvetica Light" w:cs="Helvetica Light"/>
          <w:sz w:val="18"/>
          <w:szCs w:val="18"/>
        </w:rPr>
        <w:t xml:space="preserve">  replace canonical product/variant media.</w:t>
      </w:r>
    </w:p>
    <w:p>
      <w:pPr/>
      <w:r>
        <w:rPr>
          <w:rFonts w:ascii="Helvetica Light" w:hAnsi="Helvetica Light" w:cs="Helvetica Light"/>
          <w:sz w:val="18"/>
          <w:szCs w:val="18"/>
        </w:rPr>
        <w:t>- **P10B-04 — Studio shell:** native Vesko shell, dominant canvas, compact page/section outline,</w:t>
      </w:r>
    </w:p>
    <w:p>
      <w:pPr/>
      <w:r>
        <w:rPr>
          <w:rFonts w:ascii="Helvetica Light" w:hAnsi="Helvetica Light" w:cs="Helvetica Light"/>
          <w:sz w:val="18"/>
          <w:szCs w:val="18"/>
        </w:rPr>
        <w:t xml:space="preserve">  Design and AI tabs, merchant language, proposal review, preview, draft, publish, history,</w:t>
      </w:r>
    </w:p>
    <w:p>
      <w:pPr/>
      <w:r>
        <w:rPr>
          <w:rFonts w:ascii="Helvetica Light" w:hAnsi="Helvetica Light" w:cs="Helvetica Light"/>
          <w:sz w:val="18"/>
          <w:szCs w:val="18"/>
        </w:rPr>
        <w:t xml:space="preserve">  responsive drawers/bottom sheets and keyboard/accessibility. A polished shell must not conceal an</w:t>
      </w:r>
    </w:p>
    <w:p>
      <w:pPr/>
      <w:r>
        <w:rPr>
          <w:rFonts w:ascii="Helvetica Light" w:hAnsi="Helvetica Light" w:cs="Helvetica Light"/>
          <w:sz w:val="18"/>
          <w:szCs w:val="18"/>
        </w:rPr>
        <w:t xml:space="preserve">  ungrounded generator.</w:t>
      </w:r>
    </w:p>
    <w:p/>
    <w:p>
      <w:pPr/>
      <w:r>
        <w:rPr>
          <w:rFonts w:ascii="Helvetica Light" w:hAnsi="Helvetica Light" w:cs="Helvetica Light"/>
          <w:sz w:val="18"/>
          <w:szCs w:val="18"/>
        </w:rPr>
        <w:t>Existing `AssetInventory` roles/provenance are the foundation; do not create a competing media</w:t>
      </w:r>
    </w:p>
    <w:p>
      <w:pPr/>
      <w:r>
        <w:rPr>
          <w:rFonts w:ascii="Helvetica Light" w:hAnsi="Helvetica Light" w:cs="Helvetica Light"/>
          <w:sz w:val="18"/>
          <w:szCs w:val="18"/>
        </w:rPr>
        <w:t>system.</w:t>
      </w:r>
    </w:p>
    <w:p/>
    <w:p>
      <w:pPr/>
      <w:r>
        <w:rPr>
          <w:rFonts w:ascii="Helvetica Light" w:hAnsi="Helvetica Light" w:cs="Helvetica Light"/>
          <w:sz w:val="18"/>
          <w:szCs w:val="18"/>
        </w:rPr>
        <w:t>### Phase 11 granular editing</w:t>
      </w:r>
    </w:p>
    <w:p/>
    <w:p>
      <w:pPr/>
      <w:r>
        <w:rPr>
          <w:rFonts w:ascii="Helvetica Light" w:hAnsi="Helvetica Light" w:cs="Helvetica Light"/>
          <w:sz w:val="18"/>
          <w:szCs w:val="18"/>
        </w:rPr>
        <w:t>Phase 11 provides stable section identity and explicit selected section/component, current page,</w:t>
      </w:r>
    </w:p>
    <w:p>
      <w:pPr/>
      <w:r>
        <w:rPr>
          <w:rFonts w:ascii="Helvetica Light" w:hAnsi="Helvetica Light" w:cs="Helvetica Light"/>
          <w:sz w:val="18"/>
          <w:szCs w:val="18"/>
        </w:rPr>
        <w:t>shared storefront frame, design system and complete storefront edits. It covers add/remove,</w:t>
      </w:r>
    </w:p>
    <w:p>
      <w:pPr/>
      <w:r>
        <w:rPr>
          <w:rFonts w:ascii="Helvetica Light" w:hAnsi="Helvetica Light" w:cs="Helvetica Light"/>
          <w:sz w:val="18"/>
          <w:szCs w:val="18"/>
        </w:rPr>
        <w:t>supported duplication, variant replacement, reorder, page regeneration, mixed-scope atomic history,</w:t>
      </w:r>
    </w:p>
    <w:p>
      <w:pPr/>
      <w:r>
        <w:rPr>
          <w:rFonts w:ascii="Helvetica Light" w:hAnsi="Helvetica Light" w:cs="Helvetica Light"/>
          <w:sz w:val="18"/>
          <w:szCs w:val="18"/>
        </w:rPr>
        <w:t>local coherence and strict no-widening. Common targets include header/navigation/announcement,</w:t>
      </w:r>
    </w:p>
    <w:p>
      <w:pPr/>
      <w:r>
        <w:rPr>
          <w:rFonts w:ascii="Helvetica Light" w:hAnsi="Helvetica Light" w:cs="Helvetica Light"/>
          <w:sz w:val="18"/>
          <w:szCs w:val="18"/>
        </w:rPr>
        <w:t>hero, featured collections/products, brand story, campaign/trust, collection discovery/grid, PDP</w:t>
      </w:r>
    </w:p>
    <w:p>
      <w:pPr/>
      <w:r>
        <w:rPr>
          <w:rFonts w:ascii="Helvetica Light" w:hAnsi="Helvetica Light" w:cs="Helvetica Light"/>
          <w:sz w:val="18"/>
          <w:szCs w:val="18"/>
        </w:rPr>
        <w:t>gallery/information/options/specifications and footer.</w:t>
      </w:r>
    </w:p>
    <w:p/>
    <w:p>
      <w:pPr/>
      <w:r>
        <w:rPr>
          <w:rFonts w:ascii="Helvetica Light" w:hAnsi="Helvetica Light" w:cs="Helvetica Light"/>
          <w:sz w:val="18"/>
          <w:szCs w:val="18"/>
        </w:rPr>
        <w:t>### Phase 12 canonical domains and adapters</w:t>
      </w:r>
    </w:p>
    <w:p/>
    <w:p>
      <w:pPr/>
      <w:r>
        <w:rPr>
          <w:rFonts w:ascii="Helvetica Light" w:hAnsi="Helvetica Light" w:cs="Helvetica Light"/>
          <w:sz w:val="18"/>
          <w:szCs w:val="18"/>
        </w:rPr>
        <w:t>Phase 12 consolidates canonical product, variant/option, collection/navigation,</w:t>
      </w:r>
    </w:p>
    <w:p>
      <w:pPr/>
      <w:r>
        <w:rPr>
          <w:rFonts w:ascii="Helvetica Light" w:hAnsi="Helvetica Light" w:cs="Helvetica Light"/>
          <w:sz w:val="18"/>
          <w:szCs w:val="18"/>
        </w:rPr>
        <w:t>price/availability-presentation, localization, product-media, brand-asset and generated-asset</w:t>
      </w:r>
    </w:p>
    <w:p>
      <w:pPr/>
      <w:r>
        <w:rPr>
          <w:rFonts w:ascii="Helvetica Light" w:hAnsi="Helvetica Light" w:cs="Helvetica Light"/>
          <w:sz w:val="18"/>
          <w:szCs w:val="18"/>
        </w:rPr>
        <w:t>domains. Versioned image-delivery, commerce, collection/navigation and asset adapters define</w:t>
      </w:r>
    </w:p>
    <w:p>
      <w:pPr/>
      <w:r>
        <w:rPr>
          <w:rFonts w:ascii="Helvetica Light" w:hAnsi="Helvetica Light" w:cs="Helvetica Light"/>
          <w:sz w:val="18"/>
          <w:szCs w:val="18"/>
        </w:rPr>
        <w:t>capability negotiation, synchronization semantics, typed errors, versioning, conformance fixtures</w:t>
      </w:r>
    </w:p>
    <w:p>
      <w:pPr/>
      <w:r>
        <w:rPr>
          <w:rFonts w:ascii="Helvetica Light" w:hAnsi="Helvetica Light" w:cs="Helvetica Light"/>
          <w:sz w:val="18"/>
          <w:szCs w:val="18"/>
        </w:rPr>
        <w:t>and integration documentation. Vesko is the first reference implementation of these canonical</w:t>
      </w:r>
    </w:p>
    <w:p>
      <w:pPr/>
      <w:r>
        <w:rPr>
          <w:rFonts w:ascii="Helvetica Light" w:hAnsi="Helvetica Light" w:cs="Helvetica Light"/>
          <w:sz w:val="18"/>
          <w:szCs w:val="18"/>
        </w:rPr>
        <w:t>contracts, not a special case embedded through the editor.</w:t>
      </w:r>
    </w:p>
    <w:p/>
    <w:p>
      <w:pPr/>
      <w:r>
        <w:rPr>
          <w:rFonts w:ascii="Helvetica Light" w:hAnsi="Helvetica Light" w:cs="Helvetica Light"/>
          <w:sz w:val="18"/>
          <w:szCs w:val="18"/>
        </w:rPr>
        <w:t>Immediate full staging integration is not a Phase 12 prerequisite. Authentication, authorization,</w:t>
      </w:r>
    </w:p>
    <w:p>
      <w:pPr/>
      <w:r>
        <w:rPr>
          <w:rFonts w:ascii="Helvetica Light" w:hAnsi="Helvetica Light" w:cs="Helvetica Light"/>
          <w:sz w:val="18"/>
          <w:szCs w:val="18"/>
        </w:rPr>
        <w:t>tenant isolation, production persistence, hosted staging, observability, recovery, pilot operations</w:t>
      </w:r>
    </w:p>
    <w:p>
      <w:pPr/>
      <w:r>
        <w:rPr>
          <w:rFonts w:ascii="Helvetica Light" w:hAnsi="Helvetica Light" w:cs="Helvetica Light"/>
          <w:sz w:val="18"/>
          <w:szCs w:val="18"/>
        </w:rPr>
        <w:t>and release remain later deployment work.</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How implementation agents and developers must use v1.2.1</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v1.2.1 requirement catalogue</w:t>
      </w:r>
    </w:p>
    <w:p>
      <w:pPr/>
      <w:r>
        <w:rPr>
          <w:rFonts w:ascii="Helvetica Light" w:hAnsi="Helvetica Light" w:cs="Helvetica Light"/>
          <w:sz w:val="18"/>
          <w:szCs w:val="18"/>
        </w:rPr>
        <w:t>The following stable v1.2 requirement IDs and v1.2.1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v1.2.1 roadmap starts from repository commit</w:t>
      </w:r>
    </w:p>
    <w:p>
      <w:pPr/>
      <w:r>
        <w:rPr>
          <w:rFonts w:ascii="Helvetica Light" w:hAnsi="Helvetica Light" w:cs="Helvetica Light"/>
          <w:sz w:val="18"/>
          <w:szCs w:val="18"/>
        </w:rPr>
        <w:t>`8174b1a6d31301b4072622e2e3ef675957479121` on 30 July 2026, not from the original</w:t>
      </w:r>
    </w:p>
    <w:p>
      <w:pPr/>
      <w:r>
        <w:rPr>
          <w:rFonts w:ascii="Helvetica Light" w:hAnsi="Helvetica Light" w:cs="Helvetica Light"/>
          <w:sz w:val="18"/>
          <w:szCs w:val="18"/>
        </w:rPr>
        <w:t>phase list in v1.1.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Phase 12 supplies stable ports, contract tests and a Vesko reference adapter. The staging and</w:t>
      </w:r>
    </w:p>
    <w:p>
      <w:pPr/>
      <w:r>
        <w:rPr>
          <w:rFonts w:ascii="Helvetica Light" w:hAnsi="Helvetica Light" w:cs="Helvetica Light"/>
          <w:sz w:val="18"/>
          <w:szCs w:val="18"/>
        </w:rPr>
        <w:t>production rows below are later deployment work; their existence does not make full staging a</w:t>
      </w:r>
    </w:p>
    <w:p>
      <w:pPr/>
      <w:r>
        <w:rPr>
          <w:rFonts w:ascii="Helvetica Light" w:hAnsi="Helvetica Light" w:cs="Helvetica Light"/>
          <w:sz w:val="18"/>
          <w:szCs w:val="18"/>
        </w:rPr>
        <w:t>Phase 12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use separately identified Skill packages with separate inputs, permissions, quality gates and evidence. | FR-105, FR-108, FR-113, NFR-101, NFR-108 |</w:t>
      </w:r>
    </w:p>
    <w:p>
      <w:pPr/>
      <w:r>
        <w:rPr>
          <w:rFonts w:ascii="Helvetica Light" w:hAnsi="Helvetica Light" w:cs="Helvetica Light"/>
          <w:sz w:val="18"/>
          <w:szCs w:val="18"/>
        </w:rPr>
        <w:t>| **AC-132** | The instruction router never widens authority beyond the merchant-selected section, page, shared frame, design system or complete-storefront scope.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w:t>
      </w:r>
    </w:p>
    <w:p>
      <w:pPr/>
      <w:r>
        <w:rPr>
          <w:rFonts w:ascii="Helvetica Light" w:hAnsi="Helvetica Light" w:cs="Helvetica Light"/>
          <w:sz w:val="18"/>
          <w:szCs w:val="18"/>
        </w:rPr>
        <w:t>must share the selected registered recipe/token identity. Colour-only, typography-only and</w:t>
      </w:r>
    </w:p>
    <w:p>
      <w:pPr/>
      <w:r>
        <w:rPr>
          <w:rFonts w:ascii="Helvetica Light" w:hAnsi="Helvetica Light" w:cs="Helvetica Light"/>
          <w:sz w:val="18"/>
          <w:szCs w:val="18"/>
        </w:rPr>
        <w:t>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roadmap correction&lt;/strong&gt;&lt;/p&gt;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grounded orchestration, P10B assets and Studio UX, Phase 11 granular editing, Phase 12 stable domains and reference adapters, then deployment-specific authentication, tenancy, staging and operations.&lt;/p&gt;&lt;/th&gt;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Coordinated shared frame, homepage, collection and PDP composition from registered capabilities; commerce/assets; atomic apply/undo; persistence, preview and publish; responsive, accessibility and real-provider evidence. | A merchant receives a coherent editable storefront rather than token-only or one-section variation. | The Phase 9 evidence matrix is complete; no token-only, fixture-leaking, renderer-only or API-response-only result may pass. |</w:t>
      </w:r>
    </w:p>
    <w:p>
      <w:pPr/>
      <w:r>
        <w:rPr>
          <w:rFonts w:ascii="Helvetica Light" w:hAnsi="Helvetica Light" w:cs="Helvetica Light"/>
          <w:sz w:val="18"/>
          <w:szCs w:val="18"/>
        </w:rPr>
        <w:t>| **P10A — Grounded orchestration** | Vocabulary freeze, repository capability audit, generated Component Knowledge Registry, executable PageBlueprints, separate Skill packages, scoped instruction router, golden-store evaluation and deterministic publish compiler. | Generation retrieves what the product can actually build and compiles to the canonical snapshot. | AC-129 through AC-135 pass without a second registry, page graph or publish model. |</w:t>
      </w:r>
    </w:p>
    <w:p>
      <w:pPr/>
      <w:r>
        <w:rPr>
          <w:rFonts w:ascii="Helvetica Light" w:hAnsi="Helvetica Light" w:cs="Helvetica Light"/>
          <w:sz w:val="18"/>
          <w:szCs w:val="18"/>
        </w:rPr>
        <w:t>| **P10B — Assets and Storefront Studio UX** | Upload/library, roles/provenance, generated-image lifecycle and merchant-facing Studio flows that consume P10A contracts. | Merchants can govern assets and use generation without developer concepts. | AC-119 plus Studio-owned AC-121/122/123 evidence pass. |</w:t>
      </w:r>
    </w:p>
    <w:p>
      <w:pPr/>
      <w:r>
        <w:rPr>
          <w:rFonts w:ascii="Helvetica Light" w:hAnsi="Helvetica Light" w:cs="Helvetica Light"/>
          <w:sz w:val="18"/>
          <w:szCs w:val="18"/>
        </w:rPr>
        <w:t>| **P11 — Granular editing** | Selected section, current page, shared frame, design system and complete-storefront editing scopes. | Merchants can make controlled local or coordinated changes without unintended scope widening. | Every scope passes permissions, review, atomicity and undo tests. |</w:t>
      </w:r>
    </w:p>
    <w:p>
      <w:pPr/>
      <w:r>
        <w:rPr>
          <w:rFonts w:ascii="Helvetica Light" w:hAnsi="Helvetica Light" w:cs="Helvetica Light"/>
          <w:sz w:val="18"/>
          <w:szCs w:val="18"/>
        </w:rPr>
        <w:t>| **P12 — Stable domains and reference adapters** | Consolidate canonical domain and port contracts; provide a Vesko reference adapter and conformance suite. | Vesko teams can integrate without redesigning Veskify or creating competing commerce truth. | Reference adapter passes contract tests; full staging is not required for this phase. |</w:t>
      </w:r>
    </w:p>
    <w:p>
      <w:pPr/>
      <w:r>
        <w:rPr>
          <w:rFonts w:ascii="Helvetica Light" w:hAnsi="Helvetica Light" w:cs="Helvetica Light"/>
          <w:sz w:val="18"/>
          <w:szCs w:val="18"/>
        </w:rPr>
        <w:t>| **Later deployment work** | Authentication, tenancy, production operations, deployment, staging transports, rollout and support runbooks. | The integrated product can be operated safely in Vesko environments. | Environment-specific security, reliability and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Contract owners merge vocabulary,</w:t>
      </w:r>
    </w:p>
    <w:p>
      <w:pPr/>
      <w:r>
        <w:rPr>
          <w:rFonts w:ascii="Helvetica Light" w:hAnsi="Helvetica Light" w:cs="Helvetica Light"/>
          <w:sz w:val="18"/>
          <w:szCs w:val="18"/>
        </w:rPr>
        <w:t>capability and blueprint foundations before router, evaluation and publish-compiler consumers.</w:t>
      </w:r>
    </w:p>
    <w:p>
      <w:pPr/>
      <w:r>
        <w:rPr>
          <w:rFonts w:ascii="Helvetica Light" w:hAnsi="Helvetica Light" w:cs="Helvetica Light"/>
          <w:sz w:val="18"/>
          <w:szCs w:val="18"/>
        </w:rPr>
        <w:t>P10B consumes those merged contracts. Parallel worktree assignments must still declare owned files,</w:t>
      </w:r>
    </w:p>
    <w:p>
      <w:pPr/>
      <w:r>
        <w:rPr>
          <w:rFonts w:ascii="Helvetica Light" w:hAnsi="Helvetica Light" w:cs="Helvetica Light"/>
          <w:sz w:val="18"/>
          <w:szCs w:val="18"/>
        </w:rPr>
        <w:t>dependencies and merge order; a worktree label never changes 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Page blueprint                | Approved page-level composition rules that select compatible component families and required bindings.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v1.2.1</dc:title>
  <dc:creator>Vesko Oy</dc:creator>
  <dc:description>Synchronized human-readable export of docs/VESKIFY_SDD.md</dc:description>
  <cp:revision>1</cp:revision>
  <dcterms:created xsi:type="dcterms:W3CDTF">2026-07-30T00:00:00Z</dcterms:created>
  <dcterms:modified xsi:type="dcterms:W3CDTF">2026-07-30T00:00:00Z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67e47927262ba9211f0ff1850b58d8ae1b47964ced9bf189a77dfb8cfcc5d6d6</vt:lpwstr>
  </property>
</Properties>
</file>

<file path=docProps/meta.xml><?xml version="1.0" encoding="utf-8"?>
<meta xmlns="http://schemas.apple.com/cocoa/2006/metadata">
  <generator>CocoaOOXMLWriter/2685.6</generator>
</meta>
</file>