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15 August 2026, P10B-16P-05A active production-path and compiler rationalisation</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15 August 2026, P10B-16P-05A active production-path and compiler rationalisation</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P10B-16P-05A and implemented families</w:t>
            </w:r>
          </w:p>
        </w:tc>
        <w:tc>
          <w:tcPr>
            <w:tcW w:w="2890" w:type="dxa"/>
            <w:vAlign w:val="center"/>
          </w:tcPr>
          <w:p>
            <w:pPr>
              <w:pStyle w:val="CompactTableText"/>
              <w:widowControl/>
            </w:pPr>
            <w:r>
              <w:rPr>
                <w:rFonts w:ascii="Calibri" w:hAnsi="Calibri" w:cs="Calibri"/>
              </w:rPr>
              <w:t>Four-width EN/FI geometry, a11y, performance and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and P10B-16P-01 through P10B-16P-05A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P10B-16P-05B, P10B-17, and P10B-18 remain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sequence is a mandatory convergence package between P10B-16 and P10B-17; it supplements rather than renumbers the locked P10B-01 through P10B-18 plan. P10B-16P-05B follows P10B-18 as the final consumer-verified historical cleanup. The canonical search query/results adapter is the next focused product task.</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but runtime search materialization requires exact transient query/results from a first-class canonical adapter. Until P11 supplies that seam, missing search context fails closed and never substitutes a collection.</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Search presentation remains registered while execution fails closed.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The next focused product task is the canonical search query/results adapter. Search presentation is registered today, but execution remains fail closed until exact transient query/results authority exists.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P10B-16P-05A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3" w:history="1">
        <w:r>
          <w:rPr>
            <w:rFonts w:ascii="Calibri" w:hAnsi="Calibri" w:cs="Calibri"/>
            <w:color w:val="2E74B5"/>
            <w:u w:val="single"/>
          </w:rPr>
          <w:t>VESKO_OPENAPI_CONTRACT_AUDIT.md</w:t>
        </w:r>
      </w:hyperlink>
      <w:r>
        <w:rPr>
          <w:rFonts w:ascii="Calibri" w:hAnsi="Calibri" w:cs="Calibri"/>
        </w:rPr>
        <w:t xml:space="preserve"> and </w:t>
      </w:r>
      <w:hyperlink r:id="rIdHyperlink24"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152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VESKO_OPENAPI_CONTRACT_AUDIT.md" TargetMode="External"/><Relationship Id="rIdHyperlink24"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0180b27bda411a9de6e8c363776f08452fa28b43cbad243afad3a3ae0bb440bf</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