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widowControl/>
      </w:pPr>
      <w:r>
        <w:rPr>
          <w:rFonts w:ascii="Calibri" w:hAnsi="Calibri" w:cs="Calibri"/>
        </w:rPr>
        <w:t>Veskify Development Delivery Tracker</w:t>
      </w:r>
    </w:p>
    <w:p>
      <w:pPr>
        <w:pStyle w:val="Subtitle"/>
        <w:jc w:val="center"/>
        <w:widowControl/>
      </w:pPr>
      <w:r>
        <w:rPr>
          <w:rFonts w:ascii="Calibri" w:hAnsi="Calibri" w:cs="Calibri"/>
        </w:rPr>
        <w:t>Version 1.3.0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Delivery status baseline: 6 August 2026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Overall product status: Partial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Active phase: P10A grounded orchestration and publishing closure</w:t>
      </w:r>
    </w:p>
    <w:p>
      <w:pPr>
        <w:pStyle w:val="CoverMeta"/>
        <w:jc w:val="center"/>
        <w:widowControl/>
      </w:pPr>
      <w:r>
        <w:rPr>
          <w:rFonts w:ascii="Calibri" w:hAnsi="Calibri" w:cs="Calibri"/>
        </w:rPr>
        <w:t>Authoritative source: docs/VESKIFY_DEVELOPMENT_DELIVERY_TRACKER.md</w:t>
      </w:r>
    </w:p>
    <w:p>
      <w:pPr>
        <w:pStyle w:val="Normal"/>
        <w:widowControl/>
      </w:pPr>
      <w:r>
        <w:br w:type="page"/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Document control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2600"/>
        <w:gridCol w:w="10360"/>
      </w:tblGrid>
      <w:tr>
        <w:trPr>
          <w:tblHeader/>
          <w:cantSplit/>
        </w:trPr>
        <w:tc>
          <w:tcPr>
            <w:tcW w:w="26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Field</w:t>
            </w:r>
          </w:p>
        </w:tc>
        <w:tc>
          <w:tcPr>
            <w:tcW w:w="1036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Value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Version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1.3.0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Baseline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 xml:space="preserve">6 August 2026, current </w:t>
            </w:r>
            <w:r>
              <w:rPr>
                <w:rFonts w:ascii="Consolas" w:hAnsi="Consolas" w:cs="Consolas"/>
                <w:sz w:val="19"/>
                <w:szCs w:val="19"/>
              </w:rPr>
              <w:t>main</w:t>
            </w:r>
            <w:r>
              <w:rPr>
                <w:rFonts w:ascii="Calibri" w:hAnsi="Calibri" w:cs="Calibri"/>
              </w:rPr>
              <w:t xml:space="preserve"> after PR #165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Overall product status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Authoritative specification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hyperlink r:id="rIdHyperlink1" w:history="1">
              <w:r>
                <w:rPr>
                  <w:rFonts w:ascii="Calibri" w:hAnsi="Calibri" w:cs="Calibri"/>
                  <w:color w:val="2E74B5"/>
                  <w:u w:val="single"/>
                </w:rPr>
                <w:t>VESKIFY_SDD.md</w:t>
              </w:r>
            </w:hyperlink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Delivery order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hyperlink r:id="rIdHyperlink2" w:history="1">
              <w:r>
                <w:rPr>
                  <w:rFonts w:ascii="Calibri" w:hAnsi="Calibri" w:cs="Calibri"/>
                  <w:color w:val="2E74B5"/>
                  <w:u w:val="single"/>
                </w:rPr>
                <w:t>VESKIFY_DEVELOPMENT_ROADMAP.md</w:t>
              </w:r>
            </w:hyperlink>
          </w:p>
        </w:tc>
      </w:tr>
      <w:tr>
        <w:trPr/>
        <w:tc>
          <w:tcPr>
            <w:tcW w:w="260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Checkbox rule</w:t>
            </w:r>
          </w:p>
        </w:tc>
        <w:tc>
          <w:tcPr>
            <w:tcW w:w="10360" w:type="dxa"/>
            <w:vAlign w:val="center"/>
          </w:tcPr>
          <w:p>
            <w:pPr>
              <w:pStyle w:val="TableText"/>
              <w:widowControl/>
            </w:pPr>
            <w:r>
              <w:rPr>
                <w:rFonts w:ascii="Calibri" w:hAnsi="Calibri" w:cs="Calibri"/>
              </w:rPr>
              <w:t>A checked box means the complete stated outcome and evidence gate are satisfied; an unchecked box means incomplete.</w:t>
            </w:r>
          </w:p>
        </w:tc>
      </w:tr>
    </w:tbl>
    <w:p>
      <w:pPr>
        <w:pStyle w:val="Normal"/>
        <w:widowControl/>
      </w:pPr>
    </w:p>
    <w:p>
      <w:pPr>
        <w:pStyle w:val="Normal"/>
        <w:widowControl/>
      </w:pPr>
      <w:r>
        <w:rPr>
          <w:rFonts w:ascii="Calibri" w:hAnsi="Calibri" w:cs="Calibri"/>
        </w:rPr>
        <w:t>Implementation status and evidence level are separate. A task is not done because a contract, test, or partial implementation exists. The checkbox changes only when the task's complete outcome and required evidence are accepted.</w:t>
      </w:r>
    </w:p>
    <w:p>
      <w:pPr>
        <w:pStyle w:val="Heading1"/>
        <w:keepNext/>
        <w:widowControl/>
      </w:pPr>
      <w:r>
        <w:rPr>
          <w:rFonts w:ascii="Calibri" w:hAnsi="Calibri" w:cs="Calibri"/>
        </w:rPr>
        <w:t>Overall phase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Grounded orchestration and publishing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Partial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orchestration and 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Phase 9 handoff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Controlled-provider where eligible; deterministic; integration; browser/E2E; retained publication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Storefront Design System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 chain; responsive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Editing Experience v1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commercial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Integration; browser/E2E; retained human commercial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P10D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Advanced media and registered interactive presentation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Relevant P10B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Contract; browser/E2E; accessibility; performance; fallback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Integration Readiness and Reference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decisions; P10A and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conformance; browser/E2E; Vesko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Production hardening and pilot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platform/operations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 staging exit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Security; load; recovery; monitoring; controlled production pilot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P10A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☑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P10A-07C-03R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Controlled real-provider acceptance completion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Provider acceptance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Explicit approval and eligible trusted OpenAI configuration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initial case before one follow-up case; retained real-provider evidence; no retry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Accepted-AI acceptance-to-receipt wiring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Existing acceptance, receipt, and gateway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Deterministic; integration; browser/E2E; stale/divergent/no-partial-write rejection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compiled publication and rollback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P10A-08B-02 and deterministic compiler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Atomic artifact/version/history persistence; idempotency; rollback/republish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P10A-08D-02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Complete publication evidence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Publishing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P10A-08C-02B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Gateway/compiler home, collection, PDP; failure; active version; rollback; zero-provider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 record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Prior P10A closure tasks or explicit disposition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closure and evidence coverage record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P10B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Executable commercial vocabulary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Contract/schema and deterministic reachability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Semantic visual foundations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migration, renderer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image and art-direction authority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P10B-01, P10B-02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responsive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Premium shared frame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Capability-chain and responsive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Hero, editorial, campaign, and proof families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Proposal/compiler/render reachability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product-card and merchandising system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P10B-02, P10B-03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Commerce regression, capability chain,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collection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Materialization-to-render evidence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PDP profiles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commerce presentation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Dynamic-commerce regression and visual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Coordinated storefront directions v2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P10B-04 through P10B-08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Exact selection and complete-storefront differentiation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Narrative composition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generation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P10B-05 through P10B-09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Proposal/compiler/snapshot preservation and human review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Responsive commercial closure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Design system and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P10B-02 through P10B-10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 matrix at 375, 768, 1024, 1440 px and accessibility checks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P10B-12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Commercial visual-quality gate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design system,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All prior P10B tasks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Retained screenshots and explicit human acceptance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P10C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asset library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asset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Contract, integration,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Asset roles and provenance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Assignment validation and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Canonical Puck boundary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P10B component/profile authority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Adapter conformance and save/reload preservation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Stable frame identity and selection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Frame/page scope integration and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manual frame operations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P10C-02 through P10C-04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Positive/fail-closed integration, undo/redo,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Scoped AI editing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design agent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P10C-03 through P10C-05; P10A authorities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Scope, ambiguity, and proposal lifecycle browser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Unified AI/manual history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 and state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P10C-05, P10C-06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Mixed-operation atomicity, save/reload, undo/redo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Brand and asset editor with Studio shell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Studio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P10C-01 through P10C-07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UI states, responsive accessibility, browser/E2E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Studio commercial QA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Planned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owner, Storefront Studio,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P10C-08 and P10B-12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Full select-to-publish browser chain and human review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P11 checklist</w:t>
      </w:r>
    </w:p>
    <w:tbl>
      <w:tblPr>
        <w:tblW w:w="12960" w:type="dxa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Borders>
          <w:top w:val="single" w:sz="4" w:color="B8C4D2"/>
          <w:left w:val="single" w:sz="4" w:color="B8C4D2"/>
          <w:bottom w:val="single" w:sz="4" w:color="B8C4D2"/>
          <w:right w:val="single" w:sz="4" w:color="B8C4D2"/>
          <w:insideH w:val="single" w:sz="4" w:color="D8E0E8"/>
          <w:insideV w:val="single" w:sz="4" w:color="D8E0E8"/>
        </w:tblBorders>
      </w:tblPr>
      <w:tblGrid>
        <w:gridCol w:w="520"/>
        <w:gridCol w:w="1800"/>
        <w:gridCol w:w="2800"/>
        <w:gridCol w:w="850"/>
        <w:gridCol w:w="1500"/>
        <w:gridCol w:w="2500"/>
        <w:gridCol w:w="2990"/>
      </w:tblGrid>
      <w:tr>
        <w:trPr>
          <w:tblHeader/>
          <w:cantSplit/>
        </w:trPr>
        <w:tc>
          <w:tcPr>
            <w:tcW w:w="52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Done</w:t>
            </w:r>
          </w:p>
        </w:tc>
        <w:tc>
          <w:tcPr>
            <w:tcW w:w="1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Task</w:t>
            </w:r>
          </w:p>
        </w:tc>
        <w:tc>
          <w:tcPr>
            <w:tcW w:w="28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Outcome</w:t>
            </w:r>
          </w:p>
        </w:tc>
        <w:tc>
          <w:tcPr>
            <w:tcW w:w="85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Status</w:t>
            </w:r>
          </w:p>
        </w:tc>
        <w:tc>
          <w:tcPr>
            <w:tcW w:w="1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Owner</w:t>
            </w:r>
          </w:p>
        </w:tc>
        <w:tc>
          <w:tcPr>
            <w:tcW w:w="250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Dependency</w:t>
            </w:r>
          </w:p>
        </w:tc>
        <w:tc>
          <w:tcPr>
            <w:tcW w:w="2990" w:type="dxa"/>
            <w:vAlign w:val="center"/>
            <w:shd w:val="clear" w:fill="E8EEF5"/>
          </w:tcPr>
          <w:p>
            <w:pPr>
              <w:pStyle w:val="TableHeader"/>
              <w:jc w:val="center"/>
              <w:widowControl/>
            </w:pPr>
            <w:r>
              <w:rPr>
                <w:rFonts w:ascii="Calibri" w:hAnsi="Calibri" w:cs="Calibri"/>
              </w:rPr>
              <w:t>Required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☑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OpenAPI audit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Baseline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architecture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Obtained OpenAPI 3.0 document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Contract audit and integration matrix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Backend contract closure and ownership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platform decisions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typed contracts and ownership record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Identity and store-context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Auth/tenant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Catalogue and navigation projection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Read-only adapter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P11-04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Variant, option, price, availability and media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commerce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Simple/configurable product conformance and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P11-05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Approved presentation-asset service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media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media ownership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Provenance, permissions, lifecycle,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P11-06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Storefront draft and history persistence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P11-01, P11-02, persistence/revision contract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Concurrency and canonical save/reload/restore in staging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P11-07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Accepted receipt and publication adapter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P10A closure; P11-01, P11-02, P11-06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Receipt/gateway/compiler/artifact conformance and staging publication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P11-08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Synchronization, revisions, errors and caching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P11-03 through P11-07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Conflict, retry, cache, and recovery integration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Vesko staging conformance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Veskify + Vesko platform + QA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P11-02 through P11-08; minimum P10C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Browser/E2E and correlated Vesko staging evidence</w:t>
            </w:r>
          </w:p>
        </w:tc>
      </w:tr>
      <w:tr>
        <w:trPr/>
        <w:tc>
          <w:tcPr>
            <w:tcW w:w="52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</w:rPr>
              <w:t>☐</w:t>
            </w:r>
          </w:p>
        </w:tc>
        <w:tc>
          <w:tcPr>
            <w:tcW w:w="1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P11-10</w:t>
            </w:r>
          </w:p>
        </w:tc>
        <w:tc>
          <w:tcPr>
            <w:tcW w:w="28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Pilot readiness</w:t>
            </w:r>
          </w:p>
        </w:tc>
        <w:tc>
          <w:tcPr>
            <w:tcW w:w="850" w:type="dxa"/>
            <w:vAlign w:val="center"/>
          </w:tcPr>
          <w:p>
            <w:pPr>
              <w:pStyle w:val="CompactTableText"/>
              <w:jc w:val="center"/>
              <w:widowControl/>
            </w:pPr>
            <w:r>
              <w:rPr>
                <w:rFonts w:ascii="Calibri" w:hAnsi="Calibri" w:cs="Calibri"/>
                <w:b/>
                <w:bCs/>
              </w:rPr>
              <w:t>Blocked</w:t>
            </w:r>
          </w:p>
        </w:tc>
        <w:tc>
          <w:tcPr>
            <w:tcW w:w="1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Product owner + Veskify/Vesko leads</w:t>
            </w:r>
          </w:p>
        </w:tc>
        <w:tc>
          <w:tcPr>
            <w:tcW w:w="250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P11-09</w:t>
            </w:r>
          </w:p>
        </w:tc>
        <w:tc>
          <w:tcPr>
            <w:tcW w:w="2990" w:type="dxa"/>
            <w:vAlign w:val="center"/>
          </w:tcPr>
          <w:p>
            <w:pPr>
              <w:pStyle w:val="CompactTableText"/>
              <w:widowControl/>
            </w:pPr>
            <w:r>
              <w:rPr>
                <w:rFonts w:ascii="Calibri" w:hAnsi="Calibri" w:cs="Calibri"/>
              </w:rPr>
              <w:t>One real pilot with signed evidence and documented limitations</w:t>
            </w:r>
          </w:p>
        </w:tc>
      </w:tr>
    </w:tbl>
    <w:p>
      <w:pPr>
        <w:pStyle w:val="Normal"/>
        <w:widowControl/>
      </w:pPr>
    </w:p>
    <w:p>
      <w:pPr>
        <w:pStyle w:val="Heading1"/>
        <w:keepNext/>
        <w:widowControl/>
      </w:pPr>
      <w:r>
        <w:rPr>
          <w:rFonts w:ascii="Calibri" w:hAnsi="Calibri" w:cs="Calibri"/>
        </w:rPr>
        <w:t>Task definitions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P10A — Grounded orchestration and publishing closure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P10A-07C-03R — Controlled real-provider acceptance completion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Execute exactly one eligible initial-generation case, then one follow-up-editing case, through the controlled real-provider boundary.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 Completed 7 August 2026 with one successful initial-generation call before one successful hero follow-up call, safe retained evidence, and no retry.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Explicit approval and eligible trusted OpenAI provider/model configuration.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Safe correlated real-provider evidence; initial succeeds before follow-up; no retry.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Provider redesign, synthetic success, retry, or merchant editor wiring.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P10A-08B-02 — Accepted-AI acceptance-to-receipt wiring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Authoritative proposal acceptance mints and persists the exact server-owned accepted-snapshot receipt, and the active publish gateway resolves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Existing proposal acceptance, receipt repository, and publishing gateway.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lineage, create-once persistence, manual/AI separation, stale and accept-then-undo rejection, and no partial write.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Browser-created receipt authority or fallback to manual publication.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P10A-08C-02B — Atomic compiled publication and rollback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Commit the compiled artifact, published snapshot, publication history, and active version atomically; preserve the existing live version on failure; restore to draft and change live state only through explicit republish.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P10A-08B-02 and the current deterministic publish compiler.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Deterministic identity, atomicity, idempotency, active-pointer safety, rollback, republish, and failure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editable state model or copied commerce snapshot.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P10A-08D-02 — Complete publication evidence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manual and accepted-AI compile/publish, exact homepage/collection/PDP rendering, failure atomicity, draft/published isolation, restore, and republish with zero provider calls during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P10A-08C-02B.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Browser/E2E and retained manual evidence correlated to compiled version, including no-partial-write and zero-provider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P10B commercial visual acceptance.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P10A-09 — Closure record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Synchronize evidence, limitations, README, SDD, roadmap, and exports and formally close P10A.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remaining P10A tasks or explicit product-owner disposition.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Traceable closure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Merchant-facing routing, clarification, or scope controls; those belong to P10C.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P10B — Commercial Storefront Design System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P10B-01 — Executable commercial vocabulary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typography, layout, surface, media, component, and responsive vocabulary enforceable through existing authority without arbitrary CSS or a second token store.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 and accepted P10B audit/specification.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Contract/schema and deterministic runtime-queryability.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vocabulary, registry, recipe, or token system.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P10B-02 — Semantic visual foundations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every storefront surface consume coherent typography, spacing, containers, surfaces, borders, radius, elevation, controls, and density.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Schema/migration, renderer integration,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CSS or direction-owned global tokens.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P10B-03 — Responsive image and art-direction authority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images bounded focal points, safe areas, crops, ratios, overlays, and responsive derivatives without replacing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P10B-01, P10B-02.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Provenance/role validation and responsive browser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Mutating Vesko media or unrestricted image generation.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P10B-04 — Premium shared frame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header, navigation, announcement, and footer systems commercially distinct and coherent across desktop/mobile and EN/FI.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Full capability chain and human responsive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Merchant editor frame controls.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P10B-05 — Hero, editorial, campaign, and proof families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Provide meaningful registered first-impression, storytelling, promotion, and evidence-backed trust compositions without generic filler.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Proposal-to-render reachability and retained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Invented claims, trust marks, certifications, or arbitrary sections.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P10B-06 — Canonical product-card and merchandising system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one protected card authority with materially distinct editorial, dense, compact, and image-led merchandising across home, collection, and recommendations.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P10B-02, P10B-03.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Protected-commerce regression, capability chain,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Product, price, stock, variant, or availability ownership.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P10B-07 — Commercial collection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editorial discovery, catalogue comparison, and campaign-led collection profiles differ materially in hierarchy, filters, child collections, density, and cards.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materialization, proposal/compiler/snapshot/render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collection template engine.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P10B-08 — Commercial PDP profiles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standard, high-consideration, gallery-led, and variant-led PDPs provide distinct purchase experiences while preserving generic options and commerce truth.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incomplete/unavailable selection, selected variant price/availability/media, fallback, and visual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Product-type-specific forks or copied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P10B-09 — Coordinated storefront directions v2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Make Premium Editorial, Modern Technical, and Minimal Commerce complete coordinated cross-page packages rather than colour-only themes.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P10B-04 through P10B-08.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Exact materialized component/variant matches and complete-storefront differentiation.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second token, recipe, PageBlueprint, or page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P10B-10 — Narrative composition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pages coherent commercial narrative roles, visual weight, adjacency, and omission rules.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P10B-05 through P10B-09.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Governed proposal expression, compiler/snapshot preservation, human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Unverified merchant claims or free-form generated pages.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P10B-11 — Responsive commercial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Preserve deliberate hierarchy and usability for every direction at 375, 768, 1024, and 1440 px.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P10B-02 through P10B-10.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 matrix, accessibility checks, retained screenshots.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Desktop-only approval or isolated component snapshots.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P10B-12 — Commercial visual-quality gate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that a serious retailer can publish the generated complete storefront without a designer rebuilding it.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All prior P10B tasks.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home, collection, simple PDP, configurable PDP, all directions, EN/FI, all target widths, credible assets, and explicit retained human acceptance with no generic starter-theme appearance.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Closure through schemas, test counts, placeholders, or automated screenshots alone.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P10C — Storefront Studio Editing Experience v1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P10C-01 — Brand asset library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Let merchants view and choose approved presentation assets in Storefront Studio.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Contract, integration,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Product-media replacement or generic DAM scope.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P10C-02 — Asset roles and provenance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Show and preserve role, source, approval, revision, and assignment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Valid assignment and stale/unknown/role-mismatch rejection.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Untyped uploads or hidden provenance.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P10C-03 — Canonical Puck boundary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Project registered canonical content into Puck and validate edits back into the same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P10B component/profile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 and save/reload preservation.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Puck persistence or a second page tree.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P10C-04 — Stable frame identity and selection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Select and edit one shared frame consistently from every page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Stable identity, scope, history, and browser behavior.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frame state per page.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P10C-05 — Approved manual frame operations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Support bounded manual shared-frame add, remove, reorder, field, asset, and presentation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P10C-02 through P10C-04.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Positive and fail-closed integration, undo/redo,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Arbitrary code/CSS/components or commerce mutation.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P10C-06 — Scoped AI editing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Connect merchant routing, clarification, frame/page scope, and proposal review to the existing P10A governed authorities.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P10C-03 through P10C-05 and P10A internal router/packages.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Selected-section, frame, page, storefront, ambiguity, stale, and failure browser flows.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Rebuilding the router, packages, proposals, or provider boundary.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P10C-07 — Unified AI/manual history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Put manual and accepted AI operations into one atomic canonical undo/redo history.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P10C-05, P10C-06.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Mixed edits, undo/redo, save/reload, stale protection.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 Puck-only or AI-only history.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P10C-08 — Brand and asset editor with Studio shell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Deliver the merchant shell subset required to operate assets, canvas, review, save, preview, and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P10C-01 through P10C-07.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Default/loading/empty/error/stale/success/unsaved states, accessibility, responsive browser/E2E.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Full CMS or exposure of implementation internals.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P10C-09 — Studio commercial QA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select frame → manual edit → bounded AI edit elsewhere → add/remove/reorder → undo/redo → save → preview → publish.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P10C-08 and P10B-12.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Complete browser/E2E chain and retained human commercial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Reopening P10B design-system scope.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P10D — Advanced media and registered interactive presentation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P10D — Governed advanced media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Add justified generated imagery, registered video, and registered GLTF/GLB/Three.js presentation with accessible, performant static fallbacks.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Planned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Relevant P10B component and asset authority.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Provenance, contract, browser/E2E, accessibility, performance, fallback review.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AI-generated implementation code or a dependency for the first commercial store, minimum editor, or Vesko pilot.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P11 — Vesko Integration Readiness and Reference Adapter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P11-00 — Vesko OpenAPI audit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the real endpoint inventory, usable surfaces, incompatibilities, missing authority, and integration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Baseline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Obtained Vesko OpenAPI 3.0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obtained contract audit and integration matrix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</w:t>
      </w:r>
      <w:hyperlink r:id="rIdHyperlink3" w:history="1">
        <w:r>
          <w:rPr>
            <w:rFonts w:ascii="Calibri" w:hAnsi="Calibri" w:cs="Calibri"/>
            <w:color w:val="2E74B5"/>
            <w:u w:val="single"/>
          </w:rPr>
          <w:t>VESKO_OPENAPI_CONTRACT_AUDIT.md</w:t>
        </w:r>
      </w:hyperlink>
      <w:r>
        <w:rPr>
          <w:rFonts w:ascii="Calibri" w:hAnsi="Calibri" w:cs="Calibri"/>
        </w:rPr>
        <w:t xml:space="preserve"> and </w:t>
      </w:r>
      <w:hyperlink r:id="rIdHyperlink4" w:history="1">
        <w:r>
          <w:rPr>
            <w:rFonts w:ascii="Calibri" w:hAnsi="Calibri" w:cs="Calibri"/>
            <w:color w:val="2E74B5"/>
            <w:u w:val="single"/>
          </w:rPr>
          <w:t>VESKO_VESKIFY_INTEGRATION_MATRIX.md</w:t>
        </w:r>
      </w:hyperlink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Claiming that the contract is sufficient or that an adapter is implemented.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P11-01 — Backend contract closure and ownership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Agree security, tenant context, typed responses, revisions, errors, navigation, missing Veskify APIs, and ownership with Vesko backend owners.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Vesko platform decisions.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Approved contracts and ownership matrix.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Coding against inferred bodies or changing Veskify canonical models to raw API shapes.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P11-02 — Identity and store-context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Resolve trusted tenant, store, user, permission, locale, subdomain, and custom-domain context.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authorization/tenant isolation,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Browser-submitted or global implicit store authority.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P11-03 — Catalogue and navigation projection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Map products, brands, categories/collections, product groups, merchandising order, and routes into one versioned read-only projection.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adapter conformance and staging reads.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Veskify catalogue/navigation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P11-04 — Variant, option, price, availability and media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variants, options, price, availability, and media for simple and configurable products without apparel-specific frontend assumptions.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Simple watch, complex ring, missing/unknown states, and Vesko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Duplicating commerce resolution or mutating commerce facts.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P11-05 — Approved presentation-asset service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Give approved logo, campaign, and editorial assets typed identity, role, revision, approval, derivatives, and retention separate from canonical product media.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Vesko media ownership decision.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Typed lifecycle, permissions, provenance, and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Overwriting product media or storing unapproved assets as canonical.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P11-06 — Storefront draft and history persistence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authenticated tenant-scoped revisioned </w:t>
      </w:r>
      <w:r>
        <w:rPr>
          <w:rFonts w:ascii="Consolas" w:hAnsi="Consolas" w:cs="Consolas"/>
          <w:sz w:val="19"/>
          <w:szCs w:val="19"/>
        </w:rPr>
        <w:t>StorefrontSnapshot</w:t>
      </w:r>
      <w:r>
        <w:rPr>
          <w:rFonts w:ascii="Calibri" w:hAnsi="Calibri" w:cs="Calibri"/>
        </w:rPr>
        <w:t xml:space="preserve"> drafts, immutable history, and restore-to-draft.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P11-01, P11-02, and persistence/revision contract.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Adapter conformance, conflict behavior, save/reload/restore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Raw </w:t>
      </w:r>
      <w:r>
        <w:rPr>
          <w:rFonts w:ascii="Consolas" w:hAnsi="Consolas" w:cs="Consolas"/>
          <w:sz w:val="19"/>
          <w:szCs w:val="19"/>
        </w:rPr>
        <w:t>/puck</w:t>
      </w:r>
      <w:r>
        <w:rPr>
          <w:rFonts w:ascii="Calibri" w:hAnsi="Calibri" w:cs="Calibri"/>
        </w:rPr>
        <w:t xml:space="preserve"> persistence.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P11-07 — Accepted receipt and publication adapter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Persist accepted authority, compiled artifacts, publication history, and active version through an authenticated idempotent transaction.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P10A closure, P11-01, P11-02, P11-06.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Receipt/gateway/compiler/artifact conformance and staging publication.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Browser publication, manual/AI authority collapse, or commerce writes.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P11-08 — Synchronization, revisions, errors and caching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Expose commerce/media revision and synchronization authority, typed stale/conflict errors, retry policy, and bounded caching.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P11-03 through P11-07.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Conflict, retry, cache, and recovery integration in staging.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Silent last-write-wins or unbounded retry.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P11-09 — Vesko staging conformance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Complete Vesko identity/catalogue → Veskify projection → generate → edit → save → publish → render → change Vesko commerce → refresh without presentation corruption.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P11-02 through P11-08 and the minimum P10C editor.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Correlated browser/E2E and Vesko staging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Production readiness claim.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P11-10 — Pilot readiness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Prove one real pilot has onboarding, diagnostics, audit records, observability, recovery guidance, and documented limitations.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P11-09.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Signed pilot-readiness and operational handoff record.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Automatic production rollout.</w:t>
      </w:r>
    </w:p>
    <w:p>
      <w:pPr>
        <w:pStyle w:val="Heading2"/>
        <w:keepNext/>
        <w:widowControl/>
      </w:pPr>
      <w:r>
        <w:rPr>
          <w:rFonts w:ascii="Calibri" w:hAnsi="Calibri" w:cs="Calibri"/>
        </w:rPr>
        <w:t>P12 — Production hardening and pilot operations</w:t>
      </w:r>
    </w:p>
    <w:p>
      <w:pPr>
        <w:pStyle w:val="Heading3"/>
        <w:keepNext/>
        <w:widowControl/>
      </w:pPr>
      <w:r>
        <w:rPr>
          <w:rFonts w:ascii="Calibri" w:hAnsi="Calibri" w:cs="Calibri"/>
        </w:rPr>
        <w:t>P12 — Production and pilot closure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Outcome:</w:t>
      </w:r>
      <w:r>
        <w:rPr>
          <w:rFonts w:ascii="Calibri" w:hAnsi="Calibri" w:cs="Calibri"/>
        </w:rPr>
        <w:t xml:space="preserve"> Establish authentication, tenant isolation, security, observability, performance, backup/recovery, deployment, incidents, and controlled pilot operations.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Status: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Blocked</w:t>
      </w:r>
      <w:r>
        <w:rPr>
          <w:rFonts w:ascii="Calibri" w:hAnsi="Calibri" w:cs="Calibri"/>
        </w:rPr>
        <w:t>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Depends on:</w:t>
      </w:r>
      <w:r>
        <w:rPr>
          <w:rFonts w:ascii="Calibri" w:hAnsi="Calibri" w:cs="Calibri"/>
        </w:rPr>
        <w:t xml:space="preserve"> P11-10.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Done when:</w:t>
      </w:r>
      <w:r>
        <w:rPr>
          <w:rFonts w:ascii="Calibri" w:hAnsi="Calibri" w:cs="Calibri"/>
        </w:rPr>
        <w:t xml:space="preserve"> The stated outcome and required evidence are accepted.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Required evidence:</w:t>
      </w:r>
      <w:r>
        <w:rPr>
          <w:rFonts w:ascii="Calibri" w:hAnsi="Calibri" w:cs="Calibri"/>
        </w:rPr>
        <w:t xml:space="preserve"> Security/load/recovery exercises, production telemetry, and controlled pilot evidence.</w:t>
      </w:r>
    </w:p>
    <w:p>
      <w:pPr>
        <w:pStyle w:val="Normal"/>
        <w:numPr>
          <w:ilvl w:val="0"/>
          <w:numId w:val="1"/>
        </w:numPr>
        <w:widowControl/>
      </w:pPr>
      <w:r>
        <w:rPr>
          <w:rFonts w:ascii="Calibri" w:hAnsi="Calibri" w:cs="Calibri"/>
          <w:b/>
          <w:bCs/>
        </w:rPr>
        <w:t>Non-goal:</w:t>
      </w:r>
      <w:r>
        <w:rPr>
          <w:rFonts w:ascii="Calibri" w:hAnsi="Calibri" w:cs="Calibri"/>
        </w:rPr>
        <w:t xml:space="preserve"> New design, editor, advanced-media, or commerce scope.</w:t>
      </w:r>
    </w:p>
    <w:sectPr>
      <w:footerReference w:type="default" r:id="rId4"/>
      <w:pgSz w:w="15840" w:h="12240" w:orient="landscape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pStyle w:val="Footer"/>
      <w:pBdr>
        <w:top w:val="single" w:sz="4" w:space="6" w:color="D8E0E8"/>
      </w:pBdr>
      <w:tabs>
        <w:tab w:val="right" w:pos="12960"/>
      </w:tabs>
    </w:pPr>
    <w:r>
      <w:rPr>
        <w:rFonts w:ascii="Calibri" w:hAnsi="Calibri" w:cs="Calibri"/>
      </w:rPr>
      <w:t>Veskify Delivery Tracker v1.3.0</w:t>
    </w:r>
    <w:r>
      <w:rPr>
        <w:rFonts w:ascii="Calibri" w:hAnsi="Calibri" w:cs="Calibri"/>
      </w:rPr>
      <w:t xml:space="preserve">	Page </w:t>
    </w:r>
    <w:fldSimple w:instr=" PAGE ">
      <w:r>
        <w:t>1</w:t>
      </w:r>
    </w:fldSimple>
    <w:r>
      <w:rPr>
        <w:rFonts w:ascii="Calibri" w:hAnsi="Calibri" w:cs="Calibri"/>
      </w:rPr>
      <w:t xml:space="preserve"> of </w:t>
    </w:r>
    <w:fldSimple w:instr=" NUMPAGES ">
      <w:r>
        <w:t>1</w:t>
      </w:r>
    </w:fldSimple>
  </w:p>
</w:ft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2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3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4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5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6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</w:numbering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17212B"/>
      </w:rPr>
    </w:rPrDefault>
    <w:pPrDefault>
      <w:pPr>
        <w:spacing w:after="120" w:line="300" w:lineRule="auto"/>
        <w:widowControl/>
      </w:pPr>
    </w:pPrDefault>
  </w:docDefaults>
  <w:style w:type="paragraph" w:default="1" w:styleId="Normal">
    <w:name w:val="Normal"/>
    <w:qFormat/>
    <w:pPr>
      <w:spacing w:before="0" w:after="120" w:line="300" w:lineRule="auto"/>
      <w:widowControl/>
    </w:pPr>
    <w:rPr>
      <w:rFonts w:ascii="Calibri" w:hAnsi="Calibri" w:cs="Calibri"/>
      <w:sz w:val="22"/>
      <w:szCs w:val="22"/>
      <w:color w:val="17212B"/>
    </w:rPr>
  </w:style>
  <w:style w:type="paragraph" w:styleId="Title">
    <w:name w:val="Title"/>
    <w:basedOn w:val="Normal"/>
    <w:next w:val="Normal"/>
    <w:qFormat/>
    <w:pPr>
      <w:spacing w:before="2200" w:after="180"/>
      <w:jc w:val="center"/>
      <w:keepNext/>
    </w:pPr>
    <w:rPr>
      <w:rFonts w:ascii="Calibri" w:hAnsi="Calibri"/>
      <w:b/>
      <w:color w:val="17365D"/>
      <w:sz w:val="58"/>
      <w:szCs w:val="58"/>
    </w:rPr>
  </w:style>
  <w:style w:type="paragraph" w:styleId="Subtitle">
    <w:name w:val="Subtitle"/>
    <w:basedOn w:val="Normal"/>
    <w:next w:val="Normal"/>
    <w:pPr>
      <w:spacing w:after="120"/>
      <w:jc w:val="center"/>
    </w:pPr>
    <w:rPr>
      <w:rFonts w:ascii="Calibri" w:hAnsi="Calibri"/>
      <w:color w:val="4B6075"/>
      <w:sz w:val="28"/>
      <w:szCs w:val="28"/>
    </w:rPr>
  </w:style>
  <w:style w:type="paragraph" w:styleId="CoverMeta">
    <w:name w:val="Cover Metadata"/>
    <w:basedOn w:val="Normal"/>
    <w:next w:val="Normal"/>
    <w:pPr>
      <w:spacing w:before="40" w:after="40"/>
      <w:jc w:val="center"/>
    </w:pPr>
    <w:rPr>
      <w:rFonts w:ascii="Calibri" w:hAnsi="Calibri"/>
      <w:color w:val="607080"/>
      <w:sz w:val="20"/>
      <w:szCs w:val="20"/>
    </w:rPr>
  </w:style>
  <w:style w:type="paragraph" w:styleId="Heading1">
    <w:name w:val="heading 1"/>
    <w:basedOn w:val="Normal"/>
    <w:next w:val="Normal"/>
    <w:qFormat/>
    <w:uiPriority w:val="9"/>
    <w:pPr>
      <w:spacing w:before="360" w:after="200"/>
      <w:keepNext/>
      <w:keepLines/>
      <w:outlineLvl w:val="0"/>
    </w:pPr>
    <w:rPr>
      <w:rFonts w:ascii="Calibri" w:hAnsi="Calibri"/>
      <w:b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uiPriority w:val="9"/>
    <w:pPr>
      <w:spacing w:before="280" w:after="140"/>
      <w:keepNext/>
      <w:keepLines/>
      <w:outlineLvl w:val="1"/>
    </w:pPr>
    <w:rPr>
      <w:rFonts w:ascii="Calibri" w:hAnsi="Calibri"/>
      <w:b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uiPriority w:val="9"/>
    <w:pPr>
      <w:spacing w:before="200" w:after="100"/>
      <w:keepNext/>
      <w:keepLines/>
      <w:outlineLvl w:val="2"/>
    </w:pPr>
    <w:rPr>
      <w:rFonts w:ascii="Calibri" w:hAnsi="Calibri"/>
      <w:b/>
      <w:color w:val="1F4D78"/>
      <w:sz w:val="24"/>
      <w:szCs w:val="24"/>
    </w:rPr>
  </w:style>
  <w:style w:type="paragraph" w:styleId="Quote">
    <w:name w:val="Quote"/>
    <w:basedOn w:val="Normal"/>
    <w:next w:val="Normal"/>
    <w:pPr>
      <w:spacing w:before="120" w:after="160" w:line="300" w:lineRule="auto"/>
    </w:pPr>
    <w:rPr>
      <w:i/>
      <w:color w:val="274760"/>
    </w:rPr>
  </w:style>
  <w:style w:type="paragraph" w:styleId="CodeBlock">
    <w:name w:val="Code Block"/>
    <w:basedOn w:val="Normal"/>
    <w:next w:val="CodeBlock"/>
    <w:pPr>
      <w:spacing w:before="0" w:after="0" w:line="240" w:lineRule="auto"/>
      <w:keepLines/>
    </w:pPr>
    <w:rPr>
      <w:rFonts w:ascii="Consolas" w:hAnsi="Consolas"/>
      <w:sz w:val="19"/>
      <w:szCs w:val="19"/>
      <w:color w:val="24384B"/>
    </w:rPr>
  </w:style>
  <w:style w:type="paragraph" w:styleId="TableText">
    <w:name w:val="Table Text"/>
    <w:basedOn w:val="Normal"/>
    <w:pPr>
      <w:spacing w:before="0" w:after="0" w:line="240" w:lineRule="auto"/>
    </w:pPr>
    <w:rPr>
      <w:sz w:val="18"/>
      <w:szCs w:val="18"/>
    </w:rPr>
  </w:style>
  <w:style w:type="paragraph" w:styleId="CompactTableText">
    <w:name w:val="Compact Table Text"/>
    <w:basedOn w:val="TableText"/>
    <w:pPr>
      <w:spacing w:before="0" w:after="0" w:line="210" w:lineRule="auto"/>
    </w:pPr>
    <w:rPr>
      <w:sz w:val="15"/>
      <w:szCs w:val="15"/>
    </w:rPr>
  </w:style>
  <w:style w:type="paragraph" w:styleId="TraceabilityTableText">
    <w:name w:val="Traceability Table Text"/>
    <w:basedOn w:val="TableText"/>
    <w:pPr>
      <w:spacing w:before="0" w:after="0" w:line="220" w:lineRule="auto"/>
    </w:pPr>
    <w:rPr>
      <w:sz w:val="16"/>
      <w:szCs w:val="16"/>
    </w:rPr>
  </w:style>
  <w:style w:type="paragraph" w:styleId="TableHeader">
    <w:name w:val="Table Header"/>
    <w:basedOn w:val="TableText"/>
    <w:pPr>
      <w:spacing w:before="0" w:after="0" w:line="220" w:lineRule="auto"/>
      <w:keepLines/>
    </w:pPr>
    <w:rPr>
      <w:b/>
      <w:color w:val="17365D"/>
      <w:sz w:val="17"/>
      <w:szCs w:val="17"/>
    </w:rPr>
  </w:style>
  <w:style w:type="paragraph" w:styleId="Footer">
    <w:name w:val="Footer"/>
    <w:basedOn w:val="Normal"/>
    <w:pPr>
      <w:spacing w:before="0" w:after="0"/>
      <w:jc w:val="right"/>
    </w:pPr>
    <w:rPr>
      <w:color w:val="6B7785"/>
      <w:sz w:val="18"/>
      <w:szCs w:val="18"/>
    </w:rPr>
  </w:style>
  <w:style w:type="character" w:styleId="Hyperlink">
    <w:name w:val="Hyperlink"/>
    <w:uiPriority w:val="99"/>
    <w:unhideWhenUsed/>
    <w:rPr>
      <w:color w:val="2E74B5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Hyperlink1" Type="http://schemas.openxmlformats.org/officeDocument/2006/relationships/hyperlink" Target="VESKIFY_SDD.md" TargetMode="External"/><Relationship Id="rIdHyperlink2" Type="http://schemas.openxmlformats.org/officeDocument/2006/relationships/hyperlink" Target="VESKIFY_DEVELOPMENT_ROADMAP.md" TargetMode="External"/><Relationship Id="rIdHyperlink3" Type="http://schemas.openxmlformats.org/officeDocument/2006/relationships/hyperlink" Target="VESKO_OPENAPI_CONTRACT_AUDIT.md" TargetMode="External"/><Relationship Id="rIdHyperlink4" Type="http://schemas.openxmlformats.org/officeDocument/2006/relationships/hyperlink" Target="VESKO_VESKIFY_INTEGRATION_MATRIX.m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Veskify deterministic documentation exporter</Application>
  <AppVersion>1.1.0</AppVersion>
  <Company>Vesko Oy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Veskify Development Delivery Tracker</dc:title>
  <dc:subject>Version 1.3.0</dc:subject>
  <dc:creator>Vesko Oy</dc:creator>
  <dc:description>Synchronized deterministic export of docs/VESKIFY_DEVELOPMENT_DELIVERY_TRACKER.md</dc:description>
  <cp:revision>1</cp:revision>
  <dcterms:created xsi:type="dcterms:W3CDTF">2026-08-06T00:00:00Z</dcterms:created>
  <dcterms:modified xsi:type="dcterms:W3CDTF">2026-08-07T00:00:00Z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Path">
    <vt:lpwstr>docs/VESKIFY_DEVELOPMENT_DELIVERY_TRACKER.md</vt:lpwstr>
  </property>
  <property fmtid="{D5CDD505-2E9C-101B-9397-08002B2CF9AE}" pid="3" name="SourceSha256">
    <vt:lpwstr>1e39cf1579d1efb3eb474652c373bf5c4628f136e03ed56ce361d655abae6a43</vt:lpwstr>
  </property>
  <property fmtid="{D5CDD505-2E9C-101B-9397-08002B2CF9AE}" pid="4" name="ExporterVersion">
    <vt:lpwstr>1.1.0</vt:lpwstr>
  </property>
  <property fmtid="{D5CDD505-2E9C-101B-9397-08002B2CF9AE}" pid="5" name="DesignPreset">
    <vt:lpwstr>compact_reference_guide_landscape_checklist_override</vt:lpwstr>
  </property>
</Properties>
</file>