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AR-02A acceptance/merge: AR-02A Baseline / closed; AR-02 Partial; AR-03A next selected child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AR-02A:</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Planned</w:t>
      </w:r>
      <w:r>
        <w:rPr>
          <w:rFonts w:ascii="Calibri" w:hAnsi="Calibri" w:cs="Calibri"/>
        </w:rPr>
        <w:t xml:space="preserve">. It is unstarted. AR-03A is </w:t>
      </w:r>
      <w:r>
        <w:rPr>
          <w:rFonts w:ascii="Calibri" w:hAnsi="Calibri" w:cs="Calibri"/>
          <w:b/>
          <w:bCs/>
        </w:rPr>
        <w:t>Planned — exact next selected child</w:t>
      </w:r>
      <w:r>
        <w:rPr>
          <w:rFonts w:ascii="Calibri" w:hAnsi="Calibri" w:cs="Calibri"/>
        </w:rPr>
        <w:t xml:space="preserve">.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AR-02A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5" w:history="1">
              <w:r>
                <w:rPr>
                  <w:rFonts w:ascii="Calibri" w:hAnsi="Calibri" w:cs="Calibri"/>
                  <w:color w:val="2E74B5"/>
                  <w:u w:val="single"/>
                </w:rPr>
                <w:t>approved queue</w:t>
              </w:r>
            </w:hyperlink>
          </w:p>
        </w:tc>
        <w:tc>
          <w:tcPr>
            <w:tcW w:w="8460" w:type="dxa"/>
            <w:vAlign w:val="center"/>
          </w:tcPr>
          <w:p>
            <w:pPr>
              <w:pStyle w:val="TableText"/>
              <w:widowControl/>
            </w:pPr>
            <w:r>
              <w:rPr>
                <w:rFonts w:ascii="Calibri" w:hAnsi="Calibri" w:cs="Calibri"/>
                <w:b/>
                <w:bCs/>
              </w:rPr>
              <w:t>Planned</w:t>
            </w:r>
            <w:r>
              <w:rPr>
                <w:rFonts w:ascii="Calibri" w:hAnsi="Calibri" w:cs="Calibri"/>
              </w:rPr>
              <w:t xml:space="preserve"> — next selected child; unstarted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8"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11"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12"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3"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4"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6"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7"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8"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9"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0"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21"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22"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3"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4"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5"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8"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6"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6"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BATCH_01_EXECUTION.md"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16P_04_REAL_STUDIO_DESIGN_INTENT_ACCEPTANCE.md" TargetMode="External"/><Relationship Id="rIdHyperlink9" Type="http://schemas.openxmlformats.org/officeDocument/2006/relationships/hyperlink" Target="P10B_01_COMMERCIAL_DESIGN_GRAMMAR.md" TargetMode="External"/><Relationship Id="rIdHyperlink10" Type="http://schemas.openxmlformats.org/officeDocument/2006/relationships/hyperlink" Target="P10B_02_PARAMETRIC_BRAND_SYSTEM.md" TargetMode="External"/><Relationship Id="rIdHyperlink11" Type="http://schemas.openxmlformats.org/officeDocument/2006/relationships/hyperlink" Target="P10B_03_COMPONENT_ANATOMY_AND_MEANINGFUL_VARIANTS.md" TargetMode="External"/><Relationship Id="rIdHyperlink12" Type="http://schemas.openxmlformats.org/officeDocument/2006/relationships/hyperlink" Target="P10B_04_RESPONSIVE_IMAGE_ART_DIRECTION.md" TargetMode="External"/><Relationship Id="rIdHyperlink13" Type="http://schemas.openxmlformats.org/officeDocument/2006/relationships/hyperlink" Target="P10B_05_SITE_MAP_AND_PAGE_FAMILY_AUTHORITY.md" TargetMode="External"/><Relationship Id="rIdHyperlink14" Type="http://schemas.openxmlformats.org/officeDocument/2006/relationships/hyperlink" Target="P10B_06_COMMERCIAL_SHARED_FRAME_FAMILIES.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8_CANONICAL_PRODUCT_CARD_AND_MERCHANDISING.md" TargetMode="External"/><Relationship Id="rIdHyperlink17" Type="http://schemas.openxmlformats.org/officeDocument/2006/relationships/hyperlink" Target="P10B_09_COMMERCIAL_HOMEPAGE_PROFILE_LIBRARY.md" TargetMode="External"/><Relationship Id="rIdHyperlink18" Type="http://schemas.openxmlformats.org/officeDocument/2006/relationships/hyperlink" Target="P10B_10_COMMERCIAL_COLLECTION_SEARCH_PROFILES.md" TargetMode="External"/><Relationship Id="rIdHyperlink19" Type="http://schemas.openxmlformats.org/officeDocument/2006/relationships/hyperlink" Target="P10B_12_CONTENT_AND_SUPPORT_PAGE_FAMILIES.md" TargetMode="External"/><Relationship Id="rIdHyperlink20" Type="http://schemas.openxmlformats.org/officeDocument/2006/relationships/hyperlink" Target="P10B_13_COMMERCE_UTILITY_PRESENTATION_PAGES.md" TargetMode="External"/><Relationship Id="rIdHyperlink21" Type="http://schemas.openxmlformats.org/officeDocument/2006/relationships/hyperlink" Target="P10B_14_PREMIUM_EDITORIAL_COMPLETE_STOREFRONT_VERTICAL_SLICE.md" TargetMode="External"/><Relationship Id="rIdHyperlink22" Type="http://schemas.openxmlformats.org/officeDocument/2006/relationships/hyperlink" Target="P10B_15_BOUNDED_STOREFRONT_SYNTHESIS_AND_NARRATIVE_ENGINE.md" TargetMode="External"/><Relationship Id="rIdHyperlink23" Type="http://schemas.openxmlformats.org/officeDocument/2006/relationships/hyperlink" Target="P10B_16_COORDINATED_DIRECTIONS_AND_DIVERSITY_CONTROL.md" TargetMode="External"/><Relationship Id="rIdHyperlink24" Type="http://schemas.openxmlformats.org/officeDocument/2006/relationships/hyperlink" Target="P10B_16P_01_DYNAMIC_COMMERCE_ROUTE_ARCHETYPES.md" TargetMode="External"/><Relationship Id="rIdHyperlink25" Type="http://schemas.openxmlformats.org/officeDocument/2006/relationships/hyperlink" Target="P10B_16P_02_PROMPTED_STOREFRONT_DESIGN_PLAN_V2.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e1df9db7d299a22e8b1e2d991552cf76b3af734c58028f05ff47a34a4f780d05</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