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4 September 2026, P10B-19A-10C P10B-19A Closure and Product-Owner Architecture Gate</w:t>
      </w:r>
    </w:p>
    <w:p>
      <w:pPr>
        <w:pStyle w:val="CoverMeta"/>
        <w:jc w:val="center"/>
        <w:widowControl/>
      </w:pPr>
      <w:r>
        <w:rPr>
          <w:rFonts w:ascii="Calibri" w:hAnsi="Calibri" w:cs="Calibri"/>
        </w:rPr>
        <w:t>AR-02 and AR-02A through AR-02M Baseline / closed; AR-03 and AR-03A through AR-03E remain closed; AR-04 Baseline / closed; AR-05A Baseline / closed; AR-05B and AR-05 Baseline / closed; AR-06A Baseline / closed verified at bc209f4bdfed9626605b8c699aaabb547d5d2025; AR-06B Baseline / closed effective upon accepted merge; AR-06 Partial pending editor/lifecycle/publication and executable-commerce proof; AR-23 eligible / unstarted; BATCH-10 through BATCH-14 complete; BATCH-15 closes only upon accepted AR-06B delivery and safe closeout; no successor</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Candidate status effective upon accepted AR-06B merge after AR-06A verification:</w:t>
      </w:r>
      <w:r>
        <w:rPr>
          <w:rFonts w:ascii="Calibri" w:hAnsi="Calibri" w:cs="Calibri"/>
        </w:rPr>
        <w:t xml:space="preserve"> This projection does not claim that this PR has merged or that owner acceptance has occurred. </w:t>
      </w:r>
      <w:r>
        <w:rPr>
          <w:rFonts w:ascii="Calibri" w:hAnsi="Calibri" w:cs="Calibri"/>
          <w:b/>
          <w:bCs/>
        </w:rPr>
        <w:t>AR-00 current status authority:</w:t>
      </w:r>
      <w:r>
        <w:rPr>
          <w:rFonts w:ascii="Calibri" w:hAnsi="Calibri" w:cs="Calibri"/>
        </w:rPr>
        <w:t xml:space="preserve"> </w:t>
      </w:r>
      <w:r>
        <w:rPr>
          <w:rFonts w:ascii="Calibri" w:hAnsi="Calibri" w:cs="Calibri"/>
          <w:b/>
          <w:bCs/>
        </w:rPr>
        <w:t>Baseline / closed.</w:t>
      </w:r>
      <w:r>
        <w:rPr>
          <w:rFonts w:ascii="Calibri" w:hAnsi="Calibri" w:cs="Calibri"/>
        </w:rPr>
        <w:t xml:space="preserve"> AR-01 is </w:t>
      </w:r>
      <w:r>
        <w:rPr>
          <w:rFonts w:ascii="Calibri" w:hAnsi="Calibri" w:cs="Calibri"/>
          <w:b/>
          <w:bCs/>
        </w:rPr>
        <w:t>Baseline / closed.</w:t>
      </w:r>
      <w:r>
        <w:rPr>
          <w:rFonts w:ascii="Calibri" w:hAnsi="Calibri" w:cs="Calibri"/>
        </w:rPr>
        <w:t xml:space="preserve"> AR-02A is </w:t>
      </w:r>
      <w:r>
        <w:rPr>
          <w:rFonts w:ascii="Calibri" w:hAnsi="Calibri" w:cs="Calibri"/>
          <w:b/>
          <w:bCs/>
        </w:rPr>
        <w:t>Baseline / closed.</w:t>
      </w:r>
      <w:r>
        <w:rPr>
          <w:rFonts w:ascii="Calibri" w:hAnsi="Calibri" w:cs="Calibri"/>
        </w:rPr>
        <w:t xml:space="preserve"> AR-02B is </w:t>
      </w:r>
      <w:r>
        <w:rPr>
          <w:rFonts w:ascii="Calibri" w:hAnsi="Calibri" w:cs="Calibri"/>
          <w:b/>
          <w:bCs/>
        </w:rPr>
        <w:t>Baseline / closed.</w:t>
      </w:r>
      <w:r>
        <w:rPr>
          <w:rFonts w:ascii="Calibri" w:hAnsi="Calibri" w:cs="Calibri"/>
        </w:rPr>
        <w:t xml:space="preserve"> AR-02C is </w:t>
      </w:r>
      <w:r>
        <w:rPr>
          <w:rFonts w:ascii="Calibri" w:hAnsi="Calibri" w:cs="Calibri"/>
          <w:b/>
          <w:bCs/>
        </w:rPr>
        <w:t>Baseline / closed.</w:t>
      </w:r>
      <w:r>
        <w:rPr>
          <w:rFonts w:ascii="Calibri" w:hAnsi="Calibri" w:cs="Calibri"/>
        </w:rPr>
        <w:t xml:space="preserve"> AR-02D is </w:t>
      </w:r>
      <w:r>
        <w:rPr>
          <w:rFonts w:ascii="Calibri" w:hAnsi="Calibri" w:cs="Calibri"/>
          <w:b/>
          <w:bCs/>
        </w:rPr>
        <w:t>Baseline / closed.</w:t>
      </w:r>
      <w:r>
        <w:rPr>
          <w:rFonts w:ascii="Calibri" w:hAnsi="Calibri" w:cs="Calibri"/>
        </w:rPr>
        <w:t xml:space="preserve"> AR-02E is </w:t>
      </w:r>
      <w:r>
        <w:rPr>
          <w:rFonts w:ascii="Calibri" w:hAnsi="Calibri" w:cs="Calibri"/>
          <w:b/>
          <w:bCs/>
        </w:rPr>
        <w:t>Baseline / closed.</w:t>
      </w:r>
      <w:r>
        <w:rPr>
          <w:rFonts w:ascii="Calibri" w:hAnsi="Calibri" w:cs="Calibri"/>
        </w:rPr>
        <w:t xml:space="preserve"> AR-02F is </w:t>
      </w:r>
      <w:r>
        <w:rPr>
          <w:rFonts w:ascii="Calibri" w:hAnsi="Calibri" w:cs="Calibri"/>
          <w:b/>
          <w:bCs/>
        </w:rPr>
        <w:t>Baseline / closed.</w:t>
      </w:r>
      <w:r>
        <w:rPr>
          <w:rFonts w:ascii="Calibri" w:hAnsi="Calibri" w:cs="Calibri"/>
        </w:rPr>
        <w:t xml:space="preserve"> AR-02G is </w:t>
      </w:r>
      <w:r>
        <w:rPr>
          <w:rFonts w:ascii="Calibri" w:hAnsi="Calibri" w:cs="Calibri"/>
          <w:b/>
          <w:bCs/>
        </w:rPr>
        <w:t>Baseline / closed.</w:t>
      </w:r>
      <w:r>
        <w:rPr>
          <w:rFonts w:ascii="Calibri" w:hAnsi="Calibri" w:cs="Calibri"/>
        </w:rPr>
        <w:t xml:space="preserve"> AR-02H is </w:t>
      </w:r>
      <w:r>
        <w:rPr>
          <w:rFonts w:ascii="Calibri" w:hAnsi="Calibri" w:cs="Calibri"/>
          <w:b/>
          <w:bCs/>
        </w:rPr>
        <w:t>Baseline / closed.</w:t>
      </w:r>
      <w:r>
        <w:rPr>
          <w:rFonts w:ascii="Calibri" w:hAnsi="Calibri" w:cs="Calibri"/>
        </w:rPr>
        <w:t xml:space="preserve"> AR-02I is </w:t>
      </w:r>
      <w:r>
        <w:rPr>
          <w:rFonts w:ascii="Calibri" w:hAnsi="Calibri" w:cs="Calibri"/>
          <w:b/>
          <w:bCs/>
        </w:rPr>
        <w:t>Baseline / closed.</w:t>
      </w:r>
      <w:r>
        <w:rPr>
          <w:rFonts w:ascii="Calibri" w:hAnsi="Calibri" w:cs="Calibri"/>
        </w:rPr>
        <w:t xml:space="preserve"> AR-02J is </w:t>
      </w:r>
      <w:r>
        <w:rPr>
          <w:rFonts w:ascii="Calibri" w:hAnsi="Calibri" w:cs="Calibri"/>
          <w:b/>
          <w:bCs/>
        </w:rPr>
        <w:t>Baseline / closed.</w:t>
      </w:r>
      <w:r>
        <w:rPr>
          <w:rFonts w:ascii="Calibri" w:hAnsi="Calibri" w:cs="Calibri"/>
        </w:rPr>
        <w:t xml:space="preserve"> AR-02K is </w:t>
      </w:r>
      <w:r>
        <w:rPr>
          <w:rFonts w:ascii="Calibri" w:hAnsi="Calibri" w:cs="Calibri"/>
          <w:b/>
          <w:bCs/>
        </w:rPr>
        <w:t>Baseline / closed.</w:t>
      </w:r>
      <w:r>
        <w:rPr>
          <w:rFonts w:ascii="Calibri" w:hAnsi="Calibri" w:cs="Calibri"/>
        </w:rPr>
        <w:t xml:space="preserve"> AR-02L is </w:t>
      </w:r>
      <w:r>
        <w:rPr>
          <w:rFonts w:ascii="Calibri" w:hAnsi="Calibri" w:cs="Calibri"/>
          <w:b/>
          <w:bCs/>
        </w:rPr>
        <w:t>Baseline / closed.</w:t>
      </w:r>
      <w:r>
        <w:rPr>
          <w:rFonts w:ascii="Calibri" w:hAnsi="Calibri" w:cs="Calibri"/>
        </w:rPr>
        <w:t xml:space="preserve"> AR-02M is </w:t>
      </w:r>
      <w:r>
        <w:rPr>
          <w:rFonts w:ascii="Calibri" w:hAnsi="Calibri" w:cs="Calibri"/>
          <w:b/>
          <w:bCs/>
        </w:rPr>
        <w:t>Baseline / closed.</w:t>
      </w:r>
      <w:r>
        <w:rPr>
          <w:rFonts w:ascii="Calibri" w:hAnsi="Calibri" w:cs="Calibri"/>
        </w:rPr>
        <w:t xml:space="preserve"> AR-02 is </w:t>
      </w:r>
      <w:r>
        <w:rPr>
          <w:rFonts w:ascii="Calibri" w:hAnsi="Calibri" w:cs="Calibri"/>
          <w:b/>
          <w:bCs/>
        </w:rPr>
        <w:t>Baseline / closed</w:t>
      </w:r>
      <w:r>
        <w:rPr>
          <w:rFonts w:ascii="Calibri" w:hAnsi="Calibri" w:cs="Calibri"/>
        </w:rPr>
        <w:t xml:space="preserve">; complete original acceptance is mapped in AR_02_BOUNDARY_ACCEPTANCE.md. AR-04 is Baseline / closed. AR-05A is Baseline / closed. AR-05B is Baseline / closed. AR-05 is Baseline / closed; original T01/T02 acceptance is mapped in AR_05_CANONICAL_ACCEPTANCE.md. AR-06A is Baseline / closed. Its accepted merge is bc209f4bdfed9626605b8c699aaabb547d5d2025. AR-06B is Baseline / closed effective upon accepted merge; this candidate does not assert delivery. AR-06 is Partial; rendering and editing evidence is mapped in AR_06_RENDERING_ACCEPTANCE.md. Lossless Puck/save/history/publication integration, positive collection/search and PDP executable-commerce proof, and the shared collection/search context decision remain required before enablement. AR-03 is </w:t>
      </w:r>
      <w:r>
        <w:rPr>
          <w:rFonts w:ascii="Calibri" w:hAnsi="Calibri" w:cs="Calibri"/>
          <w:b/>
          <w:bCs/>
        </w:rPr>
        <w:t>Baseline / closed</w:t>
      </w:r>
      <w:r>
        <w:rPr>
          <w:rFonts w:ascii="Calibri" w:hAnsi="Calibri" w:cs="Calibri"/>
        </w:rPr>
        <w:t xml:space="preserve">; original same-input characterization and separate ownership are verified. AR-03A is </w:t>
      </w:r>
      <w:r>
        <w:rPr>
          <w:rFonts w:ascii="Calibri" w:hAnsi="Calibri" w:cs="Calibri"/>
          <w:b/>
          <w:bCs/>
        </w:rPr>
        <w:t>Baseline / closed.</w:t>
      </w:r>
      <w:r>
        <w:rPr>
          <w:rFonts w:ascii="Calibri" w:hAnsi="Calibri" w:cs="Calibri"/>
        </w:rPr>
        <w:t xml:space="preserve"> AR-03B is </w:t>
      </w:r>
      <w:r>
        <w:rPr>
          <w:rFonts w:ascii="Calibri" w:hAnsi="Calibri" w:cs="Calibri"/>
          <w:b/>
          <w:bCs/>
        </w:rPr>
        <w:t>Baseline / closed.</w:t>
      </w:r>
      <w:r>
        <w:rPr>
          <w:rFonts w:ascii="Calibri" w:hAnsi="Calibri" w:cs="Calibri"/>
        </w:rPr>
        <w:t xml:space="preserve"> AR-03C is </w:t>
      </w:r>
      <w:r>
        <w:rPr>
          <w:rFonts w:ascii="Calibri" w:hAnsi="Calibri" w:cs="Calibri"/>
          <w:b/>
          <w:bCs/>
        </w:rPr>
        <w:t>Baseline / closed.</w:t>
      </w:r>
      <w:r>
        <w:rPr>
          <w:rFonts w:ascii="Calibri" w:hAnsi="Calibri" w:cs="Calibri"/>
        </w:rPr>
        <w:t xml:space="preserve"> AR-03D is </w:t>
      </w:r>
      <w:r>
        <w:rPr>
          <w:rFonts w:ascii="Calibri" w:hAnsi="Calibri" w:cs="Calibri"/>
          <w:b/>
          <w:bCs/>
        </w:rPr>
        <w:t>Baseline / closed.</w:t>
      </w:r>
      <w:r>
        <w:rPr>
          <w:rFonts w:ascii="Calibri" w:hAnsi="Calibri" w:cs="Calibri"/>
        </w:rPr>
        <w:t xml:space="preserve"> AR-03E is </w:t>
      </w:r>
      <w:r>
        <w:rPr>
          <w:rFonts w:ascii="Calibri" w:hAnsi="Calibri" w:cs="Calibri"/>
          <w:b/>
          <w:bCs/>
        </w:rPr>
        <w:t>Baseline / closed.</w:t>
      </w:r>
      <w:r>
        <w:rPr>
          <w:rFonts w:ascii="Calibri" w:hAnsi="Calibri" w:cs="Calibri"/>
        </w:rPr>
        <w:t xml:space="preserve"> AR-23 is </w:t>
      </w:r>
      <w:r>
        <w:rPr>
          <w:rFonts w:ascii="Calibri" w:hAnsi="Calibri" w:cs="Calibri"/>
          <w:b/>
          <w:bCs/>
        </w:rPr>
        <w:t>Planned / unstarted</w:t>
      </w:r>
      <w:r>
        <w:rPr>
          <w:rFonts w:ascii="Calibri" w:hAnsi="Calibri" w:cs="Calibri"/>
        </w:rPr>
        <w:t xml:space="preserve">. AR-23 depends on AR-01 and is not serialized behind visual work. BATCH-03 is complete. BATCH-04 is complete. BATCH-05 is complete. BATCH-06 is complete. BATCH-07 is complete. BATCH-08 is complete. BATCH-09 is complete. BATCH-10 is complete. BATCH-11 is complete. BATCH-12 is complete. BATCH-13 is complete. BATCH-14 is complete. BATCH-15 closes only upon accepted AR-06B delivery and safe closeout. No successor implementation is authorized. This tracker owns current status; the roadmap owns dependency order. Retained B01 exact-next, fixed-two-call/mandatory-three-concept, transient-only, and 73-child future-sequence statements are </w:t>
      </w:r>
      <w:r>
        <w:rPr>
          <w:rFonts w:ascii="Calibri" w:hAnsi="Calibri" w:cs="Calibri"/>
          <w:b/>
          <w:bCs/>
        </w:rPr>
        <w:t>historical pre-AR future policy</w:t>
      </w:r>
      <w:r>
        <w:rPr>
          <w:rFonts w:ascii="Calibri" w:hAnsi="Calibri" w:cs="Calibri"/>
        </w:rPr>
        <w:t xml:space="preserve"> superseded by the incorporated addendum; accepted history, functional requirements, and current capability truth remain binding.</w:t>
      </w:r>
    </w:p>
    <w:p>
      <w:pPr>
        <w:pStyle w:val="Normal"/>
        <w:widowControl/>
      </w:pPr>
      <w:r>
        <w:rPr>
          <w:rFonts w:ascii="Calibri" w:hAnsi="Calibri" w:cs="Calibri"/>
        </w:rPr>
        <w:t xml:space="preserve">AR-05 decomposition: </w:t>
      </w:r>
      <w:hyperlink r:id="rIdHyperlink1" w:history="1">
        <w:r>
          <w:rPr>
            <w:rFonts w:ascii="Calibri" w:hAnsi="Calibri" w:cs="Calibri"/>
            <w:color w:val="2E74B5"/>
            <w:u w:val="single"/>
          </w:rPr>
          <w:t>AR-05A design</w:t>
        </w:r>
      </w:hyperlink>
      <w:r>
        <w:rPr>
          <w:rFonts w:ascii="Calibri" w:hAnsi="Calibri" w:cs="Calibri"/>
        </w:rPr>
        <w:t xml:space="preserve"> and </w:t>
      </w:r>
      <w:hyperlink r:id="rIdHyperlink2" w:history="1">
        <w:r>
          <w:rPr>
            <w:rFonts w:ascii="Calibri" w:hAnsi="Calibri" w:cs="Calibri"/>
            <w:color w:val="2E74B5"/>
            <w:u w:val="single"/>
          </w:rPr>
          <w:t>implementation evidence</w:t>
        </w:r>
      </w:hyperlink>
      <w:r>
        <w:rPr>
          <w:rFonts w:ascii="Calibri" w:hAnsi="Calibri" w:cs="Calibri"/>
        </w:rPr>
        <w:t xml:space="preserve"> cover the strict compiled value, positive static binding and specific rejection of current indivisible dynamic inventories. AR-05B supplies snapshot nesting, explicit version dispatch and combined fingerprint participation. Accepted AR-05A+B satisfy original T01/T02 representation acceptance. </w:t>
      </w:r>
      <w:hyperlink r:id="rIdHyperlink3" w:history="1">
        <w:r>
          <w:rPr>
            <w:rFonts w:ascii="Calibri" w:hAnsi="Calibri" w:cs="Calibri"/>
            <w:color w:val="2E74B5"/>
            <w:u w:val="single"/>
          </w:rPr>
          <w:t>AR-06A</w:t>
        </w:r>
      </w:hyperlink>
      <w:r>
        <w:rPr>
          <w:rFonts w:ascii="Calibri" w:hAnsi="Calibri" w:cs="Calibri"/>
        </w:rPr>
        <w:t xml:space="preserve"> adds the actual shared static renderer and bounded four-width proof, effective upon its accepted merge. AR-06 remains Partial: Puck editing, save/history/publication integration, dynamic executable commerce and the shared collection/search context decision remain unproven.</w:t>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cantSplit/>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cantSplit/>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4 September 2026, P10B-19A-10C P10B-19A Closure and Product-Owner Architecture Gate</w:t>
            </w:r>
          </w:p>
        </w:tc>
      </w:tr>
      <w:tr>
        <w:trPr>
          <w:cantSplit/>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cantSplit/>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cantSplit/>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4" w:history="1">
              <w:r>
                <w:rPr>
                  <w:rFonts w:ascii="Calibri" w:hAnsi="Calibri" w:cs="Calibri"/>
                  <w:color w:val="2E74B5"/>
                  <w:u w:val="single"/>
                </w:rPr>
                <w:t>VESKIFY_SDD.md</w:t>
              </w:r>
            </w:hyperlink>
          </w:p>
        </w:tc>
      </w:tr>
      <w:tr>
        <w:trPr>
          <w:cantSplit/>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5" w:history="1">
              <w:r>
                <w:rPr>
                  <w:rFonts w:ascii="Calibri" w:hAnsi="Calibri" w:cs="Calibri"/>
                  <w:color w:val="2E74B5"/>
                  <w:u w:val="single"/>
                </w:rPr>
                <w:t>VESKIFY_DEVELOPMENT_ROADMAP.md</w:t>
              </w:r>
            </w:hyperlink>
          </w:p>
        </w:tc>
      </w:tr>
      <w:tr>
        <w:trPr>
          <w:cantSplit/>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Child</w:t>
            </w:r>
          </w:p>
        </w:tc>
        <w:tc>
          <w:tcPr>
            <w:tcW w:w="1500" w:type="dxa"/>
            <w:vAlign w:val="center"/>
            <w:shd w:val="clear" w:fill="E8EEF5"/>
          </w:tcPr>
          <w:p>
            <w:pPr>
              <w:pStyle w:val="TableHeader"/>
              <w:jc w:val="center"/>
              <w:widowControl/>
            </w:pPr>
            <w:r>
              <w:rPr>
                <w:rFonts w:ascii="Calibri" w:hAnsi="Calibri" w:cs="Calibri"/>
              </w:rPr>
              <w:t>Parent</w:t>
            </w:r>
          </w:p>
        </w:tc>
        <w:tc>
          <w:tcPr>
            <w:tcW w:w="2000" w:type="dxa"/>
            <w:vAlign w:val="center"/>
            <w:shd w:val="clear" w:fill="E8EEF5"/>
          </w:tcPr>
          <w:p>
            <w:pPr>
              <w:pStyle w:val="TableHeader"/>
              <w:jc w:val="center"/>
              <w:widowControl/>
            </w:pPr>
            <w:r>
              <w:rPr>
                <w:rFonts w:ascii="Calibri" w:hAnsi="Calibri" w:cs="Calibri"/>
              </w:rPr>
              <w:t>Bounded outcome and evidence</w:t>
            </w:r>
          </w:p>
        </w:tc>
        <w:tc>
          <w:tcPr>
            <w:tcW w:w="8460" w:type="dxa"/>
            <w:vAlign w:val="center"/>
            <w:shd w:val="clear" w:fill="E8EEF5"/>
          </w:tcPr>
          <w:p>
            <w:pPr>
              <w:pStyle w:val="TableHeader"/>
              <w:jc w:val="center"/>
              <w:widowControl/>
            </w:pPr>
            <w:r>
              <w:rPr>
                <w:rFonts w:ascii="Calibri" w:hAnsi="Calibri" w:cs="Calibri"/>
              </w:rPr>
              <w:t>Status</w:t>
            </w:r>
          </w:p>
        </w:tc>
      </w:tr>
      <w:tr>
        <w:trPr>
          <w:cantSplit/>
        </w:trPr>
        <w:tc>
          <w:tcPr>
            <w:tcW w:w="1000" w:type="dxa"/>
            <w:vAlign w:val="center"/>
          </w:tcPr>
          <w:p>
            <w:pPr>
              <w:pStyle w:val="TableText"/>
              <w:widowControl/>
            </w:pPr>
            <w:r>
              <w:rPr>
                <w:rFonts w:ascii="Calibri" w:hAnsi="Calibri" w:cs="Calibri"/>
              </w:rPr>
              <w:t>AR-02A</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Separate live renderer observation and composition; </w:t>
            </w:r>
            <w:hyperlink r:id="rIdHyperlink6" w:history="1">
              <w:r>
                <w:rPr>
                  <w:rFonts w:ascii="Calibri" w:hAnsi="Calibri" w:cs="Calibri"/>
                  <w:color w:val="2E74B5"/>
                  <w:u w:val="single"/>
                </w:rPr>
                <w:t>contract</w:t>
              </w:r>
            </w:hyperlink>
            <w:r>
              <w:rPr>
                <w:rFonts w:ascii="Calibri" w:hAnsi="Calibri" w:cs="Calibri"/>
              </w:rPr>
              <w:t xml:space="preserve">, </w:t>
            </w:r>
            <w:hyperlink r:id="rIdHyperlink7"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AR-02B</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renderer-free deterministic conformance evaluation; </w:t>
            </w:r>
            <w:hyperlink r:id="rIdHyperlink8" w:history="1">
              <w:r>
                <w:rPr>
                  <w:rFonts w:ascii="Calibri" w:hAnsi="Calibri" w:cs="Calibri"/>
                  <w:color w:val="2E74B5"/>
                  <w:u w:val="single"/>
                </w:rPr>
                <w:t>contract</w:t>
              </w:r>
            </w:hyperlink>
            <w:r>
              <w:rPr>
                <w:rFonts w:ascii="Calibri" w:hAnsi="Calibri" w:cs="Calibri"/>
              </w:rPr>
              <w:t xml:space="preserve">, </w:t>
            </w:r>
            <w:hyperlink r:id="rIdHyperlink9"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AR-03A</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Extract route matching and errors; </w:t>
            </w:r>
            <w:hyperlink r:id="rIdHyperlink10" w:history="1">
              <w:r>
                <w:rPr>
                  <w:rFonts w:ascii="Calibri" w:hAnsi="Calibri" w:cs="Calibri"/>
                  <w:color w:val="2E74B5"/>
                  <w:u w:val="single"/>
                </w:rPr>
                <w:t>contract</w:t>
              </w:r>
            </w:hyperlink>
            <w:r>
              <w:rPr>
                <w:rFonts w:ascii="Calibri" w:hAnsi="Calibri" w:cs="Calibri"/>
              </w:rPr>
              <w:t xml:space="preserve">, </w:t>
            </w:r>
            <w:hyperlink r:id="rIdHyperlink11"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AR-02C</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utility metadata and remove the supported-vocabulary renderer edge; </w:t>
            </w:r>
            <w:hyperlink r:id="rIdHyperlink12" w:history="1">
              <w:r>
                <w:rPr>
                  <w:rFonts w:ascii="Calibri" w:hAnsi="Calibri" w:cs="Calibri"/>
                  <w:color w:val="2E74B5"/>
                  <w:u w:val="single"/>
                </w:rPr>
                <w:t>contract</w:t>
              </w:r>
            </w:hyperlink>
            <w:r>
              <w:rPr>
                <w:rFonts w:ascii="Calibri" w:hAnsi="Calibri" w:cs="Calibri"/>
              </w:rPr>
              <w:t xml:space="preserve">, </w:t>
            </w:r>
            <w:hyperlink r:id="rIdHyperlink13"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AR-02D</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homepage and hero renderer-free metadata; </w:t>
            </w:r>
            <w:hyperlink r:id="rIdHyperlink14" w:history="1">
              <w:r>
                <w:rPr>
                  <w:rFonts w:ascii="Calibri" w:hAnsi="Calibri" w:cs="Calibri"/>
                  <w:color w:val="2E74B5"/>
                  <w:u w:val="single"/>
                </w:rPr>
                <w:t>contract</w:t>
              </w:r>
            </w:hyperlink>
            <w:r>
              <w:rPr>
                <w:rFonts w:ascii="Calibri" w:hAnsi="Calibri" w:cs="Calibri"/>
              </w:rPr>
              <w:t xml:space="preserve">, </w:t>
            </w:r>
            <w:hyperlink r:id="rIdHyperlink15"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AR-02E</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collection and product renderer-free metadata; </w:t>
            </w:r>
            <w:hyperlink r:id="rIdHyperlink16" w:history="1">
              <w:r>
                <w:rPr>
                  <w:rFonts w:ascii="Calibri" w:hAnsi="Calibri" w:cs="Calibri"/>
                  <w:color w:val="2E74B5"/>
                  <w:u w:val="single"/>
                </w:rPr>
                <w:t>contract</w:t>
              </w:r>
            </w:hyperlink>
            <w:r>
              <w:rPr>
                <w:rFonts w:ascii="Calibri" w:hAnsi="Calibri" w:cs="Calibri"/>
              </w:rPr>
              <w:t xml:space="preserve">, </w:t>
            </w:r>
            <w:hyperlink r:id="rIdHyperlink17"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AR-02F</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Adapt V2 definitions from shared renderer-free metadata; </w:t>
            </w:r>
            <w:hyperlink r:id="rIdHyperlink18" w:history="1">
              <w:r>
                <w:rPr>
                  <w:rFonts w:ascii="Calibri" w:hAnsi="Calibri" w:cs="Calibri"/>
                  <w:color w:val="2E74B5"/>
                  <w:u w:val="single"/>
                </w:rPr>
                <w:t>contract</w:t>
              </w:r>
            </w:hyperlink>
            <w:r>
              <w:rPr>
                <w:rFonts w:ascii="Calibri" w:hAnsi="Calibri" w:cs="Calibri"/>
              </w:rPr>
              <w:t xml:space="preserve">, </w:t>
            </w:r>
            <w:hyperlink r:id="rIdHyperlink19"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AR-02G</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template capability boundary and explicit utility historical-source transition; </w:t>
            </w:r>
            <w:hyperlink r:id="rIdHyperlink20" w:history="1">
              <w:r>
                <w:rPr>
                  <w:rFonts w:ascii="Calibri" w:hAnsi="Calibri" w:cs="Calibri"/>
                  <w:color w:val="2E74B5"/>
                  <w:u w:val="single"/>
                </w:rPr>
                <w:t>contract</w:t>
              </w:r>
            </w:hyperlink>
            <w:r>
              <w:rPr>
                <w:rFonts w:ascii="Calibri" w:hAnsi="Calibri" w:cs="Calibri"/>
              </w:rPr>
              <w:t xml:space="preserve">, </w:t>
            </w:r>
            <w:hyperlink r:id="rIdHyperlink21"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AR-02H</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Semantic request boundary and explicit direction historical-source transition; </w:t>
            </w:r>
            <w:hyperlink r:id="rIdHyperlink22" w:history="1">
              <w:r>
                <w:rPr>
                  <w:rFonts w:ascii="Calibri" w:hAnsi="Calibri" w:cs="Calibri"/>
                  <w:color w:val="2E74B5"/>
                  <w:u w:val="single"/>
                </w:rPr>
                <w:t>contract</w:t>
              </w:r>
            </w:hyperlink>
            <w:r>
              <w:rPr>
                <w:rFonts w:ascii="Calibri" w:hAnsi="Calibri" w:cs="Calibri"/>
              </w:rPr>
              <w:t xml:space="preserve">, </w:t>
            </w:r>
            <w:hyperlink r:id="rIdHyperlink23"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AR-02I</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existing planner, recipe and provider metadata consumption; </w:t>
            </w:r>
            <w:hyperlink r:id="rIdHyperlink24" w:history="1">
              <w:r>
                <w:rPr>
                  <w:rFonts w:ascii="Calibri" w:hAnsi="Calibri" w:cs="Calibri"/>
                  <w:color w:val="2E74B5"/>
                  <w:u w:val="single"/>
                </w:rPr>
                <w:t>contract</w:t>
              </w:r>
            </w:hyperlink>
            <w:r>
              <w:rPr>
                <w:rFonts w:ascii="Calibri" w:hAnsi="Calibri" w:cs="Calibri"/>
              </w:rPr>
              <w:t xml:space="preserve">, </w:t>
            </w:r>
            <w:hyperlink r:id="rIdHyperlink25" w:history="1">
              <w:r>
                <w:rPr>
                  <w:rFonts w:ascii="Calibri" w:hAnsi="Calibri" w:cs="Calibri"/>
                  <w:color w:val="2E74B5"/>
                  <w:u w:val="single"/>
                </w:rPr>
                <w:t>report</w:t>
              </w:r>
            </w:hyperlink>
            <w:r>
              <w:rPr>
                <w:rFonts w:ascii="Calibri" w:hAnsi="Calibri" w:cs="Calibri"/>
              </w:rPr>
              <w:t xml:space="preserve">, </w:t>
            </w:r>
            <w:hyperlink r:id="rIdHyperlink26" w:history="1">
              <w:r>
                <w:rPr>
                  <w:rFonts w:ascii="Calibri" w:hAnsi="Calibri" w:cs="Calibri"/>
                  <w:color w:val="2E74B5"/>
                  <w:u w:val="single"/>
                </w:rPr>
                <w:t>parent evidence</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AR-02J</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actual provider descriptions and operation schemas; </w:t>
            </w:r>
            <w:hyperlink r:id="rIdHyperlink27" w:history="1">
              <w:r>
                <w:rPr>
                  <w:rFonts w:ascii="Calibri" w:hAnsi="Calibri" w:cs="Calibri"/>
                  <w:color w:val="2E74B5"/>
                  <w:u w:val="single"/>
                </w:rPr>
                <w:t>contract</w:t>
              </w:r>
            </w:hyperlink>
            <w:r>
              <w:rPr>
                <w:rFonts w:ascii="Calibri" w:hAnsi="Calibri" w:cs="Calibri"/>
              </w:rPr>
              <w:t xml:space="preserve">, </w:t>
            </w:r>
            <w:hyperlink r:id="rIdHyperlink28"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AR-02K</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actual governed capability and commercial grammar consumers; </w:t>
            </w:r>
            <w:hyperlink r:id="rIdHyperlink29" w:history="1">
              <w:r>
                <w:rPr>
                  <w:rFonts w:ascii="Calibri" w:hAnsi="Calibri" w:cs="Calibri"/>
                  <w:color w:val="2E74B5"/>
                  <w:u w:val="single"/>
                </w:rPr>
                <w:t>contract</w:t>
              </w:r>
            </w:hyperlink>
            <w:r>
              <w:rPr>
                <w:rFonts w:ascii="Calibri" w:hAnsi="Calibri" w:cs="Calibri"/>
              </w:rPr>
              <w:t xml:space="preserve">, </w:t>
            </w:r>
            <w:hyperlink r:id="rIdHyperlink30"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AR-02L</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semantic feature metadata; </w:t>
            </w:r>
            <w:hyperlink r:id="rIdHyperlink31" w:history="1">
              <w:r>
                <w:rPr>
                  <w:rFonts w:ascii="Calibri" w:hAnsi="Calibri" w:cs="Calibri"/>
                  <w:color w:val="2E74B5"/>
                  <w:u w:val="single"/>
                </w:rPr>
                <w:t>contract</w:t>
              </w:r>
            </w:hyperlink>
            <w:r>
              <w:rPr>
                <w:rFonts w:ascii="Calibri" w:hAnsi="Calibri" w:cs="Calibri"/>
              </w:rPr>
              <w:t xml:space="preserve">, </w:t>
            </w:r>
            <w:hyperlink r:id="rIdHyperlink32"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AR-02M</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Coordinated schema, direction, eligibility and actual semantic resolver metadata; </w:t>
            </w:r>
            <w:hyperlink r:id="rIdHyperlink33" w:history="1">
              <w:r>
                <w:rPr>
                  <w:rFonts w:ascii="Calibri" w:hAnsi="Calibri" w:cs="Calibri"/>
                  <w:color w:val="2E74B5"/>
                  <w:u w:val="single"/>
                </w:rPr>
                <w:t>contract</w:t>
              </w:r>
            </w:hyperlink>
            <w:r>
              <w:rPr>
                <w:rFonts w:ascii="Calibri" w:hAnsi="Calibri" w:cs="Calibri"/>
              </w:rPr>
              <w:t xml:space="preserve">, </w:t>
            </w:r>
            <w:hyperlink r:id="rIdHyperlink34" w:history="1">
              <w:r>
                <w:rPr>
                  <w:rFonts w:ascii="Calibri" w:hAnsi="Calibri" w:cs="Calibri"/>
                  <w:color w:val="2E74B5"/>
                  <w:u w:val="single"/>
                </w:rPr>
                <w:t>report</w:t>
              </w:r>
            </w:hyperlink>
            <w:r>
              <w:rPr>
                <w:rFonts w:ascii="Calibri" w:hAnsi="Calibri" w:cs="Calibri"/>
              </w:rPr>
              <w:t xml:space="preserve">, </w:t>
            </w:r>
            <w:hyperlink r:id="rIdHyperlink26" w:history="1">
              <w:r>
                <w:rPr>
                  <w:rFonts w:ascii="Calibri" w:hAnsi="Calibri" w:cs="Calibri"/>
                  <w:color w:val="2E74B5"/>
                  <w:u w:val="single"/>
                </w:rPr>
                <w:t>parent evidence</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AR-03B</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Renderer-free presentation construction and exact historical compatibility; </w:t>
            </w:r>
            <w:hyperlink r:id="rIdHyperlink35" w:history="1">
              <w:r>
                <w:rPr>
                  <w:rFonts w:ascii="Calibri" w:hAnsi="Calibri" w:cs="Calibri"/>
                  <w:color w:val="2E74B5"/>
                  <w:u w:val="single"/>
                </w:rPr>
                <w:t>contract</w:t>
              </w:r>
            </w:hyperlink>
            <w:r>
              <w:rPr>
                <w:rFonts w:ascii="Calibri" w:hAnsi="Calibri" w:cs="Calibri"/>
              </w:rPr>
              <w:t xml:space="preserve">, </w:t>
            </w:r>
            <w:hyperlink r:id="rIdHyperlink36"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AR-03C</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Current-authority validation, route projection/resolution and four preview import cutovers; </w:t>
            </w:r>
            <w:hyperlink r:id="rIdHyperlink37" w:history="1">
              <w:r>
                <w:rPr>
                  <w:rFonts w:ascii="Calibri" w:hAnsi="Calibri" w:cs="Calibri"/>
                  <w:color w:val="2E74B5"/>
                  <w:u w:val="single"/>
                </w:rPr>
                <w:t>contract</w:t>
              </w:r>
            </w:hyperlink>
            <w:r>
              <w:rPr>
                <w:rFonts w:ascii="Calibri" w:hAnsi="Calibri" w:cs="Calibri"/>
              </w:rPr>
              <w:t xml:space="preserve">, </w:t>
            </w:r>
            <w:hyperlink r:id="rIdHyperlink38"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AR-03D</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Design-selection contracts/operations and editor projection with three named consumer cutovers; </w:t>
            </w:r>
            <w:hyperlink r:id="rIdHyperlink39" w:history="1">
              <w:r>
                <w:rPr>
                  <w:rFonts w:ascii="Calibri" w:hAnsi="Calibri" w:cs="Calibri"/>
                  <w:color w:val="2E74B5"/>
                  <w:u w:val="single"/>
                </w:rPr>
                <w:t>contract</w:t>
              </w:r>
            </w:hyperlink>
            <w:r>
              <w:rPr>
                <w:rFonts w:ascii="Calibri" w:hAnsi="Calibri" w:cs="Calibri"/>
              </w:rPr>
              <w:t xml:space="preserve">, </w:t>
            </w:r>
            <w:hyperlink r:id="rIdHyperlink40"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AR-03E</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Legacy migration, distinct transient projections and shared bridge schemas; </w:t>
            </w:r>
            <w:hyperlink r:id="rIdHyperlink41" w:history="1">
              <w:r>
                <w:rPr>
                  <w:rFonts w:ascii="Calibri" w:hAnsi="Calibri" w:cs="Calibri"/>
                  <w:color w:val="2E74B5"/>
                  <w:u w:val="single"/>
                </w:rPr>
                <w:t>contract</w:t>
              </w:r>
            </w:hyperlink>
            <w:r>
              <w:rPr>
                <w:rFonts w:ascii="Calibri" w:hAnsi="Calibri" w:cs="Calibri"/>
              </w:rPr>
              <w:t xml:space="preserve">, </w:t>
            </w:r>
            <w:hyperlink r:id="rIdHyperlink42" w:history="1">
              <w:r>
                <w:rPr>
                  <w:rFonts w:ascii="Calibri" w:hAnsi="Calibri" w:cs="Calibri"/>
                  <w:color w:val="2E74B5"/>
                  <w:u w:val="single"/>
                </w:rPr>
                <w:t>report</w:t>
              </w:r>
            </w:hyperlink>
            <w:r>
              <w:rPr>
                <w:rFonts w:ascii="Calibri" w:hAnsi="Calibri" w:cs="Calibri"/>
              </w:rPr>
              <w:t xml:space="preserve">, </w:t>
            </w:r>
            <w:hyperlink r:id="rIdHyperlink43" w:history="1">
              <w:r>
                <w:rPr>
                  <w:rFonts w:ascii="Calibri" w:hAnsi="Calibri" w:cs="Calibri"/>
                  <w:color w:val="2E74B5"/>
                  <w:u w:val="single"/>
                </w:rPr>
                <w:t>parent acceptance</w:t>
              </w:r>
            </w:hyperlink>
          </w:p>
        </w:tc>
        <w:tc>
          <w:tcPr>
            <w:tcW w:w="8460" w:type="dxa"/>
            <w:vAlign w:val="center"/>
          </w:tcPr>
          <w:p>
            <w:pPr>
              <w:pStyle w:val="TableText"/>
              <w:jc w:val="center"/>
              <w:widowControl/>
            </w:pPr>
            <w:r>
              <w:rPr>
                <w:rFonts w:ascii="Calibri" w:hAnsi="Calibri" w:cs="Calibri"/>
                <w:b/>
                <w:bCs/>
              </w:rPr>
              <w:t>Baseline / closed</w:t>
            </w:r>
          </w:p>
        </w:tc>
      </w:tr>
    </w:tbl>
    <w:p>
      <w:pPr>
        <w:pStyle w:val="Normal"/>
        <w:widowControl/>
      </w:pPr>
    </w:p>
    <w:p>
      <w:pPr>
        <w:pStyle w:val="Normal"/>
        <w:widowControl/>
      </w:pPr>
      <w:r>
        <w:rPr>
          <w:rFonts w:ascii="Calibri" w:hAnsi="Calibri" w:cs="Calibri"/>
        </w:rPr>
        <w:t xml:space="preserve">| AR-06A | AR-06 | Shared static renderer and stack/offset proof in EN/FI at four widths; </w:t>
      </w:r>
      <w:hyperlink r:id="rIdHyperlink44" w:history="1">
        <w:r>
          <w:rPr>
            <w:rFonts w:ascii="Calibri" w:hAnsi="Calibri" w:cs="Calibri"/>
            <w:color w:val="2E74B5"/>
            <w:u w:val="single"/>
          </w:rPr>
          <w:t>contract</w:t>
        </w:r>
      </w:hyperlink>
      <w:r>
        <w:rPr>
          <w:rFonts w:ascii="Calibri" w:hAnsi="Calibri" w:cs="Calibri"/>
        </w:rPr>
        <w:t xml:space="preserve">, </w:t>
      </w:r>
      <w:hyperlink r:id="rIdHyperlink45" w:history="1">
        <w:r>
          <w:rPr>
            <w:rFonts w:ascii="Calibri" w:hAnsi="Calibri" w:cs="Calibri"/>
            <w:color w:val="2E74B5"/>
            <w:u w:val="single"/>
          </w:rPr>
          <w:t>report</w:t>
        </w:r>
      </w:hyperlink>
      <w:r>
        <w:rPr>
          <w:rFonts w:ascii="Calibri" w:hAnsi="Calibri" w:cs="Calibri"/>
        </w:rPr>
        <w:t xml:space="preserve">, </w:t>
      </w:r>
      <w:hyperlink r:id="rIdHyperlink3" w:history="1">
        <w:r>
          <w:rPr>
            <w:rFonts w:ascii="Calibri" w:hAnsi="Calibri" w:cs="Calibri"/>
            <w:color w:val="2E74B5"/>
            <w:u w:val="single"/>
          </w:rPr>
          <w:t>parent evidence</w:t>
        </w:r>
      </w:hyperlink>
      <w:r>
        <w:rPr>
          <w:rFonts w:ascii="Calibri" w:hAnsi="Calibri" w:cs="Calibri"/>
        </w:rPr>
        <w:t xml:space="preserve"> | </w:t>
      </w:r>
      <w:r>
        <w:rPr>
          <w:rFonts w:ascii="Calibri" w:hAnsi="Calibri" w:cs="Calibri"/>
          <w:b/>
          <w:bCs/>
        </w:rPr>
        <w:t>Baseline / closed, verified at `bc209f4bdfed9626605b8c699aaabb547d5d2025`</w:t>
      </w:r>
      <w:r>
        <w:rPr>
          <w:rFonts w:ascii="Calibri" w:hAnsi="Calibri" w:cs="Calibri"/>
        </w:rPr>
        <w:t xml:space="preserve"> | | AR-06B | AR-06 | Guarded unsaved Puck editing for the AR-06A static composition; </w:t>
      </w:r>
      <w:hyperlink r:id="rIdHyperlink46" w:history="1">
        <w:r>
          <w:rPr>
            <w:rFonts w:ascii="Calibri" w:hAnsi="Calibri" w:cs="Calibri"/>
            <w:color w:val="2E74B5"/>
            <w:u w:val="single"/>
          </w:rPr>
          <w:t>contract</w:t>
        </w:r>
      </w:hyperlink>
      <w:r>
        <w:rPr>
          <w:rFonts w:ascii="Calibri" w:hAnsi="Calibri" w:cs="Calibri"/>
        </w:rPr>
        <w:t xml:space="preserve">, </w:t>
      </w:r>
      <w:hyperlink r:id="rIdHyperlink47" w:history="1">
        <w:r>
          <w:rPr>
            <w:rFonts w:ascii="Calibri" w:hAnsi="Calibri" w:cs="Calibri"/>
            <w:color w:val="2E74B5"/>
            <w:u w:val="single"/>
          </w:rPr>
          <w:t>report</w:t>
        </w:r>
      </w:hyperlink>
      <w:r>
        <w:rPr>
          <w:rFonts w:ascii="Calibri" w:hAnsi="Calibri" w:cs="Calibri"/>
        </w:rPr>
        <w:t xml:space="preserve">, </w:t>
      </w:r>
      <w:hyperlink r:id="rIdHyperlink3" w:history="1">
        <w:r>
          <w:rPr>
            <w:rFonts w:ascii="Calibri" w:hAnsi="Calibri" w:cs="Calibri"/>
            <w:color w:val="2E74B5"/>
            <w:u w:val="single"/>
          </w:rPr>
          <w:t>parent evidence</w:t>
        </w:r>
      </w:hyperlink>
      <w:r>
        <w:rPr>
          <w:rFonts w:ascii="Calibri" w:hAnsi="Calibri" w:cs="Calibri"/>
        </w:rPr>
        <w:t xml:space="preserve"> | </w:t>
      </w:r>
      <w:r>
        <w:rPr>
          <w:rFonts w:ascii="Calibri" w:hAnsi="Calibri" w:cs="Calibri"/>
          <w:b/>
          <w:bCs/>
        </w:rPr>
        <w:t>Baseline / closed effective upon accepted merge; candidate evidence remains pending</w:t>
      </w:r>
      <w:r>
        <w:rPr>
          <w:rFonts w:ascii="Calibri" w:hAnsi="Calibri" w:cs="Calibri"/>
        </w:rPr>
        <w:t xml:space="preserve"> |</w:t>
      </w: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Accepted structural closure; retained execution; frozen architecture, predecessor and zero-production authority; explicit product-owner acceptance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Compatibility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Exact ordered nine-role authority, strict blueprint/region binding, bounded per-role cardinality and deterministic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P10B-19A-05</w:t>
            </w:r>
          </w:p>
        </w:tc>
        <w:tc>
          <w:tcPr>
            <w:tcW w:w="2800" w:type="dxa"/>
            <w:vAlign w:val="center"/>
          </w:tcPr>
          <w:p>
            <w:pPr>
              <w:pStyle w:val="CompactTableText"/>
              <w:widowControl/>
            </w:pPr>
            <w:r>
              <w:rPr>
                <w:rFonts w:ascii="Calibri" w:hAnsi="Calibri" w:cs="Calibri"/>
              </w:rPr>
              <w:t>Responsive-Rule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P10B-19A-04 merged</w:t>
            </w:r>
          </w:p>
        </w:tc>
        <w:tc>
          <w:tcPr>
            <w:tcW w:w="2890" w:type="dxa"/>
            <w:vAlign w:val="center"/>
          </w:tcPr>
          <w:p>
            <w:pPr>
              <w:pStyle w:val="CompactTableText"/>
              <w:widowControl/>
            </w:pPr>
            <w:r>
              <w:rPr>
                <w:rFonts w:ascii="Calibri" w:hAnsi="Calibri" w:cs="Calibri"/>
              </w:rPr>
              <w:t>Strict four-breakpoint structural responsive contract, explicit order/region/relationship coverage and deterministic accessible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P10B-19A-06</w:t>
            </w:r>
          </w:p>
        </w:tc>
        <w:tc>
          <w:tcPr>
            <w:tcW w:w="2800" w:type="dxa"/>
            <w:vAlign w:val="center"/>
          </w:tcPr>
          <w:p>
            <w:pPr>
              <w:pStyle w:val="CompactTableText"/>
              <w:widowControl/>
            </w:pPr>
            <w:r>
              <w:rPr>
                <w:rFonts w:ascii="Calibri" w:hAnsi="Calibri" w:cs="Calibri"/>
              </w:rPr>
              <w:t>Omission, Substitution and Fallback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P10B-19A-05 merged</w:t>
            </w:r>
          </w:p>
        </w:tc>
        <w:tc>
          <w:tcPr>
            <w:tcW w:w="2890" w:type="dxa"/>
            <w:vAlign w:val="center"/>
          </w:tcPr>
          <w:p>
            <w:pPr>
              <w:pStyle w:val="CompactTableText"/>
              <w:widowControl/>
            </w:pPr>
            <w:r>
              <w:rPr>
                <w:rFonts w:ascii="Calibri" w:hAnsi="Calibri" w:cs="Calibri"/>
              </w:rPr>
              <w:t>Strict required-asset-role trigger coverage, safe optional omission and ordered whole-blueprint substitution references;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P10B-19A-07</w:t>
            </w:r>
          </w:p>
        </w:tc>
        <w:tc>
          <w:tcPr>
            <w:tcW w:w="2800" w:type="dxa"/>
            <w:vAlign w:val="center"/>
          </w:tcPr>
          <w:p>
            <w:pPr>
              <w:pStyle w:val="CompactTableText"/>
              <w:widowControl/>
            </w:pPr>
            <w:r>
              <w:rPr>
                <w:rFonts w:ascii="Calibri" w:hAnsi="Calibri" w:cs="Calibri"/>
              </w:rPr>
              <w:t>Inactive Family Registry and Candidate Fingerprints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through P10B-19A-06 merged</w:t>
            </w:r>
          </w:p>
        </w:tc>
        <w:tc>
          <w:tcPr>
            <w:tcW w:w="2890" w:type="dxa"/>
            <w:vAlign w:val="center"/>
          </w:tcPr>
          <w:p>
            <w:pPr>
              <w:pStyle w:val="CompactTableText"/>
              <w:widowControl/>
            </w:pPr>
            <w:r>
              <w:rPr>
                <w:rFonts w:ascii="Calibri" w:hAnsi="Calibri" w:cs="Calibri"/>
              </w:rPr>
              <w:t>Exact candidate composition/fingerprints; six A-02 profiles; resolved same-family A-06 targets and acyclic substitutions; sole production registry exactly empty; zero records,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w:t>
            </w:r>
          </w:p>
        </w:tc>
        <w:tc>
          <w:tcPr>
            <w:tcW w:w="2800" w:type="dxa"/>
            <w:vAlign w:val="center"/>
          </w:tcPr>
          <w:p>
            <w:pPr>
              <w:pStyle w:val="CompactTableText"/>
              <w:widowControl/>
            </w:pPr>
            <w:r>
              <w:rPr>
                <w:rFonts w:ascii="Calibri" w:hAnsi="Calibri" w:cs="Calibri"/>
              </w:rPr>
              <w:t>Compatibility, Deterministic Selection and Normalized Topology Identity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Delivery-only A-08A/A-08B/A-08C sequence completes normalized identity, compatibility and deterministic selection with empty production/runtime authority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P10B-19A-08A</w:t>
            </w:r>
          </w:p>
        </w:tc>
        <w:tc>
          <w:tcPr>
            <w:tcW w:w="2800" w:type="dxa"/>
            <w:vAlign w:val="center"/>
          </w:tcPr>
          <w:p>
            <w:pPr>
              <w:pStyle w:val="CompactTableText"/>
              <w:widowControl/>
            </w:pPr>
            <w:r>
              <w:rPr>
                <w:rFonts w:ascii="Calibri" w:hAnsi="Calibri" w:cs="Calibri"/>
              </w:rPr>
              <w:t>Normalized Topology Identity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Strict normalized page/family topology identity and pure inactive duplicate index; zero production records, compatibility,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P10B-19A-08B</w:t>
            </w:r>
          </w:p>
        </w:tc>
        <w:tc>
          <w:tcPr>
            <w:tcW w:w="2800" w:type="dxa"/>
            <w:vAlign w:val="center"/>
          </w:tcPr>
          <w:p>
            <w:pPr>
              <w:pStyle w:val="CompactTableText"/>
              <w:widowControl/>
            </w:pPr>
            <w:r>
              <w:rPr>
                <w:rFonts w:ascii="Calibri" w:hAnsi="Calibri" w:cs="Calibri"/>
              </w:rPr>
              <w:t>Candidate Compatibility Contract and Evaluation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P10B-19A-08A merged</w:t>
            </w:r>
          </w:p>
        </w:tc>
        <w:tc>
          <w:tcPr>
            <w:tcW w:w="2890" w:type="dxa"/>
            <w:vAlign w:val="center"/>
          </w:tcPr>
          <w:p>
            <w:pPr>
              <w:pStyle w:val="CompactTableText"/>
              <w:widowControl/>
            </w:pPr>
            <w:r>
              <w:rPr>
                <w:rFonts w:ascii="Calibri" w:hAnsi="Calibri" w:cs="Calibri"/>
              </w:rPr>
              <w:t>Strict transient context/profile contracts and deterministic PageBlueprint/family compatibility evaluation; empty production authority and no selection or runtime reach</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P10B-19A-08C</w:t>
            </w:r>
          </w:p>
        </w:tc>
        <w:tc>
          <w:tcPr>
            <w:tcW w:w="2800" w:type="dxa"/>
            <w:vAlign w:val="center"/>
          </w:tcPr>
          <w:p>
            <w:pPr>
              <w:pStyle w:val="CompactTableText"/>
              <w:widowControl/>
            </w:pPr>
            <w:r>
              <w:rPr>
                <w:rFonts w:ascii="Calibri" w:hAnsi="Calibri" w:cs="Calibri"/>
              </w:rPr>
              <w:t>Deterministic Candidate Selection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P10B-19A-08B merged</w:t>
            </w:r>
          </w:p>
        </w:tc>
        <w:tc>
          <w:tcPr>
            <w:tcW w:w="2890" w:type="dxa"/>
            <w:vAlign w:val="center"/>
          </w:tcPr>
          <w:p>
            <w:pPr>
              <w:pStyle w:val="CompactTableText"/>
              <w:widowControl/>
            </w:pPr>
            <w:r>
              <w:rPr>
                <w:rFonts w:ascii="Calibri" w:hAnsi="Calibri" w:cs="Calibri"/>
              </w:rPr>
              <w:t>Strict scoring-free six-page selection, bounded topology exclusions, immutable replayed receipts and zero production/runtime reach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w:t>
            </w:r>
          </w:p>
        </w:tc>
        <w:tc>
          <w:tcPr>
            <w:tcW w:w="2800" w:type="dxa"/>
            <w:vAlign w:val="center"/>
          </w:tcPr>
          <w:p>
            <w:pPr>
              <w:pStyle w:val="CompactTableText"/>
              <w:widowControl/>
            </w:pPr>
            <w:r>
              <w:rPr>
                <w:rFonts w:ascii="Calibri" w:hAnsi="Calibri" w:cs="Calibri"/>
              </w:rPr>
              <w:t>v1 read/render/migration/publication compatibility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A-09A identity, A-09B read/render replay and A-09C publication replay complete the accepted v1 compatibility outcome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P10B-19A-09A</w:t>
            </w:r>
          </w:p>
        </w:tc>
        <w:tc>
          <w:tcPr>
            <w:tcW w:w="2800" w:type="dxa"/>
            <w:vAlign w:val="center"/>
          </w:tcPr>
          <w:p>
            <w:pPr>
              <w:pStyle w:val="CompactTableText"/>
              <w:widowControl/>
            </w:pPr>
            <w:r>
              <w:rPr>
                <w:rFonts w:ascii="Calibri" w:hAnsi="Calibri" w:cs="Calibri"/>
              </w:rPr>
              <w:t>Legacy v1 Replay Alias and Compatibility Reference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Exact three opaque aliases, current 1.1.0 direction binding, strict v1 narrowing replay identity, selectionId exclusion and fail-closed stale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P10B-19A-09B</w:t>
            </w:r>
          </w:p>
        </w:tc>
        <w:tc>
          <w:tcPr>
            <w:tcW w:w="2800" w:type="dxa"/>
            <w:vAlign w:val="center"/>
          </w:tcPr>
          <w:p>
            <w:pPr>
              <w:pStyle w:val="CompactTableText"/>
              <w:widowControl/>
            </w:pPr>
            <w:r>
              <w:rPr>
                <w:rFonts w:ascii="Calibri" w:hAnsi="Calibri" w:cs="Calibri"/>
              </w:rPr>
              <w:t>Historical v1 Snapshot Read and Render Replay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P10B-19A-09A merged</w:t>
            </w:r>
          </w:p>
        </w:tc>
        <w:tc>
          <w:tcPr>
            <w:tcW w:w="2890" w:type="dxa"/>
            <w:vAlign w:val="center"/>
          </w:tcPr>
          <w:p>
            <w:pPr>
              <w:pStyle w:val="CompactTableText"/>
              <w:widowControl/>
            </w:pPr>
            <w:r>
              <w:rPr>
                <w:rFonts w:ascii="Calibri" w:hAnsi="Calibri" w:cs="Calibri"/>
              </w:rPr>
              <w:t>Strict read-only canonical validation, exact-bound or readable-unattributed receipts, seven verified/seven unverified fields and 36/36 current-renderer replay with zero writes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P10B-19A-09C</w:t>
            </w:r>
          </w:p>
        </w:tc>
        <w:tc>
          <w:tcPr>
            <w:tcW w:w="2800" w:type="dxa"/>
            <w:vAlign w:val="center"/>
          </w:tcPr>
          <w:p>
            <w:pPr>
              <w:pStyle w:val="CompactTableText"/>
              <w:widowControl/>
            </w:pPr>
            <w:r>
              <w:rPr>
                <w:rFonts w:ascii="Calibri" w:hAnsi="Calibri" w:cs="Calibri"/>
              </w:rPr>
              <w:t>Publication Replay and A-09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P10B-19A-09B merged</w:t>
            </w:r>
          </w:p>
        </w:tc>
        <w:tc>
          <w:tcPr>
            <w:tcW w:w="2890" w:type="dxa"/>
            <w:vAlign w:val="center"/>
          </w:tcPr>
          <w:p>
            <w:pPr>
              <w:pStyle w:val="CompactTableText"/>
              <w:widowControl/>
            </w:pPr>
            <w:r>
              <w:rPr>
                <w:rFonts w:ascii="Calibri" w:hAnsi="Calibri" w:cs="Calibri"/>
              </w:rPr>
              <w:t>Current compiler/manual-source replay, A-09B binding, three atomic confirmations, active-version integrity, and 36/36 published plus 36/36 normalized Preview parity observations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w:t>
            </w:r>
          </w:p>
        </w:tc>
        <w:tc>
          <w:tcPr>
            <w:tcW w:w="2800" w:type="dxa"/>
            <w:vAlign w:val="center"/>
          </w:tcPr>
          <w:p>
            <w:pPr>
              <w:pStyle w:val="CompactTableText"/>
              <w:widowControl/>
            </w:pPr>
            <w:r>
              <w:rPr>
                <w:rFonts w:ascii="Calibri" w:hAnsi="Calibri" w:cs="Calibri"/>
              </w:rPr>
              <w:t>Retained matrices, integration and P10B-19A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A-10A inventory, A-10B positive/fail-closed integration and A-10C retained execution/product-owner architecture closure complete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P10B-19A-10A</w:t>
            </w:r>
          </w:p>
        </w:tc>
        <w:tc>
          <w:tcPr>
            <w:tcW w:w="2800" w:type="dxa"/>
            <w:vAlign w:val="center"/>
          </w:tcPr>
          <w:p>
            <w:pPr>
              <w:pStyle w:val="CompactTableText"/>
              <w:widowControl/>
            </w:pPr>
            <w:r>
              <w:rPr>
                <w:rFonts w:ascii="Calibri" w:hAnsi="Calibri" w:cs="Calibri"/>
              </w:rPr>
              <w:t>Retained Matrix Inventory and Frozen Baseline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24 explicit gates, exact 126/72 and A-09 metrics, 76 protected hashes, nine inactivity zeroes and dynamic CI discovery; zero production changes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w:t>
            </w:r>
          </w:p>
        </w:tc>
        <w:tc>
          <w:tcPr>
            <w:tcW w:w="2800" w:type="dxa"/>
            <w:vAlign w:val="center"/>
          </w:tcPr>
          <w:p>
            <w:pPr>
              <w:pStyle w:val="CompactTableText"/>
              <w:widowControl/>
            </w:pPr>
            <w:r>
              <w:rPr>
                <w:rFonts w:ascii="Calibri" w:hAnsi="Calibri" w:cs="Calibri"/>
              </w:rPr>
              <w:t>Cross-Authority Integration and Failure Matrix</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A-10B1 positive integration and A-10B2 exact 36-case fail-closed matrix complete;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P10B-19A-10B1</w:t>
            </w:r>
          </w:p>
        </w:tc>
        <w:tc>
          <w:tcPr>
            <w:tcW w:w="2800" w:type="dxa"/>
            <w:vAlign w:val="center"/>
          </w:tcPr>
          <w:p>
            <w:pPr>
              <w:pStyle w:val="CompactTableText"/>
              <w:widowControl/>
            </w:pPr>
            <w:r>
              <w:rPr>
                <w:rFonts w:ascii="Calibri" w:hAnsi="Calibri" w:cs="Calibri"/>
              </w:rPr>
              <w:t>Positive Cross-Authority Integration Matrix</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8 PageBlueprint candidates; 6 family candidates; 6 profiles; 3 contexts; 3 topology groups × 2 identities; 6 direct and 3 sequential receipts; A-09/A-10A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P10B-19A-10B2</w:t>
            </w:r>
          </w:p>
        </w:tc>
        <w:tc>
          <w:tcPr>
            <w:tcW w:w="2800" w:type="dxa"/>
            <w:vAlign w:val="center"/>
          </w:tcPr>
          <w:p>
            <w:pPr>
              <w:pStyle w:val="CompactTableText"/>
              <w:widowControl/>
            </w:pPr>
            <w:r>
              <w:rPr>
                <w:rFonts w:ascii="Calibri" w:hAnsi="Calibri" w:cs="Calibri"/>
              </w:rPr>
              <w:t>Fail-Closed Cross-Authority Failure Matrix and A-10B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P10B-19A-10B1 merged</w:t>
            </w:r>
          </w:p>
        </w:tc>
        <w:tc>
          <w:tcPr>
            <w:tcW w:w="2890" w:type="dxa"/>
            <w:vAlign w:val="center"/>
          </w:tcPr>
          <w:p>
            <w:pPr>
              <w:pStyle w:val="CompactTableText"/>
              <w:widowControl/>
            </w:pPr>
            <w:r>
              <w:rPr>
                <w:rFonts w:ascii="Calibri" w:hAnsi="Calibri" w:cs="Calibri"/>
              </w:rPr>
              <w:t>36 exact ordered failures; owner/phase isolation; no partial output or source mutation; four strict legacy/v2 rejections; A-10A/B1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P10B-19A-10C</w:t>
            </w:r>
          </w:p>
        </w:tc>
        <w:tc>
          <w:tcPr>
            <w:tcW w:w="2800" w:type="dxa"/>
            <w:vAlign w:val="center"/>
          </w:tcPr>
          <w:p>
            <w:pPr>
              <w:pStyle w:val="CompactTableText"/>
              <w:widowControl/>
            </w:pPr>
            <w:r>
              <w:rPr>
                <w:rFonts w:ascii="Calibri" w:hAnsi="Calibri" w:cs="Calibri"/>
              </w:rPr>
              <w:t>P10B-19A Closure and Product-Owner Architecture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P10B-19A-10B2 merged</w:t>
            </w:r>
          </w:p>
        </w:tc>
        <w:tc>
          <w:tcPr>
            <w:tcW w:w="2890" w:type="dxa"/>
            <w:vAlign w:val="center"/>
          </w:tcPr>
          <w:p>
            <w:pPr>
              <w:pStyle w:val="CompactTableText"/>
              <w:widowControl/>
            </w:pPr>
            <w:r>
              <w:rPr>
                <w:rFonts w:ascii="Calibri" w:hAnsi="Calibri" w:cs="Calibri"/>
              </w:rPr>
              <w:t>Accepted closure manifest; retained 26-file execution/discovery authority; frozen predecessors/architecture and explicit product-owner decision;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P10B-19B-01</w:t>
            </w:r>
          </w:p>
        </w:tc>
        <w:tc>
          <w:tcPr>
            <w:tcW w:w="2800" w:type="dxa"/>
            <w:vAlign w:val="center"/>
          </w:tcPr>
          <w:p>
            <w:pPr>
              <w:pStyle w:val="CompactTableText"/>
              <w:widowControl/>
            </w:pPr>
            <w:r>
              <w:rPr>
                <w:rFonts w:ascii="Calibri" w:hAnsi="Calibri" w:cs="Calibri"/>
              </w:rPr>
              <w:t>VisualRecipeIntentV1 Safe Schema and Capability Projection</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P10B-19A-10C merged</w:t>
            </w:r>
          </w:p>
        </w:tc>
        <w:tc>
          <w:tcPr>
            <w:tcW w:w="2890" w:type="dxa"/>
            <w:vAlign w:val="center"/>
          </w:tcPr>
          <w:p>
            <w:pPr>
              <w:pStyle w:val="CompactTableText"/>
              <w:widowControl/>
            </w:pPr>
            <w:r>
              <w:rPr>
                <w:rFonts w:ascii="Calibri" w:hAnsi="Calibri" w:cs="Calibri"/>
              </w:rPr>
              <w:t>Begin only after A-10C merges; B-01 has not begun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cantSplit/>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cantSplit/>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cantSplit/>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cantSplit/>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cantSplit/>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cantSplit/>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cantSplit/>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cantSplit/>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P10B-19A-01 through P10B-19A-07, P10B-19A-08A through P10B-19A-08C, P10B-19A-09A through P10B-19A-09C, P10B-19A-10A, P10B-19A-10B1, P10B-19A-10B2 and P10B-19A-10C are Baseline; parents P10B-19A-08, P10B-19A-09, P10B-19A-10B, P10B-19A-10 and P10B-19A are Baseline / closed. P10B-19B-01 is the exact next implementation task and is Planned / exact next; it has not begun. P10B-19 and P10B remain Partial.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900"/>
        <w:gridCol w:w="7600"/>
        <w:gridCol w:w="4460"/>
      </w:tblGrid>
      <w:tr>
        <w:trPr>
          <w:tblHeader/>
          <w:cantSplit/>
        </w:trPr>
        <w:tc>
          <w:tcPr>
            <w:tcW w:w="900" w:type="dxa"/>
            <w:vAlign w:val="center"/>
            <w:shd w:val="clear" w:fill="E8EEF5"/>
          </w:tcPr>
          <w:p>
            <w:pPr>
              <w:pStyle w:val="TableHeader"/>
              <w:jc w:val="center"/>
              <w:widowControl/>
            </w:pPr>
            <w:r>
              <w:rPr>
                <w:rFonts w:ascii="Calibri" w:hAnsi="Calibri" w:cs="Calibri"/>
              </w:rPr>
              <w:t>Order</w:t>
            </w:r>
          </w:p>
        </w:tc>
        <w:tc>
          <w:tcPr>
            <w:tcW w:w="7600" w:type="dxa"/>
            <w:vAlign w:val="center"/>
            <w:shd w:val="clear" w:fill="E8EEF5"/>
          </w:tcPr>
          <w:p>
            <w:pPr>
              <w:pStyle w:val="TableHeader"/>
              <w:jc w:val="center"/>
              <w:widowControl/>
            </w:pPr>
            <w:r>
              <w:rPr>
                <w:rFonts w:ascii="Calibri" w:hAnsi="Calibri" w:cs="Calibri"/>
              </w:rPr>
              <w:t>Child task</w:t>
            </w:r>
          </w:p>
        </w:tc>
        <w:tc>
          <w:tcPr>
            <w:tcW w:w="4460" w:type="dxa"/>
            <w:vAlign w:val="center"/>
            <w:shd w:val="clear" w:fill="E8EEF5"/>
          </w:tcPr>
          <w:p>
            <w:pPr>
              <w:pStyle w:val="TableHeader"/>
              <w:jc w:val="center"/>
              <w:widowControl/>
            </w:pPr>
            <w:r>
              <w:rPr>
                <w:rFonts w:ascii="Calibri" w:hAnsi="Calibri" w:cs="Calibri"/>
              </w:rPr>
              <w:t>Merge eligibility</w:t>
            </w:r>
          </w:p>
        </w:tc>
      </w:tr>
      <w:tr>
        <w:trPr>
          <w:cantSplit/>
        </w:trPr>
        <w:tc>
          <w:tcPr>
            <w:tcW w:w="900" w:type="dxa"/>
            <w:vAlign w:val="center"/>
          </w:tcPr>
          <w:p>
            <w:pPr>
              <w:pStyle w:val="TableText"/>
              <w:widowControl/>
            </w:pPr>
            <w:r>
              <w:rPr>
                <w:rFonts w:ascii="Calibri" w:hAnsi="Calibri" w:cs="Calibri"/>
              </w:rPr>
              <w:t>1</w:t>
            </w:r>
          </w:p>
        </w:tc>
        <w:tc>
          <w:tcPr>
            <w:tcW w:w="7600" w:type="dxa"/>
            <w:vAlign w:val="center"/>
          </w:tcPr>
          <w:p>
            <w:pPr>
              <w:pStyle w:val="TableText"/>
              <w:widowControl/>
            </w:pPr>
            <w:r>
              <w:rPr>
                <w:rFonts w:ascii="Calibri" w:hAnsi="Calibri" w:cs="Calibri"/>
              </w:rPr>
              <w:t>P10B-19A-01 - Structural family identity, versions, lifecycle states and invariants</w:t>
            </w:r>
          </w:p>
        </w:tc>
        <w:tc>
          <w:tcPr>
            <w:tcW w:w="4460" w:type="dxa"/>
            <w:vAlign w:val="center"/>
          </w:tcPr>
          <w:p>
            <w:pPr>
              <w:pStyle w:val="TableText"/>
              <w:widowControl/>
            </w:pPr>
            <w:r>
              <w:rPr>
                <w:rFonts w:ascii="Calibri" w:hAnsi="Calibri" w:cs="Calibri"/>
              </w:rPr>
              <w:t>DEVX-01 closed</w:t>
            </w:r>
          </w:p>
        </w:tc>
      </w:tr>
      <w:tr>
        <w:trPr>
          <w:cantSplit/>
        </w:trPr>
        <w:tc>
          <w:tcPr>
            <w:tcW w:w="900" w:type="dxa"/>
            <w:vAlign w:val="center"/>
          </w:tcPr>
          <w:p>
            <w:pPr>
              <w:pStyle w:val="TableText"/>
              <w:widowControl/>
            </w:pPr>
            <w:r>
              <w:rPr>
                <w:rFonts w:ascii="Calibri" w:hAnsi="Calibri" w:cs="Calibri"/>
              </w:rPr>
              <w:t>2</w:t>
            </w:r>
          </w:p>
        </w:tc>
        <w:tc>
          <w:tcPr>
            <w:tcW w:w="7600" w:type="dxa"/>
            <w:vAlign w:val="center"/>
          </w:tcPr>
          <w:p>
            <w:pPr>
              <w:pStyle w:val="TableText"/>
              <w:widowControl/>
            </w:pPr>
            <w:r>
              <w:rPr>
                <w:rFonts w:ascii="Calibri" w:hAnsi="Calibri" w:cs="Calibri"/>
              </w:rPr>
              <w:t>P10B-19A-02 - Cross-page structural relationship contract</w:t>
            </w:r>
          </w:p>
        </w:tc>
        <w:tc>
          <w:tcPr>
            <w:tcW w:w="4460" w:type="dxa"/>
            <w:vAlign w:val="center"/>
          </w:tcPr>
          <w:p>
            <w:pPr>
              <w:pStyle w:val="TableText"/>
              <w:widowControl/>
            </w:pPr>
            <w:r>
              <w:rPr>
                <w:rFonts w:ascii="Calibri" w:hAnsi="Calibri" w:cs="Calibri"/>
              </w:rPr>
              <w:t>A-01 merged</w:t>
            </w:r>
          </w:p>
        </w:tc>
      </w:tr>
      <w:tr>
        <w:trPr>
          <w:cantSplit/>
        </w:trPr>
        <w:tc>
          <w:tcPr>
            <w:tcW w:w="900" w:type="dxa"/>
            <w:vAlign w:val="center"/>
          </w:tcPr>
          <w:p>
            <w:pPr>
              <w:pStyle w:val="TableText"/>
              <w:widowControl/>
            </w:pPr>
            <w:r>
              <w:rPr>
                <w:rFonts w:ascii="Calibri" w:hAnsi="Calibri" w:cs="Calibri"/>
              </w:rPr>
              <w:t>3</w:t>
            </w:r>
          </w:p>
        </w:tc>
        <w:tc>
          <w:tcPr>
            <w:tcW w:w="7600" w:type="dxa"/>
            <w:vAlign w:val="center"/>
          </w:tcPr>
          <w:p>
            <w:pPr>
              <w:pStyle w:val="TableText"/>
              <w:widowControl/>
            </w:pPr>
            <w:r>
              <w:rPr>
                <w:rFonts w:ascii="Calibri" w:hAnsi="Calibri" w:cs="Calibri"/>
              </w:rPr>
              <w:t>P10B-19A-03 - Required page structures, region graph and PageBlueprint v2 dispatch</w:t>
            </w:r>
          </w:p>
        </w:tc>
        <w:tc>
          <w:tcPr>
            <w:tcW w:w="4460" w:type="dxa"/>
            <w:vAlign w:val="center"/>
          </w:tcPr>
          <w:p>
            <w:pPr>
              <w:pStyle w:val="TableText"/>
              <w:widowControl/>
            </w:pPr>
            <w:r>
              <w:rPr>
                <w:rFonts w:ascii="Calibri" w:hAnsi="Calibri" w:cs="Calibri"/>
              </w:rPr>
              <w:t>A-02 merged</w:t>
            </w:r>
          </w:p>
        </w:tc>
      </w:tr>
      <w:tr>
        <w:trPr>
          <w:cantSplit/>
        </w:trPr>
        <w:tc>
          <w:tcPr>
            <w:tcW w:w="900" w:type="dxa"/>
            <w:vAlign w:val="center"/>
          </w:tcPr>
          <w:p>
            <w:pPr>
              <w:pStyle w:val="TableText"/>
              <w:widowControl/>
            </w:pPr>
            <w:r>
              <w:rPr>
                <w:rFonts w:ascii="Calibri" w:hAnsi="Calibri" w:cs="Calibri"/>
              </w:rPr>
              <w:t>4</w:t>
            </w:r>
          </w:p>
        </w:tc>
        <w:tc>
          <w:tcPr>
            <w:tcW w:w="7600" w:type="dxa"/>
            <w:vAlign w:val="center"/>
          </w:tcPr>
          <w:p>
            <w:pPr>
              <w:pStyle w:val="TableText"/>
              <w:widowControl/>
            </w:pPr>
            <w:r>
              <w:rPr>
                <w:rFonts w:ascii="Calibri" w:hAnsi="Calibri" w:cs="Calibri"/>
              </w:rPr>
              <w:t>P10B-19A-04 - Asset-role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5</w:t>
            </w:r>
          </w:p>
        </w:tc>
        <w:tc>
          <w:tcPr>
            <w:tcW w:w="7600" w:type="dxa"/>
            <w:vAlign w:val="center"/>
          </w:tcPr>
          <w:p>
            <w:pPr>
              <w:pStyle w:val="TableText"/>
              <w:widowControl/>
            </w:pPr>
            <w:r>
              <w:rPr>
                <w:rFonts w:ascii="Calibri" w:hAnsi="Calibri" w:cs="Calibri"/>
              </w:rPr>
              <w:t>P10B-19A-05 - Responsive-rule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6</w:t>
            </w:r>
          </w:p>
        </w:tc>
        <w:tc>
          <w:tcPr>
            <w:tcW w:w="7600" w:type="dxa"/>
            <w:vAlign w:val="center"/>
          </w:tcPr>
          <w:p>
            <w:pPr>
              <w:pStyle w:val="TableText"/>
              <w:widowControl/>
            </w:pPr>
            <w:r>
              <w:rPr>
                <w:rFonts w:ascii="Calibri" w:hAnsi="Calibri" w:cs="Calibri"/>
              </w:rPr>
              <w:t>P10B-19A-06 - Omission, substitution and fallback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7</w:t>
            </w:r>
          </w:p>
        </w:tc>
        <w:tc>
          <w:tcPr>
            <w:tcW w:w="7600" w:type="dxa"/>
            <w:vAlign w:val="center"/>
          </w:tcPr>
          <w:p>
            <w:pPr>
              <w:pStyle w:val="TableText"/>
              <w:widowControl/>
            </w:pPr>
            <w:r>
              <w:rPr>
                <w:rFonts w:ascii="Calibri" w:hAnsi="Calibri" w:cs="Calibri"/>
              </w:rPr>
              <w:t>P10B-19A-07 - Inactive family registry and candidate fingerprints</w:t>
            </w:r>
          </w:p>
        </w:tc>
        <w:tc>
          <w:tcPr>
            <w:tcW w:w="4460" w:type="dxa"/>
            <w:vAlign w:val="center"/>
          </w:tcPr>
          <w:p>
            <w:pPr>
              <w:pStyle w:val="TableText"/>
              <w:widowControl/>
            </w:pPr>
            <w:r>
              <w:rPr>
                <w:rFonts w:ascii="Calibri" w:hAnsi="Calibri" w:cs="Calibri"/>
              </w:rPr>
              <w:t>A-01 through A-06 authority merged</w:t>
            </w:r>
          </w:p>
        </w:tc>
      </w:tr>
      <w:tr>
        <w:trPr>
          <w:cantSplit/>
        </w:trPr>
        <w:tc>
          <w:tcPr>
            <w:tcW w:w="900" w:type="dxa"/>
            <w:vAlign w:val="center"/>
          </w:tcPr>
          <w:p>
            <w:pPr>
              <w:pStyle w:val="TableText"/>
              <w:widowControl/>
            </w:pPr>
            <w:r>
              <w:rPr>
                <w:rFonts w:ascii="Calibri" w:hAnsi="Calibri" w:cs="Calibri"/>
              </w:rPr>
              <w:t>8</w:t>
            </w:r>
          </w:p>
        </w:tc>
        <w:tc>
          <w:tcPr>
            <w:tcW w:w="7600" w:type="dxa"/>
            <w:vAlign w:val="center"/>
          </w:tcPr>
          <w:p>
            <w:pPr>
              <w:pStyle w:val="TableText"/>
              <w:widowControl/>
            </w:pPr>
            <w:r>
              <w:rPr>
                <w:rFonts w:ascii="Calibri" w:hAnsi="Calibri" w:cs="Calibri"/>
              </w:rPr>
              <w:t>P10B-19A-08 - Compatibility, deterministic selection and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8A</w:t>
            </w:r>
          </w:p>
        </w:tc>
        <w:tc>
          <w:tcPr>
            <w:tcW w:w="7600" w:type="dxa"/>
            <w:vAlign w:val="center"/>
          </w:tcPr>
          <w:p>
            <w:pPr>
              <w:pStyle w:val="TableText"/>
              <w:widowControl/>
            </w:pPr>
            <w:r>
              <w:rPr>
                <w:rFonts w:ascii="Calibri" w:hAnsi="Calibri" w:cs="Calibri"/>
              </w:rPr>
              <w:t>P10B-19A-08A -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8B</w:t>
            </w:r>
          </w:p>
        </w:tc>
        <w:tc>
          <w:tcPr>
            <w:tcW w:w="7600" w:type="dxa"/>
            <w:vAlign w:val="center"/>
          </w:tcPr>
          <w:p>
            <w:pPr>
              <w:pStyle w:val="TableText"/>
              <w:widowControl/>
            </w:pPr>
            <w:r>
              <w:rPr>
                <w:rFonts w:ascii="Calibri" w:hAnsi="Calibri" w:cs="Calibri"/>
              </w:rPr>
              <w:t>P10B-19A-08B - Candidate Compatibility Contract and Evaluation</w:t>
            </w:r>
          </w:p>
        </w:tc>
        <w:tc>
          <w:tcPr>
            <w:tcW w:w="4460" w:type="dxa"/>
            <w:vAlign w:val="center"/>
          </w:tcPr>
          <w:p>
            <w:pPr>
              <w:pStyle w:val="TableText"/>
              <w:widowControl/>
            </w:pPr>
            <w:r>
              <w:rPr>
                <w:rFonts w:ascii="Calibri" w:hAnsi="Calibri" w:cs="Calibri"/>
              </w:rPr>
              <w:t>A-08A merged</w:t>
            </w:r>
          </w:p>
        </w:tc>
      </w:tr>
      <w:tr>
        <w:trPr>
          <w:cantSplit/>
        </w:trPr>
        <w:tc>
          <w:tcPr>
            <w:tcW w:w="900" w:type="dxa"/>
            <w:vAlign w:val="center"/>
          </w:tcPr>
          <w:p>
            <w:pPr>
              <w:pStyle w:val="TableText"/>
              <w:widowControl/>
            </w:pPr>
            <w:r>
              <w:rPr>
                <w:rFonts w:ascii="Calibri" w:hAnsi="Calibri" w:cs="Calibri"/>
              </w:rPr>
              <w:t>8C</w:t>
            </w:r>
          </w:p>
        </w:tc>
        <w:tc>
          <w:tcPr>
            <w:tcW w:w="7600" w:type="dxa"/>
            <w:vAlign w:val="center"/>
          </w:tcPr>
          <w:p>
            <w:pPr>
              <w:pStyle w:val="TableText"/>
              <w:widowControl/>
            </w:pPr>
            <w:r>
              <w:rPr>
                <w:rFonts w:ascii="Calibri" w:hAnsi="Calibri" w:cs="Calibri"/>
              </w:rPr>
              <w:t>P10B-19A-08C - Deterministic Candidate Selection</w:t>
            </w:r>
          </w:p>
        </w:tc>
        <w:tc>
          <w:tcPr>
            <w:tcW w:w="4460" w:type="dxa"/>
            <w:vAlign w:val="center"/>
          </w:tcPr>
          <w:p>
            <w:pPr>
              <w:pStyle w:val="TableText"/>
              <w:widowControl/>
            </w:pPr>
            <w:r>
              <w:rPr>
                <w:rFonts w:ascii="Calibri" w:hAnsi="Calibri" w:cs="Calibri"/>
              </w:rPr>
              <w:t>A-08B merged</w:t>
            </w:r>
          </w:p>
        </w:tc>
      </w:tr>
      <w:tr>
        <w:trPr>
          <w:cantSplit/>
        </w:trPr>
        <w:tc>
          <w:tcPr>
            <w:tcW w:w="900" w:type="dxa"/>
            <w:vAlign w:val="center"/>
          </w:tcPr>
          <w:p>
            <w:pPr>
              <w:pStyle w:val="TableText"/>
              <w:widowControl/>
            </w:pPr>
            <w:r>
              <w:rPr>
                <w:rFonts w:ascii="Calibri" w:hAnsi="Calibri" w:cs="Calibri"/>
              </w:rPr>
              <w:t>9</w:t>
            </w:r>
          </w:p>
        </w:tc>
        <w:tc>
          <w:tcPr>
            <w:tcW w:w="7600" w:type="dxa"/>
            <w:vAlign w:val="center"/>
          </w:tcPr>
          <w:p>
            <w:pPr>
              <w:pStyle w:val="TableText"/>
              <w:widowControl/>
            </w:pPr>
            <w:r>
              <w:rPr>
                <w:rFonts w:ascii="Calibri" w:hAnsi="Calibri" w:cs="Calibri"/>
              </w:rPr>
              <w:t>P10B-19A-09 - v1 read/render/migration/publication compatibility</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9A</w:t>
            </w:r>
          </w:p>
        </w:tc>
        <w:tc>
          <w:tcPr>
            <w:tcW w:w="7600" w:type="dxa"/>
            <w:vAlign w:val="center"/>
          </w:tcPr>
          <w:p>
            <w:pPr>
              <w:pStyle w:val="TableText"/>
              <w:widowControl/>
            </w:pPr>
            <w:r>
              <w:rPr>
                <w:rFonts w:ascii="Calibri" w:hAnsi="Calibri" w:cs="Calibri"/>
              </w:rPr>
              <w:t>P10B-19A-09A - Legacy v1 Replay Alias and Compatibility Reference</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9B</w:t>
            </w:r>
          </w:p>
        </w:tc>
        <w:tc>
          <w:tcPr>
            <w:tcW w:w="7600" w:type="dxa"/>
            <w:vAlign w:val="center"/>
          </w:tcPr>
          <w:p>
            <w:pPr>
              <w:pStyle w:val="TableText"/>
              <w:widowControl/>
            </w:pPr>
            <w:r>
              <w:rPr>
                <w:rFonts w:ascii="Calibri" w:hAnsi="Calibri" w:cs="Calibri"/>
              </w:rPr>
              <w:t>P10B-19A-09B - Historical v1 Snapshot Read and Render Replay</w:t>
            </w:r>
          </w:p>
        </w:tc>
        <w:tc>
          <w:tcPr>
            <w:tcW w:w="4460" w:type="dxa"/>
            <w:vAlign w:val="center"/>
          </w:tcPr>
          <w:p>
            <w:pPr>
              <w:pStyle w:val="TableText"/>
              <w:widowControl/>
            </w:pPr>
            <w:r>
              <w:rPr>
                <w:rFonts w:ascii="Calibri" w:hAnsi="Calibri" w:cs="Calibri"/>
              </w:rPr>
              <w:t>A-09A merged</w:t>
            </w:r>
          </w:p>
        </w:tc>
      </w:tr>
      <w:tr>
        <w:trPr>
          <w:cantSplit/>
        </w:trPr>
        <w:tc>
          <w:tcPr>
            <w:tcW w:w="900" w:type="dxa"/>
            <w:vAlign w:val="center"/>
          </w:tcPr>
          <w:p>
            <w:pPr>
              <w:pStyle w:val="TableText"/>
              <w:widowControl/>
            </w:pPr>
            <w:r>
              <w:rPr>
                <w:rFonts w:ascii="Calibri" w:hAnsi="Calibri" w:cs="Calibri"/>
              </w:rPr>
              <w:t>9C</w:t>
            </w:r>
          </w:p>
        </w:tc>
        <w:tc>
          <w:tcPr>
            <w:tcW w:w="7600" w:type="dxa"/>
            <w:vAlign w:val="center"/>
          </w:tcPr>
          <w:p>
            <w:pPr>
              <w:pStyle w:val="TableText"/>
              <w:widowControl/>
            </w:pPr>
            <w:r>
              <w:rPr>
                <w:rFonts w:ascii="Calibri" w:hAnsi="Calibri" w:cs="Calibri"/>
              </w:rPr>
              <w:t>P10B-19A-09C - Publication Replay and A-09 Closure</w:t>
            </w:r>
          </w:p>
        </w:tc>
        <w:tc>
          <w:tcPr>
            <w:tcW w:w="4460" w:type="dxa"/>
            <w:vAlign w:val="center"/>
          </w:tcPr>
          <w:p>
            <w:pPr>
              <w:pStyle w:val="TableText"/>
              <w:widowControl/>
            </w:pPr>
            <w:r>
              <w:rPr>
                <w:rFonts w:ascii="Calibri" w:hAnsi="Calibri" w:cs="Calibri"/>
              </w:rPr>
              <w:t>A-09B merged</w:t>
            </w:r>
          </w:p>
        </w:tc>
      </w:tr>
      <w:tr>
        <w:trPr>
          <w:cantSplit/>
        </w:trPr>
        <w:tc>
          <w:tcPr>
            <w:tcW w:w="900" w:type="dxa"/>
            <w:vAlign w:val="center"/>
          </w:tcPr>
          <w:p>
            <w:pPr>
              <w:pStyle w:val="TableText"/>
              <w:widowControl/>
            </w:pPr>
            <w:r>
              <w:rPr>
                <w:rFonts w:ascii="Calibri" w:hAnsi="Calibri" w:cs="Calibri"/>
              </w:rPr>
              <w:t>10</w:t>
            </w:r>
          </w:p>
        </w:tc>
        <w:tc>
          <w:tcPr>
            <w:tcW w:w="7600" w:type="dxa"/>
            <w:vAlign w:val="center"/>
          </w:tcPr>
          <w:p>
            <w:pPr>
              <w:pStyle w:val="TableText"/>
              <w:widowControl/>
            </w:pPr>
            <w:r>
              <w:rPr>
                <w:rFonts w:ascii="Calibri" w:hAnsi="Calibri" w:cs="Calibri"/>
              </w:rPr>
              <w:t>P10B-19A-10 - Retained matrices, integration and P10B-19A closure</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10A</w:t>
            </w:r>
          </w:p>
        </w:tc>
        <w:tc>
          <w:tcPr>
            <w:tcW w:w="7600" w:type="dxa"/>
            <w:vAlign w:val="center"/>
          </w:tcPr>
          <w:p>
            <w:pPr>
              <w:pStyle w:val="TableText"/>
              <w:widowControl/>
            </w:pPr>
            <w:r>
              <w:rPr>
                <w:rFonts w:ascii="Calibri" w:hAnsi="Calibri" w:cs="Calibri"/>
              </w:rPr>
              <w:t>P10B-19A-10A - Retained Matrix Inventory and Frozen Baseline Lock</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10B</w:t>
            </w:r>
          </w:p>
        </w:tc>
        <w:tc>
          <w:tcPr>
            <w:tcW w:w="7600" w:type="dxa"/>
            <w:vAlign w:val="center"/>
          </w:tcPr>
          <w:p>
            <w:pPr>
              <w:pStyle w:val="TableText"/>
              <w:widowControl/>
            </w:pPr>
            <w:r>
              <w:rPr>
                <w:rFonts w:ascii="Calibri" w:hAnsi="Calibri" w:cs="Calibri"/>
              </w:rPr>
              <w:t>P10B-19A-10B - Cross-Authority Integration and Failure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10B1</w:t>
            </w:r>
          </w:p>
        </w:tc>
        <w:tc>
          <w:tcPr>
            <w:tcW w:w="7600" w:type="dxa"/>
            <w:vAlign w:val="center"/>
          </w:tcPr>
          <w:p>
            <w:pPr>
              <w:pStyle w:val="TableText"/>
              <w:widowControl/>
            </w:pPr>
            <w:r>
              <w:rPr>
                <w:rFonts w:ascii="Calibri" w:hAnsi="Calibri" w:cs="Calibri"/>
              </w:rPr>
              <w:t>P10B-19A-10B1 - Positive Cross-Authority Integration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10B2</w:t>
            </w:r>
          </w:p>
        </w:tc>
        <w:tc>
          <w:tcPr>
            <w:tcW w:w="7600" w:type="dxa"/>
            <w:vAlign w:val="center"/>
          </w:tcPr>
          <w:p>
            <w:pPr>
              <w:pStyle w:val="TableText"/>
              <w:widowControl/>
            </w:pPr>
            <w:r>
              <w:rPr>
                <w:rFonts w:ascii="Calibri" w:hAnsi="Calibri" w:cs="Calibri"/>
              </w:rPr>
              <w:t>P10B-19A-10B2 - Fail-Closed Cross-Authority Failure Matrix and A-10B Closure</w:t>
            </w:r>
          </w:p>
        </w:tc>
        <w:tc>
          <w:tcPr>
            <w:tcW w:w="4460" w:type="dxa"/>
            <w:vAlign w:val="center"/>
          </w:tcPr>
          <w:p>
            <w:pPr>
              <w:pStyle w:val="TableText"/>
              <w:widowControl/>
            </w:pPr>
            <w:r>
              <w:rPr>
                <w:rFonts w:ascii="Calibri" w:hAnsi="Calibri" w:cs="Calibri"/>
              </w:rPr>
              <w:t>A-10B1 merged</w:t>
            </w:r>
          </w:p>
        </w:tc>
      </w:tr>
      <w:tr>
        <w:trPr>
          <w:cantSplit/>
        </w:trPr>
        <w:tc>
          <w:tcPr>
            <w:tcW w:w="900" w:type="dxa"/>
            <w:vAlign w:val="center"/>
          </w:tcPr>
          <w:p>
            <w:pPr>
              <w:pStyle w:val="TableText"/>
              <w:widowControl/>
            </w:pPr>
            <w:r>
              <w:rPr>
                <w:rFonts w:ascii="Calibri" w:hAnsi="Calibri" w:cs="Calibri"/>
              </w:rPr>
              <w:t>10C</w:t>
            </w:r>
          </w:p>
        </w:tc>
        <w:tc>
          <w:tcPr>
            <w:tcW w:w="7600" w:type="dxa"/>
            <w:vAlign w:val="center"/>
          </w:tcPr>
          <w:p>
            <w:pPr>
              <w:pStyle w:val="TableText"/>
              <w:widowControl/>
            </w:pPr>
            <w:r>
              <w:rPr>
                <w:rFonts w:ascii="Calibri" w:hAnsi="Calibri" w:cs="Calibri"/>
              </w:rPr>
              <w:t>P10B-19A-10C - P10B-19A Closure and Product-Owner Architecture Gate</w:t>
            </w:r>
          </w:p>
        </w:tc>
        <w:tc>
          <w:tcPr>
            <w:tcW w:w="4460" w:type="dxa"/>
            <w:vAlign w:val="center"/>
          </w:tcPr>
          <w:p>
            <w:pPr>
              <w:pStyle w:val="TableText"/>
              <w:widowControl/>
            </w:pPr>
            <w:r>
              <w:rPr>
                <w:rFonts w:ascii="Calibri" w:hAnsi="Calibri" w:cs="Calibri"/>
              </w:rPr>
              <w:t>A-10B2 merged</w:t>
            </w:r>
          </w:p>
        </w:tc>
      </w:tr>
    </w:tbl>
    <w:p>
      <w:pPr>
        <w:pStyle w:val="Normal"/>
        <w:widowControl/>
      </w:pPr>
    </w:p>
    <w:p>
      <w:pPr>
        <w:pStyle w:val="Normal"/>
        <w:widowControl/>
      </w:pPr>
      <w:r>
        <w:rPr>
          <w:rFonts w:ascii="Calibri" w:hAnsi="Calibri" w:cs="Calibri"/>
        </w:rPr>
        <w:t xml:space="preserve">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and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w:t>
      </w:r>
      <w:r>
        <w:rPr>
          <w:rFonts w:ascii="Calibri" w:hAnsi="Calibri" w:cs="Calibri"/>
          <w:b/>
          <w:bCs/>
        </w:rPr>
        <w:t>exact next implementation task</w:t>
      </w:r>
      <w:r>
        <w:rPr>
          <w:rFonts w:ascii="Calibri" w:hAnsi="Calibri" w:cs="Calibri"/>
        </w:rPr>
        <w:t xml:space="preserve">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w:t>
      </w:r>
    </w:p>
    <w:p>
      <w:pPr>
        <w:pStyle w:val="Normal"/>
        <w:widowControl/>
      </w:pPr>
      <w:r>
        <w:rPr>
          <w:rFonts w:ascii="Calibri" w:hAnsi="Calibri" w:cs="Calibri"/>
        </w:rPr>
        <w:t xml:space="preserve">P10B-19A-08A establishes strict normalized PageBlueprint v2 and Structural Storefront Family topology projections at schema version </w:t>
      </w:r>
      <w:r>
        <w:rPr>
          <w:rFonts w:ascii="Consolas" w:hAnsi="Consolas" w:cs="Consolas"/>
          <w:sz w:val="19"/>
          <w:szCs w:val="19"/>
        </w:rPr>
        <w:t>1.0.0</w:t>
      </w:r>
      <w:r>
        <w:rPr>
          <w:rFonts w:ascii="Calibri" w:hAnsi="Calibri" w:cs="Calibri"/>
        </w:rPr>
        <w:t xml:space="preserve">. Deterministic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tokens follow the A-03 default reading order. Page topology includes A-03 structural relationships and A-05 responsive rules and excludes A-04 asset-role and A-06 fallback authority. Page fingerprints use </w:t>
      </w:r>
      <w:r>
        <w:rPr>
          <w:rFonts w:ascii="Consolas" w:hAnsi="Consolas" w:cs="Consolas"/>
          <w:sz w:val="19"/>
          <w:szCs w:val="19"/>
        </w:rPr>
        <w:t>page-blueprint-v2-normalized-topology-v1_&lt;canonical-length&gt;_&lt;sha256&gt;</w:t>
      </w:r>
      <w:r>
        <w:rPr>
          <w:rFonts w:ascii="Calibri" w:hAnsi="Calibri" w:cs="Calibri"/>
        </w:rPr>
        <w:t xml:space="preserve">. Family topology covers all six canonical A-02 page-family roles plus A-02 relationships; family fingerprints use </w:t>
      </w:r>
      <w:r>
        <w:rPr>
          <w:rFonts w:ascii="Consolas" w:hAnsi="Consolas" w:cs="Consolas"/>
          <w:sz w:val="19"/>
          <w:szCs w:val="19"/>
        </w:rPr>
        <w:t>structural-storefront-family-normalized-topology-v1_&lt;canonical-length&gt;_&lt;sha256&gt;</w:t>
      </w:r>
      <w:r>
        <w:rPr>
          <w:rFonts w:ascii="Calibri" w:hAnsi="Calibri" w:cs="Calibri"/>
        </w:rPr>
        <w:t>. The pure, non-persisted inactive normalized-topology index groups duplicate PageBlueprint and family identities but does not reject, evaluate compatibility, select, activate, persist or expose runtime records. Production PageBlueprint v2, Structural Storefront Family and normalized-topology index record counts remain exactly zero.</w:t>
      </w:r>
    </w:p>
    <w:p>
      <w:pPr>
        <w:pStyle w:val="Normal"/>
        <w:widowControl/>
      </w:pPr>
      <w:r>
        <w:rPr>
          <w:rFonts w:ascii="Calibri" w:hAnsi="Calibri" w:cs="Calibri"/>
        </w:rPr>
        <w:t xml:space="preserve">P10B-19A-08B establishes strict schema-version </w:t>
      </w:r>
      <w:r>
        <w:rPr>
          <w:rFonts w:ascii="Consolas" w:hAnsi="Consolas" w:cs="Consolas"/>
          <w:sz w:val="19"/>
          <w:szCs w:val="19"/>
        </w:rPr>
        <w:t>1.0.0</w:t>
      </w:r>
      <w:r>
        <w:rPr>
          <w:rFonts w:ascii="Calibri" w:hAnsi="Calibri" w:cs="Calibri"/>
        </w:rPr>
        <w:t xml:space="preserve"> compatibility contracts and deterministic evaluation. The transient context uses the ordered catalogue-cardinality, fact-depth, product-complexity, navigation-depth and canonical </w:t>
      </w:r>
      <w:r>
        <w:rPr>
          <w:rFonts w:ascii="Consolas" w:hAnsi="Consolas" w:cs="Consolas"/>
          <w:sz w:val="19"/>
          <w:szCs w:val="19"/>
        </w:rPr>
        <w:t>en</w:t>
      </w:r>
      <w:r>
        <w:rPr>
          <w:rFonts w:ascii="Calibri" w:hAnsi="Calibri" w:cs="Calibri"/>
        </w:rPr>
        <w:t>/</w:t>
      </w:r>
      <w:r>
        <w:rPr>
          <w:rFonts w:ascii="Consolas" w:hAnsi="Consolas" w:cs="Consolas"/>
          <w:sz w:val="19"/>
          <w:szCs w:val="19"/>
        </w:rPr>
        <w:t>fi</w:t>
      </w:r>
      <w:r>
        <w:rPr>
          <w:rFonts w:ascii="Calibri" w:hAnsi="Calibri" w:cs="Calibri"/>
        </w:rPr>
        <w:t xml:space="preserve"> locale dimensions, and carries exact candidate-scoped capacity for every required A-04 region/role through maximum 32. Family profiles bind exact A-07 candidate fingerprints and explicitly partition all five vocabularies; the sole production profile catalogue is empty. Memoized A-06 DAG evaluation retains every compatible substitution target in declared order without choosing one. PageBlueprint statuses are directly-compatible, substitution-compatible, omission-compatible and incompatible; family statuses are directly-compatible, conditionally-compatible and incompatible. A-08A topology is provenance only. Stale-checked context, profile and evaluation fingerprints introduce no score, rank, winner, selected receipt, activation, persistence or runtime wiring. Production candidates, profiles, contexts, evaluations, active/selectable/selected records and current-generation consumers remain zero.</w:t>
      </w:r>
    </w:p>
    <w:p>
      <w:pPr>
        <w:pStyle w:val="Normal"/>
        <w:widowControl/>
      </w:pPr>
      <w:r>
        <w:rPr>
          <w:rFonts w:ascii="Calibri" w:hAnsi="Calibri" w:cs="Calibri"/>
        </w:rPr>
        <w:t xml:space="preserve">P10B-19A-08C establishes strict schema-version </w:t>
      </w:r>
      <w:r>
        <w:rPr>
          <w:rFonts w:ascii="Consolas" w:hAnsi="Consolas" w:cs="Consolas"/>
          <w:sz w:val="19"/>
          <w:szCs w:val="19"/>
        </w:rPr>
        <w:t>1.0.0</w:t>
      </w:r>
      <w:r>
        <w:rPr>
          <w:rFonts w:ascii="Calibri" w:hAnsi="Calibri" w:cs="Calibri"/>
        </w:rPr>
        <w:t xml:space="preserve"> deterministic selection requests and immutable receipts over exact A-07/A-08A/A-08B authority. Scoring-free family and PageBlueprint precedence uses case-bound canonical-fingerprint tie-breaks; selection covers all six page families, follows A-06 recursive substitution priority and retains safe omission declarations without executing them. Complete-store combinations share one global 4,096 evaluation bound and yield an identity-free complete topology, while receipt parsing replays selection to reject stale or contradictory authority. Production registry, profile, request, receipt and current-generation runtime counts remain zero; visual behavior, runtime wiring, providers, persistence and publication are unchanged. Parent P10B-19A-08 is Baseline / closed.</w:t>
      </w:r>
    </w:p>
    <w:p>
      <w:pPr>
        <w:pStyle w:val="Normal"/>
        <w:widowControl/>
      </w:pPr>
      <w:r>
        <w:rPr>
          <w:rFonts w:ascii="Calibri" w:hAnsi="Calibri" w:cs="Calibri"/>
        </w:rPr>
        <w:t xml:space="preserve">P10B-19A-09A establishes one immutable populated registry for exactly </w:t>
      </w:r>
      <w:r>
        <w:rPr>
          <w:rFonts w:ascii="Consolas" w:hAnsi="Consolas" w:cs="Consolas"/>
          <w:sz w:val="19"/>
          <w:szCs w:val="19"/>
        </w:rPr>
        <w:t>legacy-v1:premium-editorial</w:t>
      </w:r>
      <w:r>
        <w:rPr>
          <w:rFonts w:ascii="Calibri" w:hAnsi="Calibri" w:cs="Calibri"/>
        </w:rPr>
        <w:t xml:space="preserve">, </w:t>
      </w:r>
      <w:r>
        <w:rPr>
          <w:rFonts w:ascii="Consolas" w:hAnsi="Consolas" w:cs="Consolas"/>
          <w:sz w:val="19"/>
          <w:szCs w:val="19"/>
        </w:rPr>
        <w:t>legacy-v1:modern-technical</w:t>
      </w:r>
      <w:r>
        <w:rPr>
          <w:rFonts w:ascii="Calibri" w:hAnsi="Calibri" w:cs="Calibri"/>
        </w:rPr>
        <w:t xml:space="preserve">, and </w:t>
      </w:r>
      <w:r>
        <w:rPr>
          <w:rFonts w:ascii="Consolas" w:hAnsi="Consolas" w:cs="Consolas"/>
          <w:sz w:val="19"/>
          <w:szCs w:val="19"/>
        </w:rPr>
        <w:t>legacy-v1:minimal-commerce</w:t>
      </w:r>
      <w:r>
        <w:rPr>
          <w:rFonts w:ascii="Calibri" w:hAnsi="Calibri" w:cs="Calibri"/>
        </w:rPr>
        <w:t xml:space="preserve">, bound in order to the existing coordinated directions, current authority version </w:t>
      </w:r>
      <w:r>
        <w:rPr>
          <w:rFonts w:ascii="Consolas" w:hAnsi="Consolas" w:cs="Consolas"/>
          <w:sz w:val="19"/>
          <w:szCs w:val="19"/>
        </w:rPr>
        <w:t>1.1.0</w:t>
      </w:r>
      <w:r>
        <w:rPr>
          <w:rFonts w:ascii="Calibri" w:hAnsi="Calibri" w:cs="Calibri"/>
        </w:rPr>
        <w:t xml:space="preserve">, and their exact package fingerprints. Its strict replay reference retains and validates the complete current v1 selection narrowing, derives executable authority through the existing exact projection, and excludes incidental </w:t>
      </w:r>
      <w:r>
        <w:rPr>
          <w:rFonts w:ascii="Consolas" w:hAnsi="Consolas" w:cs="Consolas"/>
          <w:sz w:val="19"/>
          <w:szCs w:val="19"/>
        </w:rPr>
        <w:t>selectionId</w:t>
      </w:r>
      <w:r>
        <w:rPr>
          <w:rFonts w:ascii="Calibri" w:hAnsi="Calibri" w:cs="Calibri"/>
        </w:rPr>
        <w:t xml:space="preserve"> from replay fingerprint identity. It performs no snapshot, appearance, profile or topology inference, creates no v2 identity, and does not read, write, render or publish historical state. Historical snapshot read/render replay is owned by A-09B; publication replay and parent A-09 closure are owned by A-09C. Current generation and merchant-visible behavior are unchanged.</w:t>
      </w:r>
    </w:p>
    <w:p>
      <w:pPr>
        <w:pStyle w:val="Normal"/>
        <w:widowControl/>
      </w:pPr>
      <w:r>
        <w:rPr>
          <w:rFonts w:ascii="Calibri" w:hAnsi="Calibri" w:cs="Calibri"/>
        </w:rPr>
        <w:t xml:space="preserve">P10B-19A-09B adds a strict read-only historical-v1 adapter over current canonical snapshot, registered component, PageBlueprint-profile, shared-frame, navigation, dynamic-commerce and catalogue validation. A supplied A-09A replay reference must bind exactly; otherwise the adapter fails closed. Without a reference, it reports </w:t>
      </w:r>
      <w:r>
        <w:rPr>
          <w:rFonts w:ascii="Consolas" w:hAnsi="Consolas" w:cs="Consolas"/>
          <w:sz w:val="19"/>
          <w:szCs w:val="19"/>
        </w:rPr>
        <w:t>readable-unattributed</w:t>
      </w:r>
      <w:r>
        <w:rPr>
          <w:rFonts w:ascii="Calibri" w:hAnsi="Calibri" w:cs="Calibri"/>
        </w:rPr>
        <w:t xml:space="preserve"> and never infers lineage. The deterministic deeply immutable receipt records seven present persisted selection fields as verified, seven absent fields as unverified,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fingerprint form </w:t>
      </w:r>
      <w:r>
        <w:rPr>
          <w:rFonts w:ascii="Consolas" w:hAnsi="Consolas" w:cs="Consolas"/>
          <w:sz w:val="19"/>
          <w:szCs w:val="19"/>
        </w:rPr>
        <w:t>legacy-v1-historical-snapshot-read-v1_&lt;canonical-length&gt;_&lt;sha256&gt;</w:t>
      </w:r>
      <w:r>
        <w:rPr>
          <w:rFonts w:ascii="Calibri" w:hAnsi="Calibri" w:cs="Calibri"/>
        </w:rPr>
        <w:t>. Frozen exact-base evidence matches 36 of 36 bounded current-renderer observations for the three representatives across EN/FI, with zero snapshot mutation, repository write, commerce change, media change, or route/profile/frame mismatch. This is not raw HTML equality, original-lineage recovery, migration, publication replay, v2 authority, or merchant-visible change.</w:t>
      </w:r>
    </w:p>
    <w:p>
      <w:pPr>
        <w:pStyle w:val="Normal"/>
        <w:widowControl/>
      </w:pPr>
      <w:r>
        <w:rPr>
          <w:rFonts w:ascii="Calibri" w:hAnsi="Calibri" w:cs="Calibri"/>
        </w:rPr>
        <w:t xml:space="preserve">P10B-19A-09C consumes the exact A-09B result and receipt, projects the historical snapshot only as a detached transient draft, and reuses the current canonical publication compiler with truthful </w:t>
      </w:r>
      <w:r>
        <w:rPr>
          <w:rFonts w:ascii="Consolas" w:hAnsi="Consolas" w:cs="Consolas"/>
          <w:sz w:val="19"/>
          <w:szCs w:val="19"/>
        </w:rPr>
        <w:t>manual</w:t>
      </w:r>
      <w:r>
        <w:rPr>
          <w:rFonts w:ascii="Calibri" w:hAnsi="Calibri" w:cs="Calibri"/>
        </w:rPr>
        <w:t xml:space="preserve"> source authority. It requires current migration status without write-back and returns one strict immutable replay receipt bound to A-09B and compiler fingerprints. Frozen exact-base evidence matches three direct compilations, three preparations and exactly three isolated atomic publication confirmations, including exact active compiled-artifact and added-version integrity. All 36 of 36 published renderer observations and all 36 of 36 normalized Preview/published structural observations match. Source aggregates and snapshots remain unchanged; provider, Vesko and external-publication calls are zero. No production/runtime consumer, v2 activation or merchant-visible change is added. Parent P10B-19A-09 is Baseline / closed.</w:t>
      </w:r>
    </w:p>
    <w:p>
      <w:pPr>
        <w:pStyle w:val="Normal"/>
        <w:widowControl/>
      </w:pPr>
      <w:r>
        <w:rPr>
          <w:rFonts w:ascii="Calibri" w:hAnsi="Calibri" w:cs="Calibri"/>
        </w:rPr>
        <w:t>P10B-19A-10A records the A-10A/A-10B/A-10C delivery decomposition without changing accepted architecture. Its checked, fresh-clone-safe inventory freezes 24 explicit retained matrices, commands and semantic outcomes; exact 126-case/frozen-72 and A-09 metrics; 76 task-base production-source hashes; nine v2 production-inactivity zeroes; and dynamic DEVX-01 discovery under one canonical fingerprint. It adds zero production files and no runtime consumer.</w:t>
      </w:r>
    </w:p>
    <w:p>
      <w:pPr>
        <w:pStyle w:val="Normal"/>
        <w:widowControl/>
      </w:pPr>
      <w:r>
        <w:rPr>
          <w:rFonts w:ascii="Calibri" w:hAnsi="Calibri" w:cs="Calibri"/>
        </w:rPr>
        <w:t xml:space="preserve">A-10B is delivered through two nested delivery-only children: A-10B1 owns the positive cross-authority integration matrix, while A-10B2 owns fail-closed negative coverage and parent A-10B closure. A-10B1 proves the exact 8/6/6/3 candidate/profile/context authority, three two-identity normalized topology groups, two-hop product-detail substitution, optional content/support omission, six family-constrained receipts and three sequential topology-distinct receipts. It preserves A-09 coexistence and frozen A-10A without production or runtime reach. A-10B2 binds 36 ordered fail-closed cases to the exact A-03 through A-09C owner and terminal phase. Each starts from fresh A-10B1 authority, applies one atomic corruption, completes no downstream phase, produces no partial output, preserves source fingerprints and records zero repair, fallback, default, repository-write, provider, Vesko or external-publication activity. Cases 17/18/20 alone permit native </w:t>
      </w:r>
      <w:r>
        <w:rPr>
          <w:rFonts w:ascii="Consolas" w:hAnsi="Consolas" w:cs="Consolas"/>
          <w:sz w:val="19"/>
          <w:szCs w:val="19"/>
        </w:rPr>
        <w:t>Error</w:t>
      </w:r>
      <w:r>
        <w:rPr>
          <w:rFonts w:ascii="Calibri" w:hAnsi="Calibri" w:cs="Calibri"/>
        </w:rPr>
        <w:t xml:space="preserve"> with null code; case 25 binds to </w:t>
      </w:r>
      <w:r>
        <w:rPr>
          <w:rFonts w:ascii="Consolas" w:hAnsi="Consolas" w:cs="Consolas"/>
          <w:sz w:val="19"/>
          <w:szCs w:val="19"/>
        </w:rPr>
        <w:t>stale-selection-authority</w:t>
      </w:r>
      <w:r>
        <w:rPr>
          <w:rFonts w:ascii="Calibri" w:hAnsi="Calibri" w:cs="Calibri"/>
        </w:rPr>
        <w:t xml:space="preserve">; case 28 is one coherent production-empty root replacement; and four legacy/v2 substitutions fail without coercion. The checked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the fixture SHA-256 is </w:t>
      </w:r>
      <w:r>
        <w:rPr>
          <w:rFonts w:ascii="Consolas" w:hAnsi="Consolas" w:cs="Consolas"/>
          <w:sz w:val="19"/>
          <w:szCs w:val="19"/>
        </w:rPr>
        <w:t>8708a2282749796c9d27d2dcd382384989c7738a5eb0b2f72f87c1ad73cb6a64</w:t>
      </w:r>
      <w:r>
        <w:rPr>
          <w:rFonts w:ascii="Calibri" w:hAnsi="Calibri" w:cs="Calibri"/>
        </w:rPr>
        <w:t>. A-10A and A-10B1 remain byte-identical, accepted 24/76/9 and 126/72/A-09 authority remains unchanged, and all nine production-v2 authority counts remain zero. A-10A, A-10B1 and A-10B2 are Baseline; parent A-10B is Baseline / closed.</w:t>
      </w:r>
    </w:p>
    <w:p>
      <w:pPr>
        <w:pStyle w:val="Normal"/>
        <w:widowControl/>
      </w:pPr>
      <w:r>
        <w:rPr>
          <w:rFonts w:ascii="Calibri" w:hAnsi="Calibri" w:cs="Calibri"/>
        </w:rPr>
        <w:t xml:space="preserve">P10B-19A-10C closes A-10 and P10B-19A through the checked </w:t>
      </w:r>
      <w:r>
        <w:rPr>
          <w:rFonts w:ascii="Consolas" w:hAnsi="Consolas" w:cs="Consolas"/>
          <w:sz w:val="19"/>
          <w:szCs w:val="19"/>
        </w:rPr>
        <w:t>tests/fixtures/p10b-19a-10c-architecture-closure-manifest.v1.json</w:t>
      </w:r>
      <w:r>
        <w:rPr>
          <w:rFonts w:ascii="Calibri" w:hAnsi="Calibri" w:cs="Calibri"/>
        </w:rPr>
        <w:t xml:space="preserve"> authority at base </w:t>
      </w:r>
      <w:r>
        <w:rPr>
          <w:rFonts w:ascii="Consolas" w:hAnsi="Consolas" w:cs="Consolas"/>
          <w:sz w:val="19"/>
          <w:szCs w:val="19"/>
        </w:rPr>
        <w:t>f9af2b2f007ff1bcb0f20a046edf33bc1f10ea37</w:t>
      </w:r>
      <w:r>
        <w:rPr>
          <w:rFonts w:ascii="Calibri" w:hAnsi="Calibri" w:cs="Calibri"/>
        </w:rPr>
        <w:t xml:space="preserve">. Product-owner decision </w:t>
      </w:r>
      <w:r>
        <w:rPr>
          <w:rFonts w:ascii="Consolas" w:hAnsi="Consolas" w:cs="Consolas"/>
          <w:sz w:val="19"/>
          <w:szCs w:val="19"/>
        </w:rPr>
        <w:t>ACCEPT P10B-19A STRUCTURAL ARCHITECTURE CLOSURE</w:t>
      </w:r>
      <w:r>
        <w:rPr>
          <w:rFonts w:ascii="Calibri" w:hAnsi="Calibri" w:cs="Calibri"/>
        </w:rPr>
        <w:t xml:space="preserve"> accepts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under decision fingerprint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 xml:space="preserve">The closure preserves all 11 frozen A-10A/A-10B1/A-10B2 predecessor files, the sorted 26-file retained plan, the 24-entry/76-hash/9-inactivity inventory, accepted 126/72 and A-09 metrics, and exact CI discovery/sharding authority. The architecture lock remains SHA-256 </w:t>
      </w:r>
      <w:r>
        <w:rPr>
          <w:rFonts w:ascii="Consolas" w:hAnsi="Consolas" w:cs="Consolas"/>
          <w:sz w:val="19"/>
          <w:szCs w:val="19"/>
        </w:rPr>
        <w:t>5292792dae97273411702eeaf468575172c0cf46b026103216423de29eaf47fd</w:t>
      </w:r>
      <w:r>
        <w:rPr>
          <w:rFonts w:ascii="Calibri" w:hAnsi="Calibri" w:cs="Calibri"/>
        </w:rPr>
        <w:t xml:space="preserve"> with 21 numbered sections, four Mermaid diagrams, 73 accepted children and zero nested-delivery child delta. Production files, active/selectable v2 families, current-generation consumers, client-runtime consumers, merchant-visible changes, provider/Vesko/external-publication/image-generation calls and secret-file access all remain zero. Architecture acceptance is not merge authority; A-10C has no screenshot gate, and B-01 has not begun.</w:t>
      </w:r>
    </w:p>
    <w:p>
      <w:pPr>
        <w:pStyle w:val="Normal"/>
        <w:widowControl/>
      </w:pPr>
      <w:r>
        <w:rPr>
          <w:rFonts w:ascii="Calibri" w:hAnsi="Calibri" w:cs="Calibri"/>
        </w:rPr>
        <w:t>The accepted limitations remain, in order:</w:t>
      </w:r>
    </w:p>
    <w:p>
      <w:pPr>
        <w:pStyle w:val="Normal"/>
        <w:numPr>
          <w:ilvl w:val="0"/>
          <w:numId w:val="2"/>
        </w:numPr>
        <w:widowControl/>
      </w:pPr>
      <w:r>
        <w:rPr>
          <w:rFonts w:ascii="Consolas" w:hAnsi="Consolas" w:cs="Consolas"/>
          <w:sz w:val="19"/>
          <w:szCs w:val="19"/>
        </w:rPr>
        <w:t>no-active-v2-family</w:t>
      </w:r>
    </w:p>
    <w:p>
      <w:pPr>
        <w:pStyle w:val="Normal"/>
        <w:numPr>
          <w:ilvl w:val="0"/>
          <w:numId w:val="2"/>
        </w:numPr>
        <w:widowControl/>
      </w:pPr>
      <w:r>
        <w:rPr>
          <w:rFonts w:ascii="Consolas" w:hAnsi="Consolas" w:cs="Consolas"/>
          <w:sz w:val="19"/>
          <w:szCs w:val="19"/>
        </w:rPr>
        <w:t>no-v2-rendered-storefront</w:t>
      </w:r>
    </w:p>
    <w:p>
      <w:pPr>
        <w:pStyle w:val="Normal"/>
        <w:numPr>
          <w:ilvl w:val="0"/>
          <w:numId w:val="2"/>
        </w:numPr>
        <w:widowControl/>
      </w:pPr>
      <w:r>
        <w:rPr>
          <w:rFonts w:ascii="Consolas" w:hAnsi="Consolas" w:cs="Consolas"/>
          <w:sz w:val="19"/>
          <w:szCs w:val="19"/>
        </w:rPr>
        <w:t>no-visual-recipe</w:t>
      </w:r>
    </w:p>
    <w:p>
      <w:pPr>
        <w:pStyle w:val="Normal"/>
        <w:numPr>
          <w:ilvl w:val="0"/>
          <w:numId w:val="2"/>
        </w:numPr>
        <w:widowControl/>
      </w:pPr>
      <w:r>
        <w:rPr>
          <w:rFonts w:ascii="Consolas" w:hAnsi="Consolas" w:cs="Consolas"/>
          <w:sz w:val="19"/>
          <w:szCs w:val="19"/>
        </w:rPr>
        <w:t>no-design-dna-v2</w:t>
      </w:r>
    </w:p>
    <w:p>
      <w:pPr>
        <w:pStyle w:val="Normal"/>
        <w:numPr>
          <w:ilvl w:val="0"/>
          <w:numId w:val="2"/>
        </w:numPr>
        <w:widowControl/>
      </w:pPr>
      <w:r>
        <w:rPr>
          <w:rFonts w:ascii="Consolas" w:hAnsi="Consolas" w:cs="Consolas"/>
          <w:sz w:val="19"/>
          <w:szCs w:val="19"/>
        </w:rPr>
        <w:t>no-v2-frame-family</w:t>
      </w:r>
    </w:p>
    <w:p>
      <w:pPr>
        <w:pStyle w:val="Normal"/>
        <w:numPr>
          <w:ilvl w:val="0"/>
          <w:numId w:val="2"/>
        </w:numPr>
        <w:widowControl/>
      </w:pPr>
      <w:r>
        <w:rPr>
          <w:rFonts w:ascii="Consolas" w:hAnsi="Consolas" w:cs="Consolas"/>
          <w:sz w:val="19"/>
          <w:szCs w:val="19"/>
        </w:rPr>
        <w:t>no-v2-page-family-realization</w:t>
      </w:r>
    </w:p>
    <w:p>
      <w:pPr>
        <w:pStyle w:val="Normal"/>
        <w:numPr>
          <w:ilvl w:val="0"/>
          <w:numId w:val="2"/>
        </w:numPr>
        <w:widowControl/>
      </w:pPr>
      <w:r>
        <w:rPr>
          <w:rFonts w:ascii="Consolas" w:hAnsi="Consolas" w:cs="Consolas"/>
          <w:sz w:val="19"/>
          <w:szCs w:val="19"/>
        </w:rPr>
        <w:t>no-ai-design-director</w:t>
      </w:r>
    </w:p>
    <w:p>
      <w:pPr>
        <w:pStyle w:val="Normal"/>
        <w:numPr>
          <w:ilvl w:val="0"/>
          <w:numId w:val="2"/>
        </w:numPr>
        <w:widowControl/>
      </w:pPr>
      <w:r>
        <w:rPr>
          <w:rFonts w:ascii="Consolas" w:hAnsi="Consolas" w:cs="Consolas"/>
          <w:sz w:val="19"/>
          <w:szCs w:val="19"/>
        </w:rPr>
        <w:t>no-screenshot-critic</w:t>
      </w:r>
    </w:p>
    <w:p>
      <w:pPr>
        <w:pStyle w:val="Normal"/>
        <w:numPr>
          <w:ilvl w:val="0"/>
          <w:numId w:val="2"/>
        </w:numPr>
        <w:widowControl/>
      </w:pPr>
      <w:r>
        <w:rPr>
          <w:rFonts w:ascii="Consolas" w:hAnsi="Consolas" w:cs="Consolas"/>
          <w:sz w:val="19"/>
          <w:szCs w:val="19"/>
        </w:rPr>
        <w:t>no-live-ai-quality-evidence</w:t>
      </w:r>
    </w:p>
    <w:p>
      <w:pPr>
        <w:pStyle w:val="Normal"/>
        <w:numPr>
          <w:ilvl w:val="0"/>
          <w:numId w:val="2"/>
        </w:numPr>
        <w:widowControl/>
      </w:pPr>
      <w:r>
        <w:rPr>
          <w:rFonts w:ascii="Consolas" w:hAnsi="Consolas" w:cs="Consolas"/>
          <w:sz w:val="19"/>
          <w:szCs w:val="19"/>
        </w:rPr>
        <w:t>no-v2-commercial-quality-claim</w:t>
      </w:r>
    </w:p>
    <w:p>
      <w:pPr>
        <w:pStyle w:val="Normal"/>
        <w:widowControl/>
      </w:pPr>
      <w:r>
        <w:rPr>
          <w:rFonts w:ascii="Calibri" w:hAnsi="Calibri" w:cs="Calibri"/>
        </w:rPr>
        <w:t>P10B-19A-10C is Baseline; P10B-19A-10 and P10B-19A are Baseline / closed. P10B-19B-01 is the exact next implementation task and is Planned / exact next; it has not begun. P10B-19 and P10B remain Partial.</w:t>
      </w:r>
    </w:p>
    <w:p>
      <w:pPr>
        <w:pStyle w:val="Normal"/>
        <w:widowControl/>
      </w:pPr>
      <w:r>
        <w:rPr>
          <w:rFonts w:ascii="Calibri" w:hAnsi="Calibri" w:cs="Calibri"/>
        </w:rPr>
        <w:t>The A-08A/A-08B/A-08C, A-09A/A-09B/A-09C and A-10A/A-10B/A-10C rows, including A-10B1/A-10B2 beneath A-10B, are nested delivery-only decompositions of their accepted parent tasks. They do not renumber or expand the accepted 73-child architecture.</w:t>
      </w:r>
    </w:p>
    <w:p>
      <w:pPr>
        <w:pStyle w:val="Normal"/>
        <w:widowControl/>
      </w:pPr>
      <w:r>
        <w:rPr>
          <w:rFonts w:ascii="Calibri" w:hAnsi="Calibri" w:cs="Calibri"/>
        </w:rPr>
        <w:t xml:space="preserve">P10B-19A-07 adds strict, deeply readonly PageBlueprint v2 and Structural Storefront Family candidate authorities at candidate schema version </w:t>
      </w:r>
      <w:r>
        <w:rPr>
          <w:rFonts w:ascii="Consolas" w:hAnsi="Consolas" w:cs="Consolas"/>
          <w:sz w:val="19"/>
          <w:szCs w:val="19"/>
        </w:rPr>
        <w:t>1.0.0</w:t>
      </w:r>
      <w:r>
        <w:rPr>
          <w:rFonts w:ascii="Calibri" w:hAnsi="Calibri" w:cs="Calibri"/>
        </w:rPr>
        <w:t xml:space="preserve">. PageBlueprint candidates compose exact A-03/A-04/A-05/A-06 authority and use stale-checked </w:t>
      </w:r>
      <w:r>
        <w:rPr>
          <w:rFonts w:ascii="Consolas" w:hAnsi="Consolas" w:cs="Consolas"/>
          <w:sz w:val="19"/>
          <w:szCs w:val="19"/>
        </w:rPr>
        <w:t>page-blueprint-v2-candidate-v1_&lt;canonical-length&gt;_&lt;sha256&gt;</w:t>
      </w:r>
      <w:r>
        <w:rPr>
          <w:rFonts w:ascii="Calibri" w:hAnsi="Calibri" w:cs="Calibri"/>
        </w:rPr>
        <w:t xml:space="preserve"> exact-content fingerprints. Family candidates keep exact A-01 identity and lifecycle </w:t>
      </w:r>
      <w:r>
        <w:rPr>
          <w:rFonts w:ascii="Consolas" w:hAnsi="Consolas" w:cs="Consolas"/>
          <w:sz w:val="19"/>
          <w:szCs w:val="19"/>
        </w:rPr>
        <w:t>candidate</w:t>
      </w:r>
      <w:r>
        <w:rPr>
          <w:rFonts w:ascii="Calibri" w:hAnsi="Calibri" w:cs="Calibri"/>
        </w:rPr>
        <w:t xml:space="preserve">, cover all six A-02 page-family roles with nonempty profile references and canonical A-02 relationships, and use stale-checked </w:t>
      </w:r>
      <w:r>
        <w:rPr>
          <w:rFonts w:ascii="Consolas" w:hAnsi="Consolas" w:cs="Consolas"/>
          <w:sz w:val="19"/>
          <w:szCs w:val="19"/>
        </w:rPr>
        <w:t>structural-storefront-family-candidate-v1_&lt;canonical-length&gt;_&lt;sha256&gt;</w:t>
      </w:r>
      <w:r>
        <w:rPr>
          <w:rFonts w:ascii="Calibri" w:hAnsi="Calibri" w:cs="Calibri"/>
        </w:rPr>
        <w:t xml:space="preserve"> fingerprints that exclude lifecycle. The inactive registry rejects duplicate identities, unresolved or page-family-mismatched A-06 targets, and direct, indirect, or cross-version substitution cycles while preserving target priority. Its sole production value has two exactly empty candidate arrays. These fingerprints are content integrity, not normalized topology; active or candidate records, selection, activation, persistence, publication, and runtime consumers remain zero. A-01 through A-06 and v1 remain unchanged; A-08 owns compatibility, deterministic selection, and normalized topology. P10B-19A-06 adds one strict, deeply readonly PageBlueprint v2 omission, substitution and fallback companion at schema version </w:t>
      </w:r>
      <w:r>
        <w:rPr>
          <w:rFonts w:ascii="Consolas" w:hAnsi="Consolas" w:cs="Consolas"/>
          <w:sz w:val="19"/>
          <w:szCs w:val="19"/>
        </w:rPr>
        <w:t>1.0.0</w:t>
      </w:r>
      <w:r>
        <w:rPr>
          <w:rFonts w:ascii="Calibri" w:hAnsi="Calibri" w:cs="Calibri"/>
        </w:rPr>
        <w:t xml:space="preserve">. It composes the exact A-03 structural, A-04 asset-role and A-05 responsive identity; owns only </w:t>
      </w:r>
      <w:r>
        <w:rPr>
          <w:rFonts w:ascii="Consolas" w:hAnsi="Consolas" w:cs="Consolas"/>
          <w:sz w:val="19"/>
          <w:szCs w:val="19"/>
        </w:rPr>
        <w:t>required-asset-role-cardinality-unsatisfied</w:t>
      </w:r>
      <w:r>
        <w:rPr>
          <w:rFonts w:ascii="Calibri" w:hAnsi="Calibri" w:cs="Calibri"/>
        </w:rPr>
        <w:t xml:space="preserve">; covers every and only required-role region with one explicit </w:t>
      </w:r>
      <w:r>
        <w:rPr>
          <w:rFonts w:ascii="Consolas" w:hAnsi="Consolas" w:cs="Consolas"/>
          <w:sz w:val="19"/>
          <w:szCs w:val="19"/>
        </w:rPr>
        <w:t>omit-region</w:t>
      </w:r>
      <w:r>
        <w:rPr>
          <w:rFonts w:ascii="Calibri" w:hAnsi="Calibri" w:cs="Calibri"/>
        </w:rPr>
        <w:t xml:space="preserve"> or </w:t>
      </w:r>
      <w:r>
        <w:rPr>
          <w:rFonts w:ascii="Consolas" w:hAnsi="Consolas" w:cs="Consolas"/>
          <w:sz w:val="19"/>
          <w:szCs w:val="19"/>
        </w:rPr>
        <w:t>fail-closed</w:t>
      </w:r>
      <w:r>
        <w:rPr>
          <w:rFonts w:ascii="Calibri" w:hAnsi="Calibri" w:cs="Calibri"/>
        </w:rPr>
        <w:t xml:space="preserve"> terminal rule; and preserves up to eight whole-blueprint substitution references in declared priority order. Required regions cannot be omitted, and a bounded internal A-03 projection revalidates the maximum simultaneous optional omission without export, persistence or fingerprinting. It adds no availability, target lookup, compatibility, selection, execution, records, registry, persistence, rendering or current- generation consumer. P10B-19A-05 retains the strict responsive-rule companion; P10B-19A-04 adds one strict, deeply readonly PageBlueprint v2 asset-role compatibility companion. It reuses the canonical ordered nine-role vocabulary; binds exact blueprint ID/version and known regions; validates explicit required/optional role cardinality through maximum 32; and canonicalizes only valid authority by structural default reading order and canonical role order. It adds no exact asset, availability, reuse, responsive/fallback, record, registry, persistence, selector, renderer or current-generation authority.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A-03 itself added no responsive or fallback authority.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A-01 itself added no registry, fingerprint, selection, PageBlueprint v2, rendering, or current-generation wiring.</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48"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9"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exact next implementation task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 xml:space="preserve">. P10B-16P-04 acceptance evidence is retained in </w:t>
      </w:r>
      <w:hyperlink r:id="rIdHyperlink50"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P10B-19A-10B2 and P10B-19A-10C are Baseline; parents P10B-19A-10B,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1"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2"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53"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54"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5"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56"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57"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58"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59"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60"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61"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62"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63"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64"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65"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66"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67"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0"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P10B-18B-04, P10B-18B-05, parent P10B-18B and P10B-18C are Baseline; P10B-18D is a rejected-quality diagnostic Baseline.</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68"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68"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P10B-19A-01 through P10B-19A-07 and P10B-19A-08A through P10B-19A-08C are Baseline; parent P10B-19A-08 is Baseline / closed. P10B-19A-09A, P10B-19A-09B and P10B-19A-09C are Baseline; </w:t>
      </w:r>
      <w:r>
        <w:rPr>
          <w:rFonts w:ascii="Consolas" w:hAnsi="Consolas" w:cs="Consolas"/>
          <w:sz w:val="19"/>
          <w:szCs w:val="19"/>
        </w:rPr>
        <w:t>P10B-19A-09 - v1 read/render/migration/publication compatibility</w:t>
      </w:r>
      <w:r>
        <w:rPr>
          <w:rFonts w:ascii="Calibri" w:hAnsi="Calibri" w:cs="Calibri"/>
        </w:rPr>
        <w:t xml:space="preserve"> is Baseline / closed, while </w:t>
      </w:r>
      <w:r>
        <w:rPr>
          <w:rFonts w:ascii="Consolas" w:hAnsi="Consolas" w:cs="Consolas"/>
          <w:sz w:val="19"/>
          <w:szCs w:val="19"/>
        </w:rPr>
        <w:t>P10B-19A - Structural Storefront Family Contract</w:t>
      </w:r>
      <w:r>
        <w:rPr>
          <w:rFonts w:ascii="Calibri" w:hAnsi="Calibri" w:cs="Calibri"/>
        </w:rPr>
        <w:t xml:space="preserve"> is Baseline / closed. P10B-19A-10A, P10B-19A-10B1, P10B-19A-10B2 and P10B-19A-10C are Baseline; parents P10B-19A-10B and P10B-19A-10 are Baseline / closed. P10B-19B-01 is the exact next implementation task and is Planned / exact next; it has not begun. P10B-19 and P10B remain Partial, and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69" w:history="1">
        <w:r>
          <w:rPr>
            <w:rFonts w:ascii="Calibri" w:hAnsi="Calibri" w:cs="Calibri"/>
            <w:color w:val="2E74B5"/>
            <w:u w:val="single"/>
          </w:rPr>
          <w:t>VESKO_OPENAPI_CONTRACT_AUDIT.md</w:t>
        </w:r>
      </w:hyperlink>
      <w:r>
        <w:rPr>
          <w:rFonts w:ascii="Calibri" w:hAnsi="Calibri" w:cs="Calibri"/>
        </w:rPr>
        <w:t xml:space="preserve"> and </w:t>
      </w:r>
      <w:hyperlink r:id="rIdHyperlink70"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keepLines/>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ageBreakBefore/>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w:t>
      </w:r>
    </w:p>
    <w:p>
      <w:pPr>
        <w:pageBreakBefore/>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cantSplit/>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Accepted structural closure preserves frozen architecture, predecessors and zero-production boundary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A-08A normalized topology, A-08B compatibility and A-08C deterministic selection complete the accepted parent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Asset-role compatibility contract bound to exact PageBlueprint v2 identity and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P10B-19A-05</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Responsive-rule contract bound to four breakpoints and complete structural coverage;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P10B-19A-06</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Omission, substitution and fallback contract bound to required asset-role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P10B-19A-07</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candidate fingerprints and six-profile inactive family registry authority; sole production registry value remains exactly empty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Normalized PageBlueprint v2/family topology identity and pure duplicate index; all production record counts remain zero</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Candidate compatibility contracts and deterministic evaluation; empty production profile catalogue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Scoring-free deterministic selection, identity-free complete topology, immutable replay receipt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A-09A identity, A-09B historical read/render replay and A-09C publication replay complete the accepted v1 compatibility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three legacy-v1 aliases and strict stale-checked v1 selection replay reference; no snapshot/render/publication execution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Strict read-only current-canonical validation, exact-bound or readable-unattributed receipt, and 36/36 current-renderer replay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A-09B/compiler binding, manual-source replay, three atomic confirmations, active-version integrity and 36/36 published/parity proof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A-10A retained inventory, A-10B integration/failure matrix and A-10C accepted closure complete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Checked 24-entry inventory; exact 126/72 and A-09 metrics; 76 hashes; nine inactivity zeroes; dynamic CI discovery; zero production diff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Positive B1 and exact 36-case fail-closed B2 complete;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fixed-count positive matrix; A-09/A-10A unchanged;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36-case owner/phase matrix; no downstream work, partial output, source mutation or production change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Product-owner-accepted closure manifest; exact retained plan/discovery; frozen architecture/predecessors; zero production</w:t>
            </w:r>
          </w:p>
        </w:tc>
      </w:tr>
      <w:tr>
        <w:trPr>
          <w:cantSplit/>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P10B-19B-01</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VisualRecipeIntentV1 safe schema and capability projection; has not begun</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architecture remains the 73-child granular plan. The A-10A/A-10B/A-10C rows, including A-10B1/A-10B2 beneath A-10B, are nested delivery micro-PRs within accepted parent A-10 and do not renumber or expand that architecture count.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P10B-19A-04 = Baseline</w:t>
      </w:r>
    </w:p>
    <w:p>
      <w:pPr>
        <w:pStyle w:val="Normal"/>
        <w:numPr>
          <w:ilvl w:val="0"/>
          <w:numId w:val="1"/>
        </w:numPr>
        <w:widowControl/>
      </w:pPr>
      <w:r>
        <w:rPr>
          <w:rFonts w:ascii="Calibri" w:hAnsi="Calibri" w:cs="Calibri"/>
        </w:rPr>
        <w:t>P10B-19A-05 = Baseline</w:t>
      </w:r>
    </w:p>
    <w:p>
      <w:pPr>
        <w:pStyle w:val="Normal"/>
        <w:numPr>
          <w:ilvl w:val="0"/>
          <w:numId w:val="1"/>
        </w:numPr>
        <w:widowControl/>
      </w:pPr>
      <w:r>
        <w:rPr>
          <w:rFonts w:ascii="Calibri" w:hAnsi="Calibri" w:cs="Calibri"/>
        </w:rPr>
        <w:t>P10B-19A-06 = Baseline</w:t>
      </w:r>
    </w:p>
    <w:p>
      <w:pPr>
        <w:pStyle w:val="Normal"/>
        <w:numPr>
          <w:ilvl w:val="0"/>
          <w:numId w:val="1"/>
        </w:numPr>
        <w:widowControl/>
      </w:pPr>
      <w:r>
        <w:rPr>
          <w:rFonts w:ascii="Calibri" w:hAnsi="Calibri" w:cs="Calibri"/>
        </w:rPr>
        <w:t>P10B-19A-07 = Baseline</w:t>
      </w:r>
    </w:p>
    <w:p>
      <w:pPr>
        <w:pStyle w:val="Normal"/>
        <w:numPr>
          <w:ilvl w:val="0"/>
          <w:numId w:val="1"/>
        </w:numPr>
        <w:widowControl/>
      </w:pPr>
      <w:r>
        <w:rPr>
          <w:rFonts w:ascii="Calibri" w:hAnsi="Calibri" w:cs="Calibri"/>
        </w:rPr>
        <w:t>P10B-19A-08A = Baseline</w:t>
      </w:r>
    </w:p>
    <w:p>
      <w:pPr>
        <w:pStyle w:val="Normal"/>
        <w:numPr>
          <w:ilvl w:val="0"/>
          <w:numId w:val="1"/>
        </w:numPr>
        <w:widowControl/>
      </w:pPr>
      <w:r>
        <w:rPr>
          <w:rFonts w:ascii="Calibri" w:hAnsi="Calibri" w:cs="Calibri"/>
        </w:rPr>
        <w:t>P10B-19A-08B = Baseline</w:t>
      </w:r>
    </w:p>
    <w:p>
      <w:pPr>
        <w:pStyle w:val="Normal"/>
        <w:numPr>
          <w:ilvl w:val="0"/>
          <w:numId w:val="1"/>
        </w:numPr>
        <w:widowControl/>
      </w:pPr>
      <w:r>
        <w:rPr>
          <w:rFonts w:ascii="Calibri" w:hAnsi="Calibri" w:cs="Calibri"/>
        </w:rPr>
        <w:t>P10B-19A-08C = Baseline</w:t>
      </w:r>
    </w:p>
    <w:p>
      <w:pPr>
        <w:pStyle w:val="Normal"/>
        <w:numPr>
          <w:ilvl w:val="0"/>
          <w:numId w:val="1"/>
        </w:numPr>
        <w:widowControl/>
      </w:pPr>
      <w:r>
        <w:rPr>
          <w:rFonts w:ascii="Calibri" w:hAnsi="Calibri" w:cs="Calibri"/>
        </w:rPr>
        <w:t>P10B-19A-08 = Baseline / closed</w:t>
      </w:r>
    </w:p>
    <w:p>
      <w:pPr>
        <w:pStyle w:val="Normal"/>
        <w:numPr>
          <w:ilvl w:val="0"/>
          <w:numId w:val="1"/>
        </w:numPr>
        <w:widowControl/>
      </w:pPr>
      <w:r>
        <w:rPr>
          <w:rFonts w:ascii="Calibri" w:hAnsi="Calibri" w:cs="Calibri"/>
        </w:rPr>
        <w:t>P10B-19A-09A = Baseline</w:t>
      </w:r>
    </w:p>
    <w:p>
      <w:pPr>
        <w:pStyle w:val="Normal"/>
        <w:numPr>
          <w:ilvl w:val="0"/>
          <w:numId w:val="1"/>
        </w:numPr>
        <w:widowControl/>
      </w:pPr>
      <w:r>
        <w:rPr>
          <w:rFonts w:ascii="Calibri" w:hAnsi="Calibri" w:cs="Calibri"/>
        </w:rPr>
        <w:t>P10B-19A-09B = Baseline</w:t>
      </w:r>
    </w:p>
    <w:p>
      <w:pPr>
        <w:pStyle w:val="Normal"/>
        <w:numPr>
          <w:ilvl w:val="0"/>
          <w:numId w:val="1"/>
        </w:numPr>
        <w:widowControl/>
      </w:pPr>
      <w:r>
        <w:rPr>
          <w:rFonts w:ascii="Calibri" w:hAnsi="Calibri" w:cs="Calibri"/>
        </w:rPr>
        <w:t>P10B-19A-09C = Baseline</w:t>
      </w:r>
    </w:p>
    <w:p>
      <w:pPr>
        <w:pStyle w:val="Normal"/>
        <w:numPr>
          <w:ilvl w:val="0"/>
          <w:numId w:val="1"/>
        </w:numPr>
        <w:widowControl/>
      </w:pPr>
      <w:r>
        <w:rPr>
          <w:rFonts w:ascii="Calibri" w:hAnsi="Calibri" w:cs="Calibri"/>
        </w:rPr>
        <w:t>P10B-19A-09 = Baseline / closed</w:t>
      </w:r>
    </w:p>
    <w:p>
      <w:pPr>
        <w:pStyle w:val="Normal"/>
        <w:numPr>
          <w:ilvl w:val="0"/>
          <w:numId w:val="1"/>
        </w:numPr>
        <w:widowControl/>
      </w:pPr>
      <w:r>
        <w:rPr>
          <w:rFonts w:ascii="Calibri" w:hAnsi="Calibri" w:cs="Calibri"/>
        </w:rPr>
        <w:t>P10B-19A-10A = Baseline</w:t>
      </w:r>
    </w:p>
    <w:p>
      <w:pPr>
        <w:pStyle w:val="Normal"/>
        <w:numPr>
          <w:ilvl w:val="0"/>
          <w:numId w:val="1"/>
        </w:numPr>
        <w:widowControl/>
      </w:pPr>
      <w:r>
        <w:rPr>
          <w:rFonts w:ascii="Calibri" w:hAnsi="Calibri" w:cs="Calibri"/>
        </w:rPr>
        <w:t>P10B-19A-10B1 = Baseline</w:t>
      </w:r>
    </w:p>
    <w:p>
      <w:pPr>
        <w:pStyle w:val="Normal"/>
        <w:numPr>
          <w:ilvl w:val="0"/>
          <w:numId w:val="1"/>
        </w:numPr>
        <w:widowControl/>
      </w:pPr>
      <w:r>
        <w:rPr>
          <w:rFonts w:ascii="Calibri" w:hAnsi="Calibri" w:cs="Calibri"/>
        </w:rPr>
        <w:t>P10B-19A-10B = Baseline / closed</w:t>
      </w:r>
    </w:p>
    <w:p>
      <w:pPr>
        <w:pStyle w:val="Normal"/>
        <w:numPr>
          <w:ilvl w:val="0"/>
          <w:numId w:val="1"/>
        </w:numPr>
        <w:widowControl/>
      </w:pPr>
      <w:r>
        <w:rPr>
          <w:rFonts w:ascii="Calibri" w:hAnsi="Calibri" w:cs="Calibri"/>
        </w:rPr>
        <w:t>P10B-19A-10 = Baseline / closed</w:t>
      </w:r>
    </w:p>
    <w:p>
      <w:pPr>
        <w:pStyle w:val="Normal"/>
        <w:numPr>
          <w:ilvl w:val="0"/>
          <w:numId w:val="1"/>
        </w:numPr>
        <w:widowControl/>
      </w:pPr>
      <w:r>
        <w:rPr>
          <w:rFonts w:ascii="Calibri" w:hAnsi="Calibri" w:cs="Calibri"/>
        </w:rPr>
        <w:t>P10B-19A-10B2 = Baseline</w:t>
      </w:r>
    </w:p>
    <w:p>
      <w:pPr>
        <w:pStyle w:val="Normal"/>
        <w:numPr>
          <w:ilvl w:val="0"/>
          <w:numId w:val="1"/>
        </w:numPr>
        <w:widowControl/>
      </w:pPr>
      <w:r>
        <w:rPr>
          <w:rFonts w:ascii="Calibri" w:hAnsi="Calibri" w:cs="Calibri"/>
        </w:rPr>
        <w:t>P10B-19A-10C = Baseline</w:t>
      </w:r>
    </w:p>
    <w:p>
      <w:pPr>
        <w:pStyle w:val="Normal"/>
        <w:numPr>
          <w:ilvl w:val="0"/>
          <w:numId w:val="1"/>
        </w:numPr>
        <w:widowControl/>
      </w:pPr>
      <w:r>
        <w:rPr>
          <w:rFonts w:ascii="Calibri" w:hAnsi="Calibri" w:cs="Calibri"/>
        </w:rPr>
        <w:t>P10B-19B-01 = exact next implementation task</w:t>
      </w:r>
    </w:p>
    <w:p>
      <w:pPr>
        <w:pStyle w:val="Normal"/>
        <w:numPr>
          <w:ilvl w:val="0"/>
          <w:numId w:val="1"/>
        </w:numPr>
        <w:widowControl/>
      </w:pPr>
      <w:r>
        <w:rPr>
          <w:rFonts w:ascii="Calibri" w:hAnsi="Calibri" w:cs="Calibri"/>
        </w:rPr>
        <w:t>P10B-19A = Baseline / closed</w:t>
      </w:r>
    </w:p>
    <w:p>
      <w:pPr>
        <w:pStyle w:val="Normal"/>
        <w:numPr>
          <w:ilvl w:val="0"/>
          <w:numId w:val="1"/>
        </w:numPr>
        <w:widowControl/>
      </w:pPr>
      <w:r>
        <w:rPr>
          <w:rFonts w:ascii="Calibri" w:hAnsi="Calibri" w:cs="Calibri"/>
        </w:rPr>
        <w:t>P10B-19 = Partial</w:t>
      </w:r>
    </w:p>
    <w:p>
      <w:pPr>
        <w:pStyle w:val="Normal"/>
        <w:numPr>
          <w:ilvl w:val="0"/>
          <w:numId w:val="1"/>
        </w:numPr>
        <w:widowControl/>
      </w:pPr>
      <w:r>
        <w:rPr>
          <w:rFonts w:ascii="Calibri" w:hAnsi="Calibri" w:cs="Calibri"/>
        </w:rPr>
        <w:t>P10B = Partial</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AR_05_COMPOSITION_DESIGN.md" TargetMode="External"/><Relationship Id="rIdHyperlink2" Type="http://schemas.openxmlformats.org/officeDocument/2006/relationships/hyperlink" Target="AR_05A_IMPLEMENTATION_REPORT.md" TargetMode="External"/><Relationship Id="rIdHyperlink3" Type="http://schemas.openxmlformats.org/officeDocument/2006/relationships/hyperlink" Target="AR_06_RENDERING_ACCEPTANCE.md" TargetMode="External"/><Relationship Id="rIdHyperlink4" Type="http://schemas.openxmlformats.org/officeDocument/2006/relationships/hyperlink" Target="VESKIFY_SDD.md" TargetMode="External"/><Relationship Id="rIdHyperlink5" Type="http://schemas.openxmlformats.org/officeDocument/2006/relationships/hyperlink" Target="VESKIFY_DEVELOPMENT_ROADMAP.md" TargetMode="External"/><Relationship Id="rIdHyperlink6" Type="http://schemas.openxmlformats.org/officeDocument/2006/relationships/hyperlink" Target="governance/task-contracts/AR/AR-02A.json" TargetMode="External"/><Relationship Id="rIdHyperlink7" Type="http://schemas.openxmlformats.org/officeDocument/2006/relationships/hyperlink" Target="AR_02A_IMPLEMENTATION_REPORT.md" TargetMode="External"/><Relationship Id="rIdHyperlink8" Type="http://schemas.openxmlformats.org/officeDocument/2006/relationships/hyperlink" Target="governance/task-contracts/AR/AR-02B.json" TargetMode="External"/><Relationship Id="rIdHyperlink9" Type="http://schemas.openxmlformats.org/officeDocument/2006/relationships/hyperlink" Target="AR_02B_IMPLEMENTATION_REPORT.md" TargetMode="External"/><Relationship Id="rIdHyperlink10" Type="http://schemas.openxmlformats.org/officeDocument/2006/relationships/hyperlink" Target="governance/task-contracts/AR/AR-03A.json" TargetMode="External"/><Relationship Id="rIdHyperlink11" Type="http://schemas.openxmlformats.org/officeDocument/2006/relationships/hyperlink" Target="AR_03A_IMPLEMENTATION_REPORT.md" TargetMode="External"/><Relationship Id="rIdHyperlink12" Type="http://schemas.openxmlformats.org/officeDocument/2006/relationships/hyperlink" Target="governance/task-contracts/AR/AR-02C.json" TargetMode="External"/><Relationship Id="rIdHyperlink13" Type="http://schemas.openxmlformats.org/officeDocument/2006/relationships/hyperlink" Target="AR_02C_IMPLEMENTATION_REPORT.md" TargetMode="External"/><Relationship Id="rIdHyperlink14" Type="http://schemas.openxmlformats.org/officeDocument/2006/relationships/hyperlink" Target="governance/task-contracts/AR/AR-02D.json" TargetMode="External"/><Relationship Id="rIdHyperlink15" Type="http://schemas.openxmlformats.org/officeDocument/2006/relationships/hyperlink" Target="AR_02D_IMPLEMENTATION_REPORT.md" TargetMode="External"/><Relationship Id="rIdHyperlink16" Type="http://schemas.openxmlformats.org/officeDocument/2006/relationships/hyperlink" Target="governance/task-contracts/AR/AR-02E.json" TargetMode="External"/><Relationship Id="rIdHyperlink17" Type="http://schemas.openxmlformats.org/officeDocument/2006/relationships/hyperlink" Target="AR_02E_IMPLEMENTATION_REPORT.md" TargetMode="External"/><Relationship Id="rIdHyperlink18" Type="http://schemas.openxmlformats.org/officeDocument/2006/relationships/hyperlink" Target="governance/task-contracts/AR/AR-02F.json" TargetMode="External"/><Relationship Id="rIdHyperlink19" Type="http://schemas.openxmlformats.org/officeDocument/2006/relationships/hyperlink" Target="AR_02F_IMPLEMENTATION_REPORT.md" TargetMode="External"/><Relationship Id="rIdHyperlink20" Type="http://schemas.openxmlformats.org/officeDocument/2006/relationships/hyperlink" Target="governance/task-contracts/AR/AR-02G.json" TargetMode="External"/><Relationship Id="rIdHyperlink21" Type="http://schemas.openxmlformats.org/officeDocument/2006/relationships/hyperlink" Target="AR_02G_IMPLEMENTATION_REPORT.md" TargetMode="External"/><Relationship Id="rIdHyperlink22" Type="http://schemas.openxmlformats.org/officeDocument/2006/relationships/hyperlink" Target="governance/task-contracts/AR/AR-02H.json" TargetMode="External"/><Relationship Id="rIdHyperlink23" Type="http://schemas.openxmlformats.org/officeDocument/2006/relationships/hyperlink" Target="AR_02H_IMPLEMENTATION_REPORT.md" TargetMode="External"/><Relationship Id="rIdHyperlink24" Type="http://schemas.openxmlformats.org/officeDocument/2006/relationships/hyperlink" Target="governance/task-contracts/AR/AR-02I.json" TargetMode="External"/><Relationship Id="rIdHyperlink25" Type="http://schemas.openxmlformats.org/officeDocument/2006/relationships/hyperlink" Target="AR_02I_IMPLEMENTATION_REPORT.md" TargetMode="External"/><Relationship Id="rIdHyperlink26" Type="http://schemas.openxmlformats.org/officeDocument/2006/relationships/hyperlink" Target="AR_02_BOUNDARY_ACCEPTANCE.md" TargetMode="External"/><Relationship Id="rIdHyperlink27" Type="http://schemas.openxmlformats.org/officeDocument/2006/relationships/hyperlink" Target="governance/task-contracts/AR/AR-02J.json" TargetMode="External"/><Relationship Id="rIdHyperlink28" Type="http://schemas.openxmlformats.org/officeDocument/2006/relationships/hyperlink" Target="AR_02J_IMPLEMENTATION_REPORT.md" TargetMode="External"/><Relationship Id="rIdHyperlink29" Type="http://schemas.openxmlformats.org/officeDocument/2006/relationships/hyperlink" Target="governance/task-contracts/AR/AR-02K.json" TargetMode="External"/><Relationship Id="rIdHyperlink30" Type="http://schemas.openxmlformats.org/officeDocument/2006/relationships/hyperlink" Target="AR_02K_IMPLEMENTATION_REPORT.md" TargetMode="External"/><Relationship Id="rIdHyperlink31" Type="http://schemas.openxmlformats.org/officeDocument/2006/relationships/hyperlink" Target="governance/task-contracts/AR/AR-02L.json" TargetMode="External"/><Relationship Id="rIdHyperlink32" Type="http://schemas.openxmlformats.org/officeDocument/2006/relationships/hyperlink" Target="AR_02L_IMPLEMENTATION_REPORT.md" TargetMode="External"/><Relationship Id="rIdHyperlink33" Type="http://schemas.openxmlformats.org/officeDocument/2006/relationships/hyperlink" Target="governance/task-contracts/AR/AR-02M.json" TargetMode="External"/><Relationship Id="rIdHyperlink34" Type="http://schemas.openxmlformats.org/officeDocument/2006/relationships/hyperlink" Target="AR_02M_IMPLEMENTATION_REPORT.md" TargetMode="External"/><Relationship Id="rIdHyperlink35" Type="http://schemas.openxmlformats.org/officeDocument/2006/relationships/hyperlink" Target="governance/task-contracts/AR/AR-03B.json" TargetMode="External"/><Relationship Id="rIdHyperlink36" Type="http://schemas.openxmlformats.org/officeDocument/2006/relationships/hyperlink" Target="AR_03B_IMPLEMENTATION_REPORT.md" TargetMode="External"/><Relationship Id="rIdHyperlink37" Type="http://schemas.openxmlformats.org/officeDocument/2006/relationships/hyperlink" Target="governance/task-contracts/AR/AR-03C.json" TargetMode="External"/><Relationship Id="rIdHyperlink38" Type="http://schemas.openxmlformats.org/officeDocument/2006/relationships/hyperlink" Target="AR_03C_IMPLEMENTATION_REPORT.md" TargetMode="External"/><Relationship Id="rIdHyperlink39" Type="http://schemas.openxmlformats.org/officeDocument/2006/relationships/hyperlink" Target="governance/task-contracts/AR/AR-03D.json" TargetMode="External"/><Relationship Id="rIdHyperlink40" Type="http://schemas.openxmlformats.org/officeDocument/2006/relationships/hyperlink" Target="AR_03D_IMPLEMENTATION_REPORT.md" TargetMode="External"/><Relationship Id="rIdHyperlink41" Type="http://schemas.openxmlformats.org/officeDocument/2006/relationships/hyperlink" Target="governance/task-contracts/AR/AR-03E.json" TargetMode="External"/><Relationship Id="rIdHyperlink42" Type="http://schemas.openxmlformats.org/officeDocument/2006/relationships/hyperlink" Target="AR_03E_IMPLEMENTATION_REPORT.md" TargetMode="External"/><Relationship Id="rIdHyperlink43" Type="http://schemas.openxmlformats.org/officeDocument/2006/relationships/hyperlink" Target="AR_03_BOUNDARY_ACCEPTANCE.md" TargetMode="External"/><Relationship Id="rIdHyperlink44" Type="http://schemas.openxmlformats.org/officeDocument/2006/relationships/hyperlink" Target="governance/task-contracts/AR/AR-06A.json" TargetMode="External"/><Relationship Id="rIdHyperlink45" Type="http://schemas.openxmlformats.org/officeDocument/2006/relationships/hyperlink" Target="AR_06A_IMPLEMENTATION_REPORT.md" TargetMode="External"/><Relationship Id="rIdHyperlink46" Type="http://schemas.openxmlformats.org/officeDocument/2006/relationships/hyperlink" Target="governance/task-contracts/AR/AR-06B.json" TargetMode="External"/><Relationship Id="rIdHyperlink47" Type="http://schemas.openxmlformats.org/officeDocument/2006/relationships/hyperlink" Target="AR_06B_IMPLEMENTATION_REPORT.md" TargetMode="External"/><Relationship Id="rIdHyperlink48" Type="http://schemas.openxmlformats.org/officeDocument/2006/relationships/hyperlink" Target="P10A_PHASE_CLOSURE.md" TargetMode="External"/><Relationship Id="rIdHyperlink49" Type="http://schemas.openxmlformats.org/officeDocument/2006/relationships/hyperlink" Target="P10B_COMMERCIAL_STOREFRONT_GENERATION_ARCHITECTURE.md" TargetMode="External"/><Relationship Id="rIdHyperlink50" Type="http://schemas.openxmlformats.org/officeDocument/2006/relationships/hyperlink" Target="P10B_16P_04_REAL_STUDIO_DESIGN_INTENT_ACCEPTANCE.md" TargetMode="External"/><Relationship Id="rIdHyperlink51" Type="http://schemas.openxmlformats.org/officeDocument/2006/relationships/hyperlink" Target="P10B_01_COMMERCIAL_DESIGN_GRAMMAR.md" TargetMode="External"/><Relationship Id="rIdHyperlink52" Type="http://schemas.openxmlformats.org/officeDocument/2006/relationships/hyperlink" Target="P10B_02_PARAMETRIC_BRAND_SYSTEM.md" TargetMode="External"/><Relationship Id="rIdHyperlink53" Type="http://schemas.openxmlformats.org/officeDocument/2006/relationships/hyperlink" Target="P10B_03_COMPONENT_ANATOMY_AND_MEANINGFUL_VARIANTS.md" TargetMode="External"/><Relationship Id="rIdHyperlink54" Type="http://schemas.openxmlformats.org/officeDocument/2006/relationships/hyperlink" Target="P10B_04_RESPONSIVE_IMAGE_ART_DIRECTION.md" TargetMode="External"/><Relationship Id="rIdHyperlink55" Type="http://schemas.openxmlformats.org/officeDocument/2006/relationships/hyperlink" Target="P10B_05_SITE_MAP_AND_PAGE_FAMILY_AUTHORITY.md" TargetMode="External"/><Relationship Id="rIdHyperlink56" Type="http://schemas.openxmlformats.org/officeDocument/2006/relationships/hyperlink" Target="P10B_06_COMMERCIAL_SHARED_FRAME_FAMILIES.md" TargetMode="External"/><Relationship Id="rIdHyperlink57" Type="http://schemas.openxmlformats.org/officeDocument/2006/relationships/hyperlink" Target="P10B_07_HERO_EDITORIAL_CAMPAIGN_PROOF_FAMILIES.md" TargetMode="External"/><Relationship Id="rIdHyperlink58" Type="http://schemas.openxmlformats.org/officeDocument/2006/relationships/hyperlink" Target="P10B_08_CANONICAL_PRODUCT_CARD_AND_MERCHANDISING.md" TargetMode="External"/><Relationship Id="rIdHyperlink59" Type="http://schemas.openxmlformats.org/officeDocument/2006/relationships/hyperlink" Target="P10B_09_COMMERCIAL_HOMEPAGE_PROFILE_LIBRARY.md" TargetMode="External"/><Relationship Id="rIdHyperlink60" Type="http://schemas.openxmlformats.org/officeDocument/2006/relationships/hyperlink" Target="P10B_10_COMMERCIAL_COLLECTION_SEARCH_PROFILES.md" TargetMode="External"/><Relationship Id="rIdHyperlink61" Type="http://schemas.openxmlformats.org/officeDocument/2006/relationships/hyperlink" Target="P10B_12_CONTENT_AND_SUPPORT_PAGE_FAMILIES.md" TargetMode="External"/><Relationship Id="rIdHyperlink62" Type="http://schemas.openxmlformats.org/officeDocument/2006/relationships/hyperlink" Target="P10B_13_COMMERCE_UTILITY_PRESENTATION_PAGES.md" TargetMode="External"/><Relationship Id="rIdHyperlink63" Type="http://schemas.openxmlformats.org/officeDocument/2006/relationships/hyperlink" Target="P10B_14_PREMIUM_EDITORIAL_COMPLETE_STOREFRONT_VERTICAL_SLICE.md" TargetMode="External"/><Relationship Id="rIdHyperlink64" Type="http://schemas.openxmlformats.org/officeDocument/2006/relationships/hyperlink" Target="P10B_15_BOUNDED_STOREFRONT_SYNTHESIS_AND_NARRATIVE_ENGINE.md" TargetMode="External"/><Relationship Id="rIdHyperlink65" Type="http://schemas.openxmlformats.org/officeDocument/2006/relationships/hyperlink" Target="P10B_16_COORDINATED_DIRECTIONS_AND_DIVERSITY_CONTROL.md" TargetMode="External"/><Relationship Id="rIdHyperlink66" Type="http://schemas.openxmlformats.org/officeDocument/2006/relationships/hyperlink" Target="P10B_16P_01_DYNAMIC_COMMERCE_ROUTE_ARCHETYPES.md" TargetMode="External"/><Relationship Id="rIdHyperlink67" Type="http://schemas.openxmlformats.org/officeDocument/2006/relationships/hyperlink" Target="P10B_16P_02_PROMPTED_STOREFRONT_DESIGN_PLAN_V2.md" TargetMode="External"/><Relationship Id="rIdHyperlink68" Type="http://schemas.openxmlformats.org/officeDocument/2006/relationships/hyperlink" Target="P10B_18_COMMERCIAL_QUALITY_AUDIT.md" TargetMode="External"/><Relationship Id="rIdHyperlink69" Type="http://schemas.openxmlformats.org/officeDocument/2006/relationships/hyperlink" Target="VESKO_OPENAPI_CONTRACT_AUDIT.md" TargetMode="External"/><Relationship Id="rIdHyperlink70"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3110957e3c0ee1fac1fcce229f1db3695e37fbb6aa1eb0d4503895b6f932d927</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