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11 August 2026</w:t>
      </w:r>
    </w:p>
    <w:p>
      <w:pPr>
        <w:pStyle w:val="CoverMeta"/>
        <w:jc w:val="center"/>
        <w:widowControl/>
      </w:pPr>
      <w:r>
        <w:rPr>
          <w:rFonts w:ascii="Calibri" w:hAnsi="Calibri" w:cs="Calibri"/>
        </w:rPr>
        <w:t>P10B-16P-02A prompted Storefront Design Intent V2 authority</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11 August 2026, P10B-16P-02A prompted Storefront Design Intent V2 authority</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and P10B-16P-02A prompted Design Intent V2 authority are Baseline. P10B-16P-02 is Partial; P10B-16P-02B, P10B-16P-03, P10B-16P-04, P10B-17, and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three coordinated constraint packages, structural diversity classification and repetition control; P10B-16P-01 replaces copied commerce-route design pages with one maintained dynamic-archetype authority; P10B-16P-02A adds the strict transient prompted Design Intent V2 boundary. Deterministic intent compilation, Studio wiring, live V2 acceptance, phase-wide responsive/performance, and 100+ quality/scale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separately scoped compatibility authority. Its retained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The corrected v2 compatibility path now pre-executes and materializes compatible storefront candidates before asking the provider to select an advertised </w:t>
      </w:r>
      <w:r>
        <w:rPr>
          <w:rFonts w:ascii="Consolas" w:hAnsi="Consolas" w:cs="Consolas"/>
          <w:sz w:val="19"/>
          <w:szCs w:val="19"/>
        </w:rPr>
        <w:t>executableIntentId</w:t>
      </w:r>
      <w:r>
        <w:rPr>
          <w:rFonts w:ascii="Calibri" w:hAnsi="Calibri" w:cs="Calibri"/>
        </w:rPr>
        <w:t>, but that corrected path has made zero live calls. Neither path is prompt-driven storefront generation. P10B-16P-02A instead defines a strict non-executable preference-rich Design Intent V2 before any complete-store execution; no live V2 provider call has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archetype are registered presentation authority, but operational search materialization still requires an exact transient query/result projection from a first-class canonical adapter. Without it, search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but a first-class canonical search-result adapter is still absent: runtime search materialization requires exact transient query/result authority and otherwise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now provides the strict transient prompted intent boundary. P10B-16P-02B deterministic compilation, P10B-16P-03 Studio wiring and P10B-16P-04 live V2 acceptance/bridge disposition remain sequential before P10B-17 phase-wide responsive/accessibility/performance closure and P10B-18 repeated quality-and-scale gate.</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registered route and presentation authority but fails closed pending an exact transient result adapter.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search adapter. That adapter is not yet available, so search fails closed rather than fabricating results or binding a collection. Catalogue size therefore changes route inventory, not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V2 boundary and is Baseline. P10B-16P-02 is Partial; Part B compilation, final Storefront Studio wiring and live V2 acceptance remain Planned under P10B-16P-02B, P10B-16P-03 and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adds a compact deterministic provider-safe projection over current Design DNA, shared-frame, PageBlueprint/profile, component/anatomy, dynamic-commerce archetype, content/utility, responsive and art-direction authority. Stable preference keys carry dimension, context, availability and server-retained current-authority references without creating another registry, plan or page graph.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capability, PageBlueprint, Design DNA, brief/evidence, asset and aggregate catalogue/commerce fingerprints. It includes approved safe merchant context, bounded catalogue/product-type characteristics, evidence/asset availability and compact capabilities. Full products, prices, stock, customers, orders, raw media,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hard merchant constraints, ranked soft preferences, optional suggestions and avoidances across Design DNA, frame, homepage narrative, collection/search and PDP archetypes, canonical aggregate product-type posture, content/support, registered component/meaningful variants, bounded parameters, responsive behavior and approved art direction. It cannot emit an </w:t>
      </w:r>
      <w:r>
        <w:rPr>
          <w:rFonts w:ascii="Consolas" w:hAnsi="Consolas" w:cs="Consolas"/>
          <w:sz w:val="19"/>
          <w:szCs w:val="19"/>
        </w:rPr>
        <w:t>executableIntentId</w:t>
      </w:r>
      <w:r>
        <w:rPr>
          <w:rFonts w:ascii="Calibri" w:hAnsi="Calibri" w:cs="Calibri"/>
        </w:rPr>
        <w:t xml:space="preserve">,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preference must match a key advertised by that exact request, use the dimension required by its result field and retain valid availability. Context metadata is preserved for P10B-16P-02B compatibility resolution. Unknown, invented, wrong-dimension, concrete-route, unavailable required, fingerprint-mismatched or stale references fail without fuzzy repair, named-preset substitution, retry, fallback or partial result. Normalization makes the projection, request and intent fingerprints stable under unordered source iteration; all material preference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has made zero live calls. Neither is prompt-driven generation evidence. Part B owns deterministic post-provider compilation, P10B-16P-03 owns Studio wiring, and P10B-16P-04 owns live V2 acceptance and legacy bridge disposition.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10.21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P10B-16P-01, and P10B-16P-02A are Baseline; P10B-16P-02 is Partial; P10B-16P-02B, P10B-16P-03, P10B-16P-04, P10B-17, and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after P10B-16P-04 proves V2 and explicitly disposes their compatibility use;</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P10B-16P-02B deterministic intent compilation, P10B-16P-03 final Storefront Studio generation wiring, or P10B-16P-04 live V2 acceptance/legacy-bridge disposition is implemented;</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6"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300" w:type="dxa"/>
            <w:vAlign w:val="center"/>
          </w:tcPr>
          <w:p>
            <w:pPr>
              <w:pStyle w:val="TraceabilityTableText"/>
              <w:widowControl/>
            </w:pPr>
            <w:r>
              <w:rPr>
                <w:rFonts w:ascii="Calibri" w:hAnsi="Calibri" w:cs="Calibri"/>
              </w:rPr>
              <w:t>§§7.4, 10.18;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require exact transient query/result authority and fail closed when its canonical adapter is unavailable.</w:t>
            </w:r>
          </w:p>
        </w:tc>
        <w:tc>
          <w:tcPr>
            <w:tcW w:w="1300" w:type="dxa"/>
            <w:vAlign w:val="center"/>
          </w:tcPr>
          <w:p>
            <w:pPr>
              <w:pStyle w:val="TraceabilityTableText"/>
              <w:widowControl/>
            </w:pPr>
            <w:r>
              <w:rPr>
                <w:rFonts w:ascii="Calibri" w:hAnsi="Calibri" w:cs="Calibri"/>
              </w:rPr>
              <w:t>§§7.4, 10.18; P10B/P10C/P11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Dynamic-route/collection materialization, search fail-closed, and renderer tests</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300" w:type="dxa"/>
            <w:vAlign w:val="center"/>
          </w:tcPr>
          <w:p>
            <w:pPr>
              <w:pStyle w:val="TraceabilityTableText"/>
              <w:widowControl/>
            </w:pPr>
            <w:r>
              <w:rPr>
                <w:rFonts w:ascii="Calibri" w:hAnsi="Calibri" w:cs="Calibri"/>
              </w:rPr>
              <w:t>§§5–7, 10.18;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300" w:type="dxa"/>
            <w:vAlign w:val="center"/>
          </w:tcPr>
          <w:p>
            <w:pPr>
              <w:pStyle w:val="TraceabilityTableText"/>
              <w:widowControl/>
            </w:pPr>
            <w:r>
              <w:rPr>
                <w:rFonts w:ascii="Calibri" w:hAnsi="Calibri" w:cs="Calibri"/>
              </w:rPr>
              <w:t>§§7.4, 10.18; retained baseline/P10B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300" w:type="dxa"/>
            <w:vAlign w:val="center"/>
          </w:tcPr>
          <w:p>
            <w:pPr>
              <w:pStyle w:val="TraceabilityTableText"/>
              <w:widowControl/>
            </w:pPr>
            <w:r>
              <w:rPr>
                <w:rFonts w:ascii="Calibri" w:hAnsi="Calibri" w:cs="Calibri"/>
              </w:rPr>
              <w:t>§§6, 8, 10.18;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300" w:type="dxa"/>
            <w:vAlign w:val="center"/>
          </w:tcPr>
          <w:p>
            <w:pPr>
              <w:pStyle w:val="TraceabilityTableText"/>
              <w:widowControl/>
            </w:pPr>
            <w:r>
              <w:rPr>
                <w:rFonts w:ascii="Calibri" w:hAnsi="Calibri" w:cs="Calibri"/>
              </w:rPr>
              <w:t>§§4.1, 7–10;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792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 Id="rIdHyperlink26"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b6cab30cf40ea7d0d0ae459c65d1c1b04c6cc66c10165b9a72a1eeb9e0841c54</vt:lpwstr>
  </property>
  <property fmtid="{D5CDD505-2E9C-101B-9397-08002B2CF9AE}" pid="4" name="ExporterVersion">
    <vt:lpwstr>1.1.0</vt:lpwstr>
  </property>
  <property fmtid="{D5CDD505-2E9C-101B-9397-08002B2CF9AE}" pid="5" name="DesignPreset">
    <vt:lpwstr>compact_reference_guide</vt:lpwstr>
  </property>
</Properties>
</file>