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6 August 2026</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P10A grounded orchestration and publishing closure</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6 August 2026, current </w:t>
            </w:r>
            <w:r>
              <w:rPr>
                <w:rFonts w:ascii="Consolas" w:hAnsi="Consolas" w:cs="Consolas"/>
                <w:sz w:val="19"/>
                <w:szCs w:val="19"/>
              </w:rPr>
              <w:t>main</w:t>
            </w:r>
            <w:r>
              <w:rPr>
                <w:rFonts w:ascii="Calibri" w:hAnsi="Calibri" w:cs="Calibri"/>
              </w:rPr>
              <w:t xml:space="preserve"> after PR #165</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Design System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Veskify design system</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responsive browser/E2E; retained human commercial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Executable commercial vocabulary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Contract/schema and deterministic reachability</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Semantic visual foundations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Contract, migration, renderer integration, responsive browser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P10B-01, P10B-02</w:t>
            </w:r>
          </w:p>
        </w:tc>
        <w:tc>
          <w:tcPr>
            <w:tcW w:w="2990" w:type="dxa"/>
            <w:vAlign w:val="center"/>
          </w:tcPr>
          <w:p>
            <w:pPr>
              <w:pStyle w:val="CompactTableText"/>
              <w:widowControl/>
            </w:pPr>
            <w:r>
              <w:rPr>
                <w:rFonts w:ascii="Calibri" w:hAnsi="Calibri" w:cs="Calibri"/>
              </w:rPr>
              <w:t>Contract, integration, responsive browser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Premium shared frame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Capability-chain and responsive human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Proposal/compiler/render reachability and visual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Canonical product-card and merchandising system</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commerce presentation</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Commerce regression, capability chain, visual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Commercial collection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P10B-04 through P10B-06</w:t>
            </w:r>
          </w:p>
        </w:tc>
        <w:tc>
          <w:tcPr>
            <w:tcW w:w="2990" w:type="dxa"/>
            <w:vAlign w:val="center"/>
          </w:tcPr>
          <w:p>
            <w:pPr>
              <w:pStyle w:val="CompactTableText"/>
              <w:widowControl/>
            </w:pPr>
            <w:r>
              <w:rPr>
                <w:rFonts w:ascii="Calibri" w:hAnsi="Calibri" w:cs="Calibri"/>
              </w:rPr>
              <w:t>Materialization-to-render evidence and visual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Commercial PDP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commerce presentation</w:t>
            </w:r>
          </w:p>
        </w:tc>
        <w:tc>
          <w:tcPr>
            <w:tcW w:w="2500" w:type="dxa"/>
            <w:vAlign w:val="center"/>
          </w:tcPr>
          <w:p>
            <w:pPr>
              <w:pStyle w:val="CompactTableText"/>
              <w:widowControl/>
            </w:pPr>
            <w:r>
              <w:rPr>
                <w:rFonts w:ascii="Calibri" w:hAnsi="Calibri" w:cs="Calibri"/>
              </w:rPr>
              <w:t>P10B-04 through P10B-06</w:t>
            </w:r>
          </w:p>
        </w:tc>
        <w:tc>
          <w:tcPr>
            <w:tcW w:w="2990" w:type="dxa"/>
            <w:vAlign w:val="center"/>
          </w:tcPr>
          <w:p>
            <w:pPr>
              <w:pStyle w:val="CompactTableText"/>
              <w:widowControl/>
            </w:pPr>
            <w:r>
              <w:rPr>
                <w:rFonts w:ascii="Calibri" w:hAnsi="Calibri" w:cs="Calibri"/>
              </w:rPr>
              <w:t>Dynamic-commerce regression and visual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Coordinated storefront directions v2</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P10B-04 through P10B-08</w:t>
            </w:r>
          </w:p>
        </w:tc>
        <w:tc>
          <w:tcPr>
            <w:tcW w:w="2990" w:type="dxa"/>
            <w:vAlign w:val="center"/>
          </w:tcPr>
          <w:p>
            <w:pPr>
              <w:pStyle w:val="CompactTableText"/>
              <w:widowControl/>
            </w:pPr>
            <w:r>
              <w:rPr>
                <w:rFonts w:ascii="Calibri" w:hAnsi="Calibri" w:cs="Calibri"/>
              </w:rPr>
              <w:t>Exact selection and complete-storefront differentiation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Narrative composition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generation</w:t>
            </w:r>
          </w:p>
        </w:tc>
        <w:tc>
          <w:tcPr>
            <w:tcW w:w="2500" w:type="dxa"/>
            <w:vAlign w:val="center"/>
          </w:tcPr>
          <w:p>
            <w:pPr>
              <w:pStyle w:val="CompactTableText"/>
              <w:widowControl/>
            </w:pPr>
            <w:r>
              <w:rPr>
                <w:rFonts w:ascii="Calibri" w:hAnsi="Calibri" w:cs="Calibri"/>
              </w:rPr>
              <w:t>P10B-05 through P10B-09</w:t>
            </w:r>
          </w:p>
        </w:tc>
        <w:tc>
          <w:tcPr>
            <w:tcW w:w="2990" w:type="dxa"/>
            <w:vAlign w:val="center"/>
          </w:tcPr>
          <w:p>
            <w:pPr>
              <w:pStyle w:val="CompactTableText"/>
              <w:widowControl/>
            </w:pPr>
            <w:r>
              <w:rPr>
                <w:rFonts w:ascii="Calibri" w:hAnsi="Calibri" w:cs="Calibri"/>
              </w:rPr>
              <w:t>Proposal/compiler/snapshot preservation and human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Responsive commercial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P10B-02 through P10B-10</w:t>
            </w:r>
          </w:p>
        </w:tc>
        <w:tc>
          <w:tcPr>
            <w:tcW w:w="2990" w:type="dxa"/>
            <w:vAlign w:val="center"/>
          </w:tcPr>
          <w:p>
            <w:pPr>
              <w:pStyle w:val="CompactTableText"/>
              <w:widowControl/>
            </w:pPr>
            <w:r>
              <w:rPr>
                <w:rFonts w:ascii="Calibri" w:hAnsi="Calibri" w:cs="Calibri"/>
              </w:rPr>
              <w:t>Browser matrix at 375, 768, 1024, 1440 px and accessibility checks</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Commercial visual-quality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design system,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Retained screenshots and explicit human acceptance</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P10B-12</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Design System v1</w:t>
      </w:r>
    </w:p>
    <w:p>
      <w:pPr>
        <w:pStyle w:val="Heading3"/>
        <w:keepNext/>
        <w:widowControl/>
      </w:pPr>
      <w:r>
        <w:rPr>
          <w:rFonts w:ascii="Calibri" w:hAnsi="Calibri" w:cs="Calibri"/>
        </w:rPr>
        <w:t>P10B-01 — Executable commercial vocabulary</w:t>
      </w:r>
    </w:p>
    <w:p>
      <w:pPr>
        <w:pStyle w:val="Normal"/>
        <w:numPr>
          <w:ilvl w:val="0"/>
          <w:numId w:val="1"/>
        </w:numPr>
        <w:widowControl/>
      </w:pPr>
      <w:r>
        <w:rPr>
          <w:rFonts w:ascii="Calibri" w:hAnsi="Calibri" w:cs="Calibri"/>
          <w:b/>
          <w:bCs/>
        </w:rPr>
        <w:t>Outcome:</w:t>
      </w:r>
      <w:r>
        <w:rPr>
          <w:rFonts w:ascii="Calibri" w:hAnsi="Calibri" w:cs="Calibri"/>
        </w:rPr>
        <w:t xml:space="preserve"> Make typography, layout, surface, media, component, and responsive vocabulary enforceable through existing authority without arbitrary CSS or a second token store.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and accepted P10B audit/specification.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Contract/schema and deterministic runtime-queryability.</w:t>
      </w:r>
    </w:p>
    <w:p>
      <w:pPr>
        <w:pStyle w:val="Normal"/>
        <w:numPr>
          <w:ilvl w:val="0"/>
          <w:numId w:val="1"/>
        </w:numPr>
        <w:widowControl/>
      </w:pPr>
      <w:r>
        <w:rPr>
          <w:rFonts w:ascii="Calibri" w:hAnsi="Calibri" w:cs="Calibri"/>
          <w:b/>
          <w:bCs/>
        </w:rPr>
        <w:t>Non-goal:</w:t>
      </w:r>
      <w:r>
        <w:rPr>
          <w:rFonts w:ascii="Calibri" w:hAnsi="Calibri" w:cs="Calibri"/>
        </w:rPr>
        <w:t xml:space="preserve"> A second vocabulary, registry, recipe, or token system.</w:t>
      </w:r>
    </w:p>
    <w:p>
      <w:pPr>
        <w:pStyle w:val="Heading3"/>
        <w:keepNext/>
        <w:widowControl/>
      </w:pPr>
      <w:r>
        <w:rPr>
          <w:rFonts w:ascii="Calibri" w:hAnsi="Calibri" w:cs="Calibri"/>
        </w:rPr>
        <w:t>P10B-02 — Semantic visual foundations</w:t>
      </w:r>
    </w:p>
    <w:p>
      <w:pPr>
        <w:pStyle w:val="Normal"/>
        <w:numPr>
          <w:ilvl w:val="0"/>
          <w:numId w:val="1"/>
        </w:numPr>
        <w:widowControl/>
      </w:pPr>
      <w:r>
        <w:rPr>
          <w:rFonts w:ascii="Calibri" w:hAnsi="Calibri" w:cs="Calibri"/>
          <w:b/>
          <w:bCs/>
        </w:rPr>
        <w:t>Outcome:</w:t>
      </w:r>
      <w:r>
        <w:rPr>
          <w:rFonts w:ascii="Calibri" w:hAnsi="Calibri" w:cs="Calibri"/>
        </w:rPr>
        <w:t xml:space="preserve"> Make every storefront surface consume coherent typography, spacing, containers, surfaces, borders, radius, elevation, controls, and density.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Schema/migration, renderer integration, responsive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CSS or direction-owned global tokens.</w:t>
      </w:r>
    </w:p>
    <w:p>
      <w:pPr>
        <w:pStyle w:val="Heading3"/>
        <w:keepNext/>
        <w:widowControl/>
      </w:pPr>
      <w:r>
        <w:rPr>
          <w:rFonts w:ascii="Calibri" w:hAnsi="Calibri" w:cs="Calibri"/>
        </w:rPr>
        <w:t>P10B-03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Give approved images bounded focal points, safe areas, crops, ratios, overlays, and responsive derivatives without replacing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P10B-01, P10B-02.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Provenance/role validation and responsive browser evidence.</w:t>
      </w:r>
    </w:p>
    <w:p>
      <w:pPr>
        <w:pStyle w:val="Normal"/>
        <w:numPr>
          <w:ilvl w:val="0"/>
          <w:numId w:val="1"/>
        </w:numPr>
        <w:widowControl/>
      </w:pPr>
      <w:r>
        <w:rPr>
          <w:rFonts w:ascii="Calibri" w:hAnsi="Calibri" w:cs="Calibri"/>
          <w:b/>
          <w:bCs/>
        </w:rPr>
        <w:t>Non-goal:</w:t>
      </w:r>
      <w:r>
        <w:rPr>
          <w:rFonts w:ascii="Calibri" w:hAnsi="Calibri" w:cs="Calibri"/>
        </w:rPr>
        <w:t xml:space="preserve"> Mutating Vesko media or unrestricted image generation.</w:t>
      </w:r>
    </w:p>
    <w:p>
      <w:pPr>
        <w:pStyle w:val="Heading3"/>
        <w:keepNext/>
        <w:widowControl/>
      </w:pPr>
      <w:r>
        <w:rPr>
          <w:rFonts w:ascii="Calibri" w:hAnsi="Calibri" w:cs="Calibri"/>
        </w:rPr>
        <w:t>P10B-04 — Premium shared frame</w:t>
      </w:r>
    </w:p>
    <w:p>
      <w:pPr>
        <w:pStyle w:val="Normal"/>
        <w:numPr>
          <w:ilvl w:val="0"/>
          <w:numId w:val="1"/>
        </w:numPr>
        <w:widowControl/>
      </w:pPr>
      <w:r>
        <w:rPr>
          <w:rFonts w:ascii="Calibri" w:hAnsi="Calibri" w:cs="Calibri"/>
          <w:b/>
          <w:bCs/>
        </w:rPr>
        <w:t>Outcome:</w:t>
      </w:r>
      <w:r>
        <w:rPr>
          <w:rFonts w:ascii="Calibri" w:hAnsi="Calibri" w:cs="Calibri"/>
        </w:rPr>
        <w:t xml:space="preserve"> Make header, navigation, announcement, and footer systems commercially distinct and coherent across desktop/mobile and EN/FI.</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Full capability chain and human responsive review.</w:t>
      </w:r>
    </w:p>
    <w:p>
      <w:pPr>
        <w:pStyle w:val="Normal"/>
        <w:numPr>
          <w:ilvl w:val="0"/>
          <w:numId w:val="1"/>
        </w:numPr>
        <w:widowControl/>
      </w:pPr>
      <w:r>
        <w:rPr>
          <w:rFonts w:ascii="Calibri" w:hAnsi="Calibri" w:cs="Calibri"/>
          <w:b/>
          <w:bCs/>
        </w:rPr>
        <w:t>Non-goal:</w:t>
      </w:r>
      <w:r>
        <w:rPr>
          <w:rFonts w:ascii="Calibri" w:hAnsi="Calibri" w:cs="Calibri"/>
        </w:rPr>
        <w:t xml:space="preserve"> Merchant editor frame controls.</w:t>
      </w:r>
    </w:p>
    <w:p>
      <w:pPr>
        <w:pStyle w:val="Heading3"/>
        <w:keepNext/>
        <w:widowControl/>
      </w:pPr>
      <w:r>
        <w:rPr>
          <w:rFonts w:ascii="Calibri" w:hAnsi="Calibri" w:cs="Calibri"/>
        </w:rPr>
        <w:t>P10B-05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Provide meaningful registered first-impression, storytelling, promotion, and evidence-backed trust compositions without generic filler.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Proposal-to-render reachability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Invented claims, trust marks, certifications, or arbitrary sections.</w:t>
      </w:r>
    </w:p>
    <w:p>
      <w:pPr>
        <w:pStyle w:val="Heading3"/>
        <w:keepNext/>
        <w:widowControl/>
      </w:pPr>
      <w:r>
        <w:rPr>
          <w:rFonts w:ascii="Calibri" w:hAnsi="Calibri" w:cs="Calibri"/>
        </w:rPr>
        <w:t>P10B-06 — Canonical product-card and merchandising system</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card authority with materially distinct editorial, dense, compact, and image-led merchandising across home, collection, and recommendations.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Protected-commerce regression, capability chain, visual review.</w:t>
      </w:r>
    </w:p>
    <w:p>
      <w:pPr>
        <w:pStyle w:val="Normal"/>
        <w:numPr>
          <w:ilvl w:val="0"/>
          <w:numId w:val="1"/>
        </w:numPr>
        <w:widowControl/>
      </w:pPr>
      <w:r>
        <w:rPr>
          <w:rFonts w:ascii="Calibri" w:hAnsi="Calibri" w:cs="Calibri"/>
          <w:b/>
          <w:bCs/>
        </w:rPr>
        <w:t>Non-goal:</w:t>
      </w:r>
      <w:r>
        <w:rPr>
          <w:rFonts w:ascii="Calibri" w:hAnsi="Calibri" w:cs="Calibri"/>
        </w:rPr>
        <w:t xml:space="preserve"> Product, price, stock, variant, or availability ownership.</w:t>
      </w:r>
    </w:p>
    <w:p>
      <w:pPr>
        <w:pStyle w:val="Heading3"/>
        <w:keepNext/>
        <w:widowControl/>
      </w:pPr>
      <w:r>
        <w:rPr>
          <w:rFonts w:ascii="Calibri" w:hAnsi="Calibri" w:cs="Calibri"/>
        </w:rPr>
        <w:t>P10B-07 — Commercial collection profiles</w:t>
      </w:r>
    </w:p>
    <w:p>
      <w:pPr>
        <w:pStyle w:val="Normal"/>
        <w:numPr>
          <w:ilvl w:val="0"/>
          <w:numId w:val="1"/>
        </w:numPr>
        <w:widowControl/>
      </w:pPr>
      <w:r>
        <w:rPr>
          <w:rFonts w:ascii="Calibri" w:hAnsi="Calibri" w:cs="Calibri"/>
          <w:b/>
          <w:bCs/>
        </w:rPr>
        <w:t>Outcome:</w:t>
      </w:r>
      <w:r>
        <w:rPr>
          <w:rFonts w:ascii="Calibri" w:hAnsi="Calibri" w:cs="Calibri"/>
        </w:rPr>
        <w:t xml:space="preserve"> Make editorial discovery, catalogue comparison, and campaign-led collection profiles differ materially in hierarchy, filters, child collections, density, and cards.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materialization, proposal/compiler/snapshot/render preservation, human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 template engine.</w:t>
      </w:r>
    </w:p>
    <w:p>
      <w:pPr>
        <w:pStyle w:val="Heading3"/>
        <w:keepNext/>
        <w:widowControl/>
      </w:pPr>
      <w:r>
        <w:rPr>
          <w:rFonts w:ascii="Calibri" w:hAnsi="Calibri" w:cs="Calibri"/>
        </w:rPr>
        <w:t>P10B-08 — Commercial PDP profiles</w:t>
      </w:r>
    </w:p>
    <w:p>
      <w:pPr>
        <w:pStyle w:val="Normal"/>
        <w:numPr>
          <w:ilvl w:val="0"/>
          <w:numId w:val="1"/>
        </w:numPr>
        <w:widowControl/>
      </w:pPr>
      <w:r>
        <w:rPr>
          <w:rFonts w:ascii="Calibri" w:hAnsi="Calibri" w:cs="Calibri"/>
          <w:b/>
          <w:bCs/>
        </w:rPr>
        <w:t>Outcome:</w:t>
      </w:r>
      <w:r>
        <w:rPr>
          <w:rFonts w:ascii="Calibri" w:hAnsi="Calibri" w:cs="Calibri"/>
        </w:rPr>
        <w:t xml:space="preserve"> Make standard, high-consideration, gallery-led, and variant-led PDPs provide distinct purchase experiences while preserving generic options and commerce truth.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incomplete/unavailable selection, selected variant price/availability/media, fallback, and visual review.</w:t>
      </w:r>
    </w:p>
    <w:p>
      <w:pPr>
        <w:pStyle w:val="Normal"/>
        <w:numPr>
          <w:ilvl w:val="0"/>
          <w:numId w:val="1"/>
        </w:numPr>
        <w:widowControl/>
      </w:pPr>
      <w:r>
        <w:rPr>
          <w:rFonts w:ascii="Calibri" w:hAnsi="Calibri" w:cs="Calibri"/>
          <w:b/>
          <w:bCs/>
        </w:rPr>
        <w:t>Non-goal:</w:t>
      </w:r>
      <w:r>
        <w:rPr>
          <w:rFonts w:ascii="Calibri" w:hAnsi="Calibri" w:cs="Calibri"/>
        </w:rPr>
        <w:t xml:space="preserve"> Product-type-specific forks or copied commerce facts.</w:t>
      </w:r>
    </w:p>
    <w:p>
      <w:pPr>
        <w:pStyle w:val="Heading3"/>
        <w:keepNext/>
        <w:widowControl/>
      </w:pPr>
      <w:r>
        <w:rPr>
          <w:rFonts w:ascii="Calibri" w:hAnsi="Calibri" w:cs="Calibri"/>
        </w:rPr>
        <w:t>P10B-09 — Coordinated storefront directions v2</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complete coordinated cross-page packages rather than colour-only themes.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materialized component/variant matches and complete-storefront differentiation.</w:t>
      </w:r>
    </w:p>
    <w:p>
      <w:pPr>
        <w:pStyle w:val="Normal"/>
        <w:numPr>
          <w:ilvl w:val="0"/>
          <w:numId w:val="1"/>
        </w:numPr>
        <w:widowControl/>
      </w:pPr>
      <w:r>
        <w:rPr>
          <w:rFonts w:ascii="Calibri" w:hAnsi="Calibri" w:cs="Calibri"/>
          <w:b/>
          <w:bCs/>
        </w:rPr>
        <w:t>Non-goal:</w:t>
      </w:r>
      <w:r>
        <w:rPr>
          <w:rFonts w:ascii="Calibri" w:hAnsi="Calibri" w:cs="Calibri"/>
        </w:rPr>
        <w:t xml:space="preserve"> A second token, recipe, PageBlueprint, or page authority.</w:t>
      </w:r>
    </w:p>
    <w:p>
      <w:pPr>
        <w:pStyle w:val="Heading3"/>
        <w:keepNext/>
        <w:widowControl/>
      </w:pPr>
      <w:r>
        <w:rPr>
          <w:rFonts w:ascii="Calibri" w:hAnsi="Calibri" w:cs="Calibri"/>
        </w:rPr>
        <w:t>P10B-10 — Narrative composition</w:t>
      </w:r>
    </w:p>
    <w:p>
      <w:pPr>
        <w:pStyle w:val="Normal"/>
        <w:numPr>
          <w:ilvl w:val="0"/>
          <w:numId w:val="1"/>
        </w:numPr>
        <w:widowControl/>
      </w:pPr>
      <w:r>
        <w:rPr>
          <w:rFonts w:ascii="Calibri" w:hAnsi="Calibri" w:cs="Calibri"/>
          <w:b/>
          <w:bCs/>
        </w:rPr>
        <w:t>Outcome:</w:t>
      </w:r>
      <w:r>
        <w:rPr>
          <w:rFonts w:ascii="Calibri" w:hAnsi="Calibri" w:cs="Calibri"/>
        </w:rPr>
        <w:t xml:space="preserve"> Give pages coherent commercial narrative roles, visual weight, adjacency, and omission rules.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Governed proposal expression, compiler/snapshot preservation, human review.</w:t>
      </w:r>
    </w:p>
    <w:p>
      <w:pPr>
        <w:pStyle w:val="Normal"/>
        <w:numPr>
          <w:ilvl w:val="0"/>
          <w:numId w:val="1"/>
        </w:numPr>
        <w:widowControl/>
      </w:pPr>
      <w:r>
        <w:rPr>
          <w:rFonts w:ascii="Calibri" w:hAnsi="Calibri" w:cs="Calibri"/>
          <w:b/>
          <w:bCs/>
        </w:rPr>
        <w:t>Non-goal:</w:t>
      </w:r>
      <w:r>
        <w:rPr>
          <w:rFonts w:ascii="Calibri" w:hAnsi="Calibri" w:cs="Calibri"/>
        </w:rPr>
        <w:t xml:space="preserve"> Unverified merchant claims or free-form generated pages.</w:t>
      </w:r>
    </w:p>
    <w:p>
      <w:pPr>
        <w:pStyle w:val="Heading3"/>
        <w:keepNext/>
        <w:widowControl/>
      </w:pPr>
      <w:r>
        <w:rPr>
          <w:rFonts w:ascii="Calibri" w:hAnsi="Calibri" w:cs="Calibri"/>
        </w:rPr>
        <w:t>P10B-11 — Responsive commercial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hierarchy and usability for every direction at 375, 768, 1024, and 1440 px.</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P10B-02 through P10B-10.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 matrix, accessibility checks, retained screenshots.</w:t>
      </w:r>
    </w:p>
    <w:p>
      <w:pPr>
        <w:pStyle w:val="Normal"/>
        <w:numPr>
          <w:ilvl w:val="0"/>
          <w:numId w:val="1"/>
        </w:numPr>
        <w:widowControl/>
      </w:pPr>
      <w:r>
        <w:rPr>
          <w:rFonts w:ascii="Calibri" w:hAnsi="Calibri" w:cs="Calibri"/>
          <w:b/>
          <w:bCs/>
        </w:rPr>
        <w:t>Non-goal:</w:t>
      </w:r>
      <w:r>
        <w:rPr>
          <w:rFonts w:ascii="Calibri" w:hAnsi="Calibri" w:cs="Calibri"/>
        </w:rPr>
        <w:t xml:space="preserve"> Desktop-only approval or isolated component snapshots.</w:t>
      </w:r>
    </w:p>
    <w:p>
      <w:pPr>
        <w:pStyle w:val="Heading3"/>
        <w:keepNext/>
        <w:widowControl/>
      </w:pPr>
      <w:r>
        <w:rPr>
          <w:rFonts w:ascii="Calibri" w:hAnsi="Calibri" w:cs="Calibri"/>
        </w:rPr>
        <w:t>P10B-12 — Commercial visual-quality gate</w:t>
      </w:r>
    </w:p>
    <w:p>
      <w:pPr>
        <w:pStyle w:val="Normal"/>
        <w:numPr>
          <w:ilvl w:val="0"/>
          <w:numId w:val="1"/>
        </w:numPr>
        <w:widowControl/>
      </w:pPr>
      <w:r>
        <w:rPr>
          <w:rFonts w:ascii="Calibri" w:hAnsi="Calibri" w:cs="Calibri"/>
          <w:b/>
          <w:bCs/>
        </w:rPr>
        <w:t>Outcome:</w:t>
      </w:r>
      <w:r>
        <w:rPr>
          <w:rFonts w:ascii="Calibri" w:hAnsi="Calibri" w:cs="Calibri"/>
        </w:rPr>
        <w:t xml:space="preserve"> Establish that a serious retailer can publish the generated complete storefront without a designer rebuilding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prior P10B tasks.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home, collection, simple PDP, configurable PDP, all directions, EN/FI, all target widths, credible assets, and explicit retained human acceptance with no generic starter-theme appearance.</w:t>
      </w:r>
    </w:p>
    <w:p>
      <w:pPr>
        <w:pStyle w:val="Normal"/>
        <w:numPr>
          <w:ilvl w:val="0"/>
          <w:numId w:val="1"/>
        </w:numPr>
        <w:widowControl/>
      </w:pPr>
      <w:r>
        <w:rPr>
          <w:rFonts w:ascii="Calibri" w:hAnsi="Calibri" w:cs="Calibri"/>
          <w:b/>
          <w:bCs/>
        </w:rPr>
        <w:t>Non-goal:</w:t>
      </w:r>
      <w:r>
        <w:rPr>
          <w:rFonts w:ascii="Calibri" w:hAnsi="Calibri" w:cs="Calibri"/>
        </w:rPr>
        <w:t xml:space="preserve"> Closure through schemas, test counts, placeholders, or automated screenshots alone.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design-system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3" w:history="1">
        <w:r>
          <w:rPr>
            <w:rFonts w:ascii="Calibri" w:hAnsi="Calibri" w:cs="Calibri"/>
            <w:color w:val="2E74B5"/>
            <w:u w:val="single"/>
          </w:rPr>
          <w:t>VESKO_OPENAPI_CONTRACT_AUDIT.md</w:t>
        </w:r>
      </w:hyperlink>
      <w:r>
        <w:rPr>
          <w:rFonts w:ascii="Calibri" w:hAnsi="Calibri" w:cs="Calibri"/>
        </w:rPr>
        <w:t xml:space="preserve"> and </w:t>
      </w:r>
      <w:hyperlink r:id="rIdHyperlink4"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O_OPENAPI_CONTRACT_AUDIT.md" TargetMode="External"/><Relationship Id="rIdHyperlink4"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ffec9655d28a72817f42055752394cb18e247cde0bcf5854cd7f972786cdc8c8</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