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12 August 2026</w:t>
      </w:r>
    </w:p>
    <w:p>
      <w:pPr>
        <w:pStyle w:val="CoverMeta"/>
        <w:jc w:val="center"/>
        <w:widowControl/>
      </w:pPr>
      <w:r>
        <w:rPr>
          <w:rFonts w:ascii="Calibri" w:hAnsi="Calibri" w:cs="Calibri"/>
        </w:rPr>
        <w:t>P10B-16P-02B deterministic design-intent compilation and canonical proposal materialization</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12 August 2026, P10B-16P-02B deterministic design-intent compilation and canonical proposal materialization</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and P10B-16P-02B deterministic intent compilation/canonical proposal materialization are Baseline. P10B-16P-02 is Baseline; P10B-16P-03, P10B-16P-04, P10B-17, and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three coordinated constraint packages, structural diversity classification and repetition control; P10B-16P-01 replaces copied commerce-route design pages with one maintained dynamic-archetype authority; P10B-16P-02A adds the strict transient prompted Design Intent V2 boundary; P10B-16P-02B refreshes authority, deterministically compiles exact registered selections, and consumes them once through canonical synthesis and isolated proposal authority. Studio wiring, live V2 acceptance, phase-wide responsive/performance, and 100+ quality/scale closure remain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separately scoped compatibility authority. Its retained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The corrected v2 compatibility path now pre-executes and materializes compatible storefront candidates before asking the provider to select an advertised </w:t>
      </w:r>
      <w:r>
        <w:rPr>
          <w:rFonts w:ascii="Consolas" w:hAnsi="Consolas" w:cs="Consolas"/>
          <w:sz w:val="19"/>
          <w:szCs w:val="19"/>
        </w:rPr>
        <w:t>executableIntentId</w:t>
      </w:r>
      <w:r>
        <w:rPr>
          <w:rFonts w:ascii="Calibri" w:hAnsi="Calibri" w:cs="Calibri"/>
        </w:rPr>
        <w:t>, but that corrected path has made zero live calls.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and no live V2 provider call has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archetype are registered presentation authority, but operational search materialization still requires an exact transient query/result projection from a first-class canonical adapter. Without it, search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but a first-class canonical search-result adapter is still absent: runtime search materialization requires exact transient query/result authority and otherwise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Studio wiring and P10B-16P-04 live V2 acceptance/bridge disposition remain sequential before P10B-17 phase-wide responsive/accessibility/performance closure and P10B-18 repeated quality-and-scale gate.</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registered route and presentation authority but fails closed pending an exact transient result adapter.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search adapter. That adapter is not yet available, so search fails closed rather than fabricating results or binding a collection. Catalogue size therefore changes route inventory, not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V2 boundary, and P10B-16P-02B owns deterministic compilation plus canonical one-shot synthesis/proposal consumption; both are Baseline, so P10B-16P-02 is Baseline. Final Storefront Studio wiring and live V2 acceptance remain Planned under P10B-16P-03 and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adds a compact deterministic provider-safe projection over current Design DNA, shared-frame, PageBlueprint/profile, component/anatomy, dynamic-commerce archetype, content/utility, responsive and art-direction authority. Stable preference keys carry dimension, context, availability and server-retained current-authority references without creating another registry, plan or page graph.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capability, PageBlueprint, Design DNA, brief/evidence, asset and aggregate catalogue/commerce fingerprints. It includes approved safe merchant context, bounded catalogue/product-type characteristics, evidence/asset availability and compact capabilities. Full products, prices, stock, customers, orders, raw media,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hard merchant constraints, ranked soft preferences, optional suggestions and avoidances across Design DNA, frame, homepage narrative, collection/search and PDP archetypes, canonical aggregate product-type posture, content/support, registered component/meaningful variants, bounded parameters, responsive behavior and approved art direction. It cannot emit an </w:t>
      </w:r>
      <w:r>
        <w:rPr>
          <w:rFonts w:ascii="Consolas" w:hAnsi="Consolas" w:cs="Consolas"/>
          <w:sz w:val="19"/>
          <w:szCs w:val="19"/>
        </w:rPr>
        <w:t>executableIntentId</w:t>
      </w:r>
      <w:r>
        <w:rPr>
          <w:rFonts w:ascii="Calibri" w:hAnsi="Calibri" w:cs="Calibri"/>
        </w:rPr>
        <w:t xml:space="preserve">,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preference must match a key advertised by that exact request, use the dimension required by its result field and retain valid availability. Context metadata is preserved for P10B-16P-02B compatibility resolution. Unknown, invented, wrong-dimension, concrete-route, unavailable required, fingerprint-mismatched or stale references fail without fuzzy repair, named-preset substitution, retry, fallback or partial result. Normalization makes the projection, request and intent fingerprints stable under unordered source iteration; all material preference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has made zero live calls. Neither is prompt-driven generation evidence. P10B-16P-02B now owns deterministic post-provider compilation, P10B-16P-03 owns Studio wiring, and P10B-16P-04 owns live V2 acceptance and legacy bridge disposition.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capability-reference,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solver evaluates only bounded compatibility metadata after the provider result; it never materializes completed candidate storefronts for scoring. It enforces an explicit candidate budget and stable tie-breaking, exact hard constraints, ranked compatible soft choices, evidence/asset-gated optional choices, avoidance and contradiction rejection, and a complete-storefront material-intent gate covering Design DNA, frame, homepage narrative, collection, PDP and responsive/art-direction authority.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provide normal Storefront Studio wiring, executable search or live V2 acceptance.</w:t>
      </w:r>
    </w:p>
    <w:p>
      <w:pPr>
        <w:pStyle w:val="Heading2"/>
        <w:keepNext/>
        <w:widowControl/>
      </w:pPr>
      <w:r>
        <w:rPr>
          <w:rFonts w:ascii="Calibri" w:hAnsi="Calibri" w:cs="Calibri"/>
        </w:rPr>
        <w:t>10.21 Remaining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10.22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P10B-16 and P10B-16P-01 through P10B-16P-02B are Baseline; P10B-16P-02 is Baseline; P10B-16P-03, P10B-16P-04, P10B-17, and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after P10B-16P-04 proves V2 and explicitly disposes their compatibility use;</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P10B-16P-03 final Storefront Studio generation wiring or P10B-16P-04 live V2 acceptance/legacy-bridge disposition is implemented;</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P10B-16P-02B provides executable search, normal Studio reachability, live Design Intent V2 provider evidence, retained V2 human review,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6"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300" w:type="dxa"/>
            <w:vAlign w:val="center"/>
          </w:tcPr>
          <w:p>
            <w:pPr>
              <w:pStyle w:val="TraceabilityTableText"/>
              <w:widowControl/>
            </w:pPr>
            <w:r>
              <w:rPr>
                <w:rFonts w:ascii="Calibri" w:hAnsi="Calibri" w:cs="Calibri"/>
              </w:rPr>
              <w:t>§§7.4, 10.18;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require exact transient query/result authority and fail closed when its canonical adapter is unavailable.</w:t>
            </w:r>
          </w:p>
        </w:tc>
        <w:tc>
          <w:tcPr>
            <w:tcW w:w="1300" w:type="dxa"/>
            <w:vAlign w:val="center"/>
          </w:tcPr>
          <w:p>
            <w:pPr>
              <w:pStyle w:val="TraceabilityTableText"/>
              <w:widowControl/>
            </w:pPr>
            <w:r>
              <w:rPr>
                <w:rFonts w:ascii="Calibri" w:hAnsi="Calibri" w:cs="Calibri"/>
              </w:rPr>
              <w:t>§§7.4, 10.18; P10B/P10C/P11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Dynamic-route/collection materialization, search fail-closed, and renderer tests</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300" w:type="dxa"/>
            <w:vAlign w:val="center"/>
          </w:tcPr>
          <w:p>
            <w:pPr>
              <w:pStyle w:val="TraceabilityTableText"/>
              <w:widowControl/>
            </w:pPr>
            <w:r>
              <w:rPr>
                <w:rFonts w:ascii="Calibri" w:hAnsi="Calibri" w:cs="Calibri"/>
              </w:rPr>
              <w:t>§§5–7, 10.18;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300" w:type="dxa"/>
            <w:vAlign w:val="center"/>
          </w:tcPr>
          <w:p>
            <w:pPr>
              <w:pStyle w:val="TraceabilityTableText"/>
              <w:widowControl/>
            </w:pPr>
            <w:r>
              <w:rPr>
                <w:rFonts w:ascii="Calibri" w:hAnsi="Calibri" w:cs="Calibri"/>
              </w:rPr>
              <w:t>§§7.4, 10.18; retained baseline/P10B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300" w:type="dxa"/>
            <w:vAlign w:val="center"/>
          </w:tcPr>
          <w:p>
            <w:pPr>
              <w:pStyle w:val="TraceabilityTableText"/>
              <w:widowControl/>
            </w:pPr>
            <w:r>
              <w:rPr>
                <w:rFonts w:ascii="Calibri" w:hAnsi="Calibri" w:cs="Calibri"/>
              </w:rPr>
              <w:t>§§6, 8, 10.18;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300" w:type="dxa"/>
            <w:vAlign w:val="center"/>
          </w:tcPr>
          <w:p>
            <w:pPr>
              <w:pStyle w:val="TraceabilityTableText"/>
              <w:widowControl/>
            </w:pPr>
            <w:r>
              <w:rPr>
                <w:rFonts w:ascii="Calibri" w:hAnsi="Calibri" w:cs="Calibri"/>
              </w:rPr>
              <w:t>§§4.1, 7–10;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792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 Id="rIdHyperlink26"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7f8602b4861e7d32a20b7ba046b67c8cef1cf30166c54232933aae761c5994a3</vt:lpwstr>
  </property>
  <property fmtid="{D5CDD505-2E9C-101B-9397-08002B2CF9AE}" pid="4" name="ExporterVersion">
    <vt:lpwstr>1.1.0</vt:lpwstr>
  </property>
  <property fmtid="{D5CDD505-2E9C-101B-9397-08002B2CF9AE}" pid="5" name="DesignPreset">
    <vt:lpwstr>compact_reference_guide</vt:lpwstr>
  </property>
</Properties>
</file>