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4 September 2026, P10B-19A-10B2 Fail-Closed Cross-Authority Failure Matrix and A-10B Closure</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cantSplit/>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cantSplit/>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4 September 2026, P10B-19A-10B2 Fail-Closed Cross-Authority Failure Matrix and A-10B Closure</w:t>
            </w:r>
          </w:p>
        </w:tc>
      </w:tr>
      <w:tr>
        <w:trPr>
          <w:cantSplit/>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cantSplit/>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cantSplit/>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cantSplit/>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cantSplit/>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p>
      <w:pPr>
        <w:pStyle w:val="Heading1"/>
        <w:keepNext/>
        <w:widowControl/>
      </w:pPr>
      <w:r>
        <w:rPr>
          <w:rFonts w:ascii="Calibri" w:hAnsi="Calibri" w:cs="Calibri"/>
        </w:rPr>
        <w:t>Overall phase checklist</w:t>
      </w:r>
    </w:p>
    <w:p>
      <w:pPr>
        <w:pStyle w:val="Normal"/>
        <w:numPr>
          <w:ilvl w:val="0"/>
          <w:numId w:val="1"/>
        </w:numPr>
        <w:widowControl/>
      </w:pPr>
      <w:r>
        <w:rPr>
          <w:rFonts w:ascii="Calibri" w:hAnsi="Calibri" w:cs="Calibri"/>
        </w:rPr>
        <w:t>[x] DEVX-01 - Contract-driven development and CI execution enablement (</w:t>
      </w:r>
      <w:r>
        <w:rPr>
          <w:rFonts w:ascii="Calibri" w:hAnsi="Calibri" w:cs="Calibri"/>
          <w:b/>
          <w:bCs/>
        </w:rPr>
        <w:t>Baseline / closed</w:t>
      </w:r>
      <w:r>
        <w:rPr>
          <w:rFonts w:ascii="Calibri" w:hAnsi="Calibri" w:cs="Calibri"/>
        </w:rPr>
        <w:t>)</w:t>
      </w:r>
    </w:p>
    <w:p>
      <w:pPr>
        <w:pStyle w:val="Normal"/>
        <w:numPr>
          <w:ilvl w:val="0"/>
          <w:numId w:val="1"/>
        </w:numPr>
        <w:widowControl/>
      </w:pPr>
      <w:r>
        <w:rPr>
          <w:rFonts w:ascii="Calibri" w:hAnsi="Calibri" w:cs="Calibri"/>
        </w:rPr>
        <w:t>[x] DEVX-01A - Sprint contract and independent verification protocol</w:t>
      </w:r>
    </w:p>
    <w:p>
      <w:pPr>
        <w:pStyle w:val="Normal"/>
        <w:numPr>
          <w:ilvl w:val="0"/>
          <w:numId w:val="1"/>
        </w:numPr>
        <w:widowControl/>
      </w:pPr>
      <w:r>
        <w:rPr>
          <w:rFonts w:ascii="Calibri" w:hAnsi="Calibri" w:cs="Calibri"/>
        </w:rPr>
        <w:t>[x] DEVX-01B - Mechanical contract and verifier-verdict enforcement</w:t>
      </w:r>
    </w:p>
    <w:p>
      <w:pPr>
        <w:pStyle w:val="Normal"/>
        <w:numPr>
          <w:ilvl w:val="0"/>
          <w:numId w:val="1"/>
        </w:numPr>
        <w:widowControl/>
      </w:pPr>
      <w:r>
        <w:rPr>
          <w:rFonts w:ascii="Calibri" w:hAnsi="Calibri" w:cs="Calibri"/>
        </w:rPr>
        <w:t>[x] DEVX-01C - CI timings, obsolete-run cancellation and Next build caching</w:t>
      </w:r>
    </w:p>
    <w:p>
      <w:pPr>
        <w:pStyle w:val="Normal"/>
        <w:numPr>
          <w:ilvl w:val="0"/>
          <w:numId w:val="1"/>
        </w:numPr>
        <w:widowControl/>
      </w:pPr>
      <w:r>
        <w:rPr>
          <w:rFonts w:ascii="Calibri" w:hAnsi="Calibri" w:cs="Calibri"/>
        </w:rPr>
        <w:t>[x] DEVX-01D - Parallel static, Vitest and production-build jobs</w:t>
      </w:r>
    </w:p>
    <w:p>
      <w:pPr>
        <w:pStyle w:val="Normal"/>
        <w:numPr>
          <w:ilvl w:val="0"/>
          <w:numId w:val="1"/>
        </w:numPr>
        <w:widowControl/>
      </w:pPr>
      <w:r>
        <w:rPr>
          <w:rFonts w:ascii="Calibri" w:hAnsi="Calibri" w:cs="Calibri"/>
        </w:rPr>
        <w:t>[x] DEVX-01E - Playwright timing inventory and balanced execution groups</w:t>
      </w:r>
    </w:p>
    <w:p>
      <w:pPr>
        <w:pStyle w:val="Normal"/>
        <w:numPr>
          <w:ilvl w:val="0"/>
          <w:numId w:val="1"/>
        </w:numPr>
        <w:widowControl/>
      </w:pPr>
      <w:r>
        <w:rPr>
          <w:rFonts w:ascii="Calibri" w:hAnsi="Calibri" w:cs="Calibri"/>
        </w:rPr>
        <w:t>[x] DEVX-01F - Playwright sharding/matrix, merged reports and stable required aggregator</w:t>
      </w:r>
    </w:p>
    <w:p>
      <w:pPr>
        <w:pStyle w:val="Normal"/>
        <w:numPr>
          <w:ilvl w:val="0"/>
          <w:numId w:val="1"/>
        </w:numPr>
        <w:widowControl/>
      </w:pPr>
      <w:r>
        <w:rPr>
          <w:rFonts w:ascii="Calibri" w:hAnsi="Calibri" w:cs="Calibri"/>
        </w:rPr>
        <w:t>[x] DEVX-01F2 - Contention-safe Vitest sharding</w:t>
      </w:r>
    </w:p>
    <w:p>
      <w:pPr>
        <w:pStyle w:val="Normal"/>
        <w:numPr>
          <w:ilvl w:val="0"/>
          <w:numId w:val="1"/>
        </w:numPr>
        <w:widowControl/>
      </w:pPr>
      <w:r>
        <w:rPr>
          <w:rFonts w:ascii="Calibri" w:hAnsi="Calibri" w:cs="Calibri"/>
        </w:rPr>
        <w:t>[x] DEVX-01G - Two-run performance acceptance and workflow closure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8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8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890" w:type="dxa"/>
            <w:vAlign w:val="center"/>
          </w:tcPr>
          <w:p>
            <w:pPr>
              <w:pStyle w:val="CompactTableText"/>
              <w:widowControl/>
            </w:pPr>
            <w:r>
              <w:rPr>
                <w:rFonts w:ascii="Calibri" w:hAnsi="Calibri" w:cs="Calibri"/>
              </w:rPr>
              <w:t>Integration;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890" w:type="dxa"/>
            <w:vAlign w:val="center"/>
          </w:tcPr>
          <w:p>
            <w:pPr>
              <w:pStyle w:val="CompactTableText"/>
              <w:widowControl/>
            </w:pPr>
            <w:r>
              <w:rPr>
                <w:rFonts w:ascii="Calibri" w:hAnsi="Calibri" w:cs="Calibri"/>
              </w:rPr>
              <w:t>Contract; browser/E2E; accessibility; performance; fallback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890" w:type="dxa"/>
            <w:vAlign w:val="center"/>
          </w:tcPr>
          <w:p>
            <w:pPr>
              <w:pStyle w:val="CompactTableText"/>
              <w:widowControl/>
            </w:pPr>
            <w:r>
              <w:rPr>
                <w:rFonts w:ascii="Calibri" w:hAnsi="Calibri" w:cs="Calibri"/>
              </w:rPr>
              <w:t>Adapter conformance; browser/E2E; Vesko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8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8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8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8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8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8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890" w:type="dxa"/>
            <w:vAlign w:val="center"/>
          </w:tcPr>
          <w:p>
            <w:pPr>
              <w:pStyle w:val="CompactTableText"/>
              <w:widowControl/>
            </w:pPr>
            <w:r>
              <w:rPr>
                <w:rFonts w:ascii="Calibri" w:hAnsi="Calibri" w:cs="Calibri"/>
              </w:rPr>
              <w:t>Schema/queryability, migration, compatibility and typed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29 definitions/126 variants; structural, query, migration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8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Page-set/navigation/generation/lifecycle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8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890" w:type="dxa"/>
            <w:vAlign w:val="center"/>
          </w:tcPr>
          <w:p>
            <w:pPr>
              <w:pStyle w:val="CompactTableText"/>
              <w:widowControl/>
            </w:pPr>
            <w:r>
              <w:rPr>
                <w:rFonts w:ascii="Calibri" w:hAnsi="Calibri" w:cs="Calibri"/>
              </w:rPr>
              <w:t>Six heroes, story/campaign/proof chain, provenance and four-width browser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8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890" w:type="dxa"/>
            <w:vAlign w:val="center"/>
          </w:tcPr>
          <w:p>
            <w:pPr>
              <w:pStyle w:val="CompactTableText"/>
              <w:widowControl/>
            </w:pPr>
            <w:r>
              <w:rPr>
                <w:rFonts w:ascii="Calibri" w:hAnsi="Calibri" w:cs="Calibri"/>
              </w:rPr>
              <w:t>Six profiles, materialization-to-render and 24-view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890" w:type="dxa"/>
            <w:vAlign w:val="center"/>
          </w:tcPr>
          <w:p>
            <w:pPr>
              <w:pStyle w:val="CompactTableText"/>
              <w:widowControl/>
            </w:pPr>
            <w:r>
              <w:rPr>
                <w:rFonts w:ascii="Calibri" w:hAnsi="Calibri" w:cs="Calibri"/>
              </w:rPr>
              <w:t>Four profiles, exact commerce/intents, lifecycle and 16-view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890" w:type="dxa"/>
            <w:vAlign w:val="center"/>
          </w:tcPr>
          <w:p>
            <w:pPr>
              <w:pStyle w:val="CompactTableText"/>
              <w:widowControl/>
            </w:pPr>
            <w:r>
              <w:rPr>
                <w:rFonts w:ascii="Calibri" w:hAnsi="Calibri" w:cs="Calibri"/>
              </w:rPr>
              <w:t>Four profiles, generic options/commerce and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890" w:type="dxa"/>
            <w:vAlign w:val="center"/>
          </w:tcPr>
          <w:p>
            <w:pPr>
              <w:pStyle w:val="CompactTableText"/>
              <w:widowControl/>
            </w:pPr>
            <w:r>
              <w:rPr>
                <w:rFonts w:ascii="Calibri" w:hAnsi="Calibri" w:cs="Calibri"/>
              </w:rPr>
              <w:t>15 profiles, approved facts, localization, lifecycle, and 61 Chromium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890" w:type="dxa"/>
            <w:vAlign w:val="center"/>
          </w:tcPr>
          <w:p>
            <w:pPr>
              <w:pStyle w:val="CompactTableText"/>
              <w:widowControl/>
            </w:pPr>
            <w:r>
              <w:rPr>
                <w:rFonts w:ascii="Calibri" w:hAnsi="Calibri" w:cs="Calibri"/>
              </w:rPr>
              <w:t>Six profiles plus route-local loading, canonical action boundary, snapshot/publication preservation, 16 responsive views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890" w:type="dxa"/>
            <w:vAlign w:val="center"/>
          </w:tcPr>
          <w:p>
            <w:pPr>
              <w:pStyle w:val="CompactTableText"/>
              <w:widowControl/>
            </w:pPr>
            <w:r>
              <w:rPr>
                <w:rFonts w:ascii="Calibri" w:hAnsi="Calibri" w:cs="Calibri"/>
              </w:rPr>
              <w:t>17 routes; canonical generation/save/publish; 15 screenshots; passing 160-scenario human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890" w:type="dxa"/>
            <w:vAlign w:val="center"/>
          </w:tcPr>
          <w:p>
            <w:pPr>
              <w:pStyle w:val="CompactTableText"/>
              <w:widowControl/>
            </w:pPr>
            <w:r>
              <w:rPr>
                <w:rFonts w:ascii="Calibri" w:hAnsi="Calibri" w:cs="Calibri"/>
              </w:rPr>
              <w:t>25-case matrix; three complete outcomes; lifecycle; four-width browser; 480-scenario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890" w:type="dxa"/>
            <w:vAlign w:val="center"/>
          </w:tcPr>
          <w:p>
            <w:pPr>
              <w:pStyle w:val="CompactTableText"/>
              <w:widowControl/>
            </w:pPr>
            <w:r>
              <w:rPr>
                <w:rFonts w:ascii="Calibri" w:hAnsi="Calibri" w:cs="Calibri"/>
              </w:rPr>
              <w:t>Three packages; nine outcomes; fingerprint/classification/repetition control; browser and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P10B-16P-01</w:t>
            </w:r>
          </w:p>
        </w:tc>
        <w:tc>
          <w:tcPr>
            <w:tcW w:w="2800" w:type="dxa"/>
            <w:vAlign w:val="center"/>
          </w:tcPr>
          <w:p>
            <w:pPr>
              <w:pStyle w:val="CompactTableText"/>
              <w:widowControl/>
            </w:pPr>
            <w:r>
              <w:rPr>
                <w:rFonts w:ascii="Calibri" w:hAnsi="Calibri" w:cs="Calibri"/>
              </w:rPr>
              <w:t>Dynamic commerce route archetype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domain/runtime routes</w:t>
            </w:r>
          </w:p>
        </w:tc>
        <w:tc>
          <w:tcPr>
            <w:tcW w:w="2500" w:type="dxa"/>
            <w:vAlign w:val="center"/>
          </w:tcPr>
          <w:p>
            <w:pPr>
              <w:pStyle w:val="CompactTableText"/>
              <w:widowControl/>
            </w:pPr>
            <w:r>
              <w:rPr>
                <w:rFonts w:ascii="Calibri" w:hAnsi="Calibri" w:cs="Calibri"/>
              </w:rPr>
              <w:t>P10B-16 and dynamic profile authority</w:t>
            </w:r>
          </w:p>
        </w:tc>
        <w:tc>
          <w:tcPr>
            <w:tcW w:w="2890" w:type="dxa"/>
            <w:vAlign w:val="center"/>
          </w:tcPr>
          <w:p>
            <w:pPr>
              <w:pStyle w:val="CompactTableText"/>
              <w:widowControl/>
            </w:pPr>
            <w:r>
              <w:rPr>
                <w:rFonts w:ascii="Calibri" w:hAnsi="Calibri" w:cs="Calibri"/>
              </w:rPr>
              <w:t>Cardinality, mapping/migration, editor projection, lifecycle/compiler/publication and exact route/browser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w:t>
            </w:r>
          </w:p>
        </w:tc>
        <w:tc>
          <w:tcPr>
            <w:tcW w:w="2800" w:type="dxa"/>
            <w:vAlign w:val="center"/>
          </w:tcPr>
          <w:p>
            <w:pPr>
              <w:pStyle w:val="CompactTableText"/>
              <w:widowControl/>
            </w:pPr>
            <w:r>
              <w:rPr>
                <w:rFonts w:ascii="Calibri" w:hAnsi="Calibri" w:cs="Calibri"/>
              </w:rPr>
              <w:t>Prompted design-plan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Provider/design-plan authority</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Strict intent/mock evidence, bounded metadata compiler, exact current-authority synthesis/proposal and no-partial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P10B-16P-02A</w:t>
            </w:r>
          </w:p>
        </w:tc>
        <w:tc>
          <w:tcPr>
            <w:tcW w:w="2800" w:type="dxa"/>
            <w:vAlign w:val="center"/>
          </w:tcPr>
          <w:p>
            <w:pPr>
              <w:pStyle w:val="CompactTableText"/>
              <w:widowControl/>
            </w:pPr>
            <w:r>
              <w:rPr>
                <w:rFonts w:ascii="Calibri" w:hAnsi="Calibri" w:cs="Calibri"/>
              </w:rPr>
              <w:t>Prompted Storefront Design Intent V2</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contract/adapter</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Safe capability/request projection, strict intent/reference/fingerprint/failure tests and mocked OpenAI transport</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P10B-16P-02B</w:t>
            </w:r>
          </w:p>
        </w:tc>
        <w:tc>
          <w:tcPr>
            <w:tcW w:w="2800" w:type="dxa"/>
            <w:vAlign w:val="center"/>
          </w:tcPr>
          <w:p>
            <w:pPr>
              <w:pStyle w:val="CompactTableText"/>
              <w:widowControl/>
            </w:pPr>
            <w:r>
              <w:rPr>
                <w:rFonts w:ascii="Calibri" w:hAnsi="Calibri" w:cs="Calibri"/>
              </w:rPr>
              <w:t>Deterministic design-intent compiler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Design-plan compiler</w:t>
            </w:r>
          </w:p>
        </w:tc>
        <w:tc>
          <w:tcPr>
            <w:tcW w:w="2500" w:type="dxa"/>
            <w:vAlign w:val="center"/>
          </w:tcPr>
          <w:p>
            <w:pPr>
              <w:pStyle w:val="CompactTableText"/>
              <w:widowControl/>
            </w:pPr>
            <w:r>
              <w:rPr>
                <w:rFonts w:ascii="Calibri" w:hAnsi="Calibri" w:cs="Calibri"/>
              </w:rPr>
              <w:t>P10B-16P-02A</w:t>
            </w:r>
          </w:p>
        </w:tc>
        <w:tc>
          <w:tcPr>
            <w:tcW w:w="2890" w:type="dxa"/>
            <w:vAlign w:val="center"/>
          </w:tcPr>
          <w:p>
            <w:pPr>
              <w:pStyle w:val="CompactTableText"/>
              <w:widowControl/>
            </w:pPr>
            <w:r>
              <w:rPr>
                <w:rFonts w:ascii="Calibri" w:hAnsi="Calibri" w:cs="Calibri"/>
              </w:rPr>
              <w:t>Exact refreshed-authority resolution, bounded metadata compilation, canonical one-shot synthesis/proposal, diagnostics and stale/incompatible/no-partial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P10B-16P-03</w:t>
            </w:r>
          </w:p>
        </w:tc>
        <w:tc>
          <w:tcPr>
            <w:tcW w:w="2800" w:type="dxa"/>
            <w:vAlign w:val="center"/>
          </w:tcPr>
          <w:p>
            <w:pPr>
              <w:pStyle w:val="CompactTableText"/>
              <w:widowControl/>
            </w:pPr>
            <w:r>
              <w:rPr>
                <w:rFonts w:ascii="Calibri" w:hAnsi="Calibri" w:cs="Calibri"/>
              </w:rPr>
              <w:t>Storefront Studio generation journey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Studio/generation</w:t>
            </w:r>
          </w:p>
        </w:tc>
        <w:tc>
          <w:tcPr>
            <w:tcW w:w="2500" w:type="dxa"/>
            <w:vAlign w:val="center"/>
          </w:tcPr>
          <w:p>
            <w:pPr>
              <w:pStyle w:val="CompactTableText"/>
              <w:widowControl/>
            </w:pPr>
            <w:r>
              <w:rPr>
                <w:rFonts w:ascii="Calibri" w:hAnsi="Calibri" w:cs="Calibri"/>
              </w:rPr>
              <w:t>P10B-16P-02B</w:t>
            </w:r>
          </w:p>
        </w:tc>
        <w:tc>
          <w:tcPr>
            <w:tcW w:w="2890" w:type="dxa"/>
            <w:vAlign w:val="center"/>
          </w:tcPr>
          <w:p>
            <w:pPr>
              <w:pStyle w:val="CompactTableText"/>
              <w:widowControl/>
            </w:pPr>
            <w:r>
              <w:rPr>
                <w:rFonts w:ascii="Calibri" w:hAnsi="Calibri" w:cs="Calibri"/>
              </w:rPr>
              <w:t>Standalone/mock authority; integrated auth fail-closed; one registered operation; exact source/lineage/evidence; full mocked lifecycle and browser/E2E</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P10B-16P-04</w:t>
            </w:r>
          </w:p>
        </w:tc>
        <w:tc>
          <w:tcPr>
            <w:tcW w:w="2800" w:type="dxa"/>
            <w:vAlign w:val="center"/>
          </w:tcPr>
          <w:p>
            <w:pPr>
              <w:pStyle w:val="CompactTableText"/>
              <w:widowControl/>
            </w:pPr>
            <w:r>
              <w:rPr>
                <w:rFonts w:ascii="Calibri" w:hAnsi="Calibri" w:cs="Calibri"/>
              </w:rPr>
              <w:t>Live V2 acceptance and bridge disposition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acceptance/architecture</w:t>
            </w:r>
          </w:p>
        </w:tc>
        <w:tc>
          <w:tcPr>
            <w:tcW w:w="2500" w:type="dxa"/>
            <w:vAlign w:val="center"/>
          </w:tcPr>
          <w:p>
            <w:pPr>
              <w:pStyle w:val="CompactTableText"/>
              <w:widowControl/>
            </w:pPr>
            <w:r>
              <w:rPr>
                <w:rFonts w:ascii="Calibri" w:hAnsi="Calibri" w:cs="Calibri"/>
              </w:rPr>
              <w:t>P10B-16P-03</w:t>
            </w:r>
          </w:p>
        </w:tc>
        <w:tc>
          <w:tcPr>
            <w:tcW w:w="2890" w:type="dxa"/>
            <w:vAlign w:val="center"/>
          </w:tcPr>
          <w:p>
            <w:pPr>
              <w:pStyle w:val="CompactTableText"/>
              <w:widowControl/>
            </w:pPr>
            <w:r>
              <w:rPr>
                <w:rFonts w:ascii="Calibri" w:hAnsi="Calibri" w:cs="Calibri"/>
              </w:rPr>
              <w:t>Safe 16-call ledger; final A/B/C; C full lifecycle; protected commerce/media; Deprecated P10B-16L</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P10B-16P-05A</w:t>
            </w:r>
          </w:p>
        </w:tc>
        <w:tc>
          <w:tcPr>
            <w:tcW w:w="2800" w:type="dxa"/>
            <w:vAlign w:val="center"/>
          </w:tcPr>
          <w:p>
            <w:pPr>
              <w:pStyle w:val="CompactTableText"/>
              <w:widowControl/>
            </w:pPr>
            <w:r>
              <w:rPr>
                <w:rFonts w:ascii="Calibri" w:hAnsi="Calibri" w:cs="Calibri"/>
              </w:rPr>
              <w:t>Active production-path and compiler rationalisation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route/compiler</w:t>
            </w:r>
          </w:p>
        </w:tc>
        <w:tc>
          <w:tcPr>
            <w:tcW w:w="2500" w:type="dxa"/>
            <w:vAlign w:val="center"/>
          </w:tcPr>
          <w:p>
            <w:pPr>
              <w:pStyle w:val="CompactTableText"/>
              <w:widowControl/>
            </w:pPr>
            <w:r>
              <w:rPr>
                <w:rFonts w:ascii="Calibri" w:hAnsi="Calibri" w:cs="Calibri"/>
              </w:rPr>
              <w:t>P10B-16P-04</w:t>
            </w:r>
          </w:p>
        </w:tc>
        <w:tc>
          <w:tcPr>
            <w:tcW w:w="2890" w:type="dxa"/>
            <w:vAlign w:val="center"/>
          </w:tcPr>
          <w:p>
            <w:pPr>
              <w:pStyle w:val="CompactTableText"/>
              <w:widowControl/>
            </w:pPr>
            <w:r>
              <w:rPr>
                <w:rFonts w:ascii="Calibri" w:hAnsi="Calibri" w:cs="Calibri"/>
              </w:rPr>
              <w:t>One semantic initial-generation composition; one coordinator/resolver/decision/executor chain; A/B/C replay; migration/publication/protected-state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P10B-16P-06</w:t>
            </w:r>
          </w:p>
        </w:tc>
        <w:tc>
          <w:tcPr>
            <w:tcW w:w="2800" w:type="dxa"/>
            <w:vAlign w:val="center"/>
          </w:tcPr>
          <w:p>
            <w:pPr>
              <w:pStyle w:val="CompactTableText"/>
              <w:widowControl/>
            </w:pPr>
            <w:r>
              <w:rPr>
                <w:rFonts w:ascii="Calibri" w:hAnsi="Calibri" w:cs="Calibri"/>
              </w:rPr>
              <w:t>Canonical search query/results adapter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Search runtime/commerce presentation</w:t>
            </w:r>
          </w:p>
        </w:tc>
        <w:tc>
          <w:tcPr>
            <w:tcW w:w="2500" w:type="dxa"/>
            <w:vAlign w:val="center"/>
          </w:tcPr>
          <w:p>
            <w:pPr>
              <w:pStyle w:val="CompactTableText"/>
              <w:widowControl/>
            </w:pPr>
            <w:r>
              <w:rPr>
                <w:rFonts w:ascii="Calibri" w:hAnsi="Calibri" w:cs="Calibri"/>
              </w:rPr>
              <w:t>P10B-16P-05A and dynamic-search authority</w:t>
            </w:r>
          </w:p>
        </w:tc>
        <w:tc>
          <w:tcPr>
            <w:tcW w:w="2890" w:type="dxa"/>
            <w:vAlign w:val="center"/>
          </w:tcPr>
          <w:p>
            <w:pPr>
              <w:pStyle w:val="CompactTableText"/>
              <w:widowControl/>
            </w:pPr>
            <w:r>
              <w:rPr>
                <w:rFonts w:ascii="Calibri" w:hAnsi="Calibri" w:cs="Calibri"/>
              </w:rPr>
              <w:t>Transient exact canonical query/results; ranking/filter/pagination; lifecycle non-persistence; EN/FI browser and publication evidence; protected commerce/media</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P10B-16P-06 and implemented families</w:t>
            </w:r>
          </w:p>
        </w:tc>
        <w:tc>
          <w:tcPr>
            <w:tcW w:w="2890" w:type="dxa"/>
            <w:vAlign w:val="center"/>
          </w:tcPr>
          <w:p>
            <w:pPr>
              <w:pStyle w:val="CompactTableText"/>
              <w:widowControl/>
            </w:pPr>
            <w:r>
              <w:rPr>
                <w:rFonts w:ascii="Calibri" w:hAnsi="Calibri" w:cs="Calibri"/>
              </w:rPr>
              <w:t>Registered transformations; four-width EN/FI geometry; keyboard/semantic/contrast; bounded performance/build budgets; browser and retained human visual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890" w:type="dxa"/>
            <w:vAlign w:val="center"/>
          </w:tcPr>
          <w:p>
            <w:pPr>
              <w:pStyle w:val="CompactTableText"/>
              <w:widowControl/>
            </w:pPr>
            <w:r>
              <w:rPr>
                <w:rFonts w:ascii="Calibri" w:hAnsi="Calibri" w:cs="Calibri"/>
              </w:rPr>
              <w:t>Accepted audit, source-authority upgrade, then 100+ configurations and fingerprint-stratified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P10B-18A</w:t>
            </w:r>
          </w:p>
        </w:tc>
        <w:tc>
          <w:tcPr>
            <w:tcW w:w="2800" w:type="dxa"/>
            <w:vAlign w:val="center"/>
          </w:tcPr>
          <w:p>
            <w:pPr>
              <w:pStyle w:val="CompactTableText"/>
              <w:widowControl/>
            </w:pPr>
            <w:r>
              <w:rPr>
                <w:rFonts w:ascii="Calibri" w:hAnsi="Calibri" w:cs="Calibri"/>
              </w:rPr>
              <w:t>Commercial authority audit and ceiling diagnosis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P10B-17 and current authority</w:t>
            </w:r>
          </w:p>
        </w:tc>
        <w:tc>
          <w:tcPr>
            <w:tcW w:w="2890" w:type="dxa"/>
            <w:vAlign w:val="center"/>
          </w:tcPr>
          <w:p>
            <w:pPr>
              <w:pStyle w:val="CompactTableText"/>
              <w:widowControl/>
            </w:pPr>
            <w:r>
              <w:rPr>
                <w:rFonts w:ascii="Calibri" w:hAnsi="Calibri" w:cs="Calibri"/>
              </w:rPr>
              <w:t>Accepted 72-case matrix, 18-store/108-capture human review, protected commerce/media, zero provider/Vesko/publication traffic</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w:t>
            </w:r>
          </w:p>
        </w:tc>
        <w:tc>
          <w:tcPr>
            <w:tcW w:w="2800" w:type="dxa"/>
            <w:vAlign w:val="center"/>
          </w:tcPr>
          <w:p>
            <w:pPr>
              <w:pStyle w:val="CompactTableText"/>
              <w:widowControl/>
            </w:pPr>
            <w:r>
              <w:rPr>
                <w:rFonts w:ascii="Calibri" w:hAnsi="Calibri" w:cs="Calibri"/>
              </w:rPr>
              <w:t>Commercial source-authority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Generation/component/profile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Six accepted packages with focused and integrated browser/human evidence against the frozen audit baseline</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P10B-18B-01</w:t>
            </w:r>
          </w:p>
        </w:tc>
        <w:tc>
          <w:tcPr>
            <w:tcW w:w="2800" w:type="dxa"/>
            <w:vAlign w:val="center"/>
          </w:tcPr>
          <w:p>
            <w:pPr>
              <w:pStyle w:val="CompactTableText"/>
              <w:widowControl/>
            </w:pPr>
            <w:r>
              <w:rPr>
                <w:rFonts w:ascii="Calibri" w:hAnsi="Calibri" w:cs="Calibri"/>
              </w:rPr>
              <w:t>Design DNA and shared-frames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DNA, direction, frame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Same-72-case material deltas, compact complete-store proof, 17 accepted captures, responsive/build/lifecycle/protected-state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P10B-18B-06</w:t>
            </w:r>
          </w:p>
        </w:tc>
        <w:tc>
          <w:tcPr>
            <w:tcW w:w="2800" w:type="dxa"/>
            <w:vAlign w:val="center"/>
          </w:tcPr>
          <w:p>
            <w:pPr>
              <w:pStyle w:val="CompactTableText"/>
              <w:widowControl/>
            </w:pPr>
            <w:r>
              <w:rPr>
                <w:rFonts w:ascii="Calibri" w:hAnsi="Calibri" w:cs="Calibri"/>
              </w:rPr>
              <w:t>Asset composition and art-direction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responsive-image, frame owners</w:t>
            </w:r>
          </w:p>
        </w:tc>
        <w:tc>
          <w:tcPr>
            <w:tcW w:w="2500" w:type="dxa"/>
            <w:vAlign w:val="center"/>
          </w:tcPr>
          <w:p>
            <w:pPr>
              <w:pStyle w:val="CompactTableText"/>
              <w:widowControl/>
            </w:pPr>
            <w:r>
              <w:rPr>
                <w:rFonts w:ascii="Calibri" w:hAnsi="Calibri" w:cs="Calibri"/>
              </w:rPr>
              <w:t>Accepted P10B-18B-01</w:t>
            </w:r>
          </w:p>
        </w:tc>
        <w:tc>
          <w:tcPr>
            <w:tcW w:w="2890" w:type="dxa"/>
            <w:vAlign w:val="center"/>
          </w:tcPr>
          <w:p>
            <w:pPr>
              <w:pStyle w:val="CompactTableText"/>
              <w:widowControl/>
            </w:pPr>
            <w:r>
              <w:rPr>
                <w:rFonts w:ascii="Calibri" w:hAnsi="Calibri" w:cs="Calibri"/>
              </w:rPr>
              <w:t>Accepted bounded purpose affinity, reuse, paired responsive sources, shared-frame logo, same-72-case regression and 13-capture checkpoint; complete-store visual quality remains unaccepted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P10B-18B-02</w:t>
            </w:r>
          </w:p>
        </w:tc>
        <w:tc>
          <w:tcPr>
            <w:tcW w:w="2800" w:type="dxa"/>
            <w:vAlign w:val="center"/>
          </w:tcPr>
          <w:p>
            <w:pPr>
              <w:pStyle w:val="CompactTableText"/>
              <w:widowControl/>
            </w:pPr>
            <w:r>
              <w:rPr>
                <w:rFonts w:ascii="Calibri" w:hAnsi="Calibri" w:cs="Calibri"/>
              </w:rPr>
              <w:t>Homepage / editorial / campaign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Homepage profile/component owners</w:t>
            </w:r>
          </w:p>
        </w:tc>
        <w:tc>
          <w:tcPr>
            <w:tcW w:w="2500" w:type="dxa"/>
            <w:vAlign w:val="center"/>
          </w:tcPr>
          <w:p>
            <w:pPr>
              <w:pStyle w:val="CompactTableText"/>
              <w:widowControl/>
            </w:pPr>
            <w:r>
              <w:rPr>
                <w:rFonts w:ascii="Calibri" w:hAnsi="Calibri" w:cs="Calibri"/>
              </w:rPr>
              <w:t>Accepted P10B-18B-01 and P10B-18B-06</w:t>
            </w:r>
          </w:p>
        </w:tc>
        <w:tc>
          <w:tcPr>
            <w:tcW w:w="2890" w:type="dxa"/>
            <w:vAlign w:val="center"/>
          </w:tcPr>
          <w:p>
            <w:pPr>
              <w:pStyle w:val="CompactTableText"/>
              <w:widowControl/>
            </w:pPr>
            <w:r>
              <w:rPr>
                <w:rFonts w:ascii="Calibri" w:hAnsi="Calibri" w:cs="Calibri"/>
              </w:rPr>
              <w:t>Accepted intentional rich/sparse progression, exact transition authority, stronger hierarchy/rhythm, same-strata accounting, retained review and lifecycle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P10B-18B-03</w:t>
            </w:r>
          </w:p>
        </w:tc>
        <w:tc>
          <w:tcPr>
            <w:tcW w:w="2800" w:type="dxa"/>
            <w:vAlign w:val="center"/>
          </w:tcPr>
          <w:p>
            <w:pPr>
              <w:pStyle w:val="CompactTableText"/>
              <w:widowControl/>
            </w:pPr>
            <w:r>
              <w:rPr>
                <w:rFonts w:ascii="Calibri" w:hAnsi="Calibri" w:cs="Calibri"/>
              </w:rPr>
              <w:t>Collection / search / product-card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Collection/search/product-card owners</w:t>
            </w:r>
          </w:p>
        </w:tc>
        <w:tc>
          <w:tcPr>
            <w:tcW w:w="2500" w:type="dxa"/>
            <w:vAlign w:val="center"/>
          </w:tcPr>
          <w:p>
            <w:pPr>
              <w:pStyle w:val="CompactTableText"/>
              <w:widowControl/>
            </w:pPr>
            <w:r>
              <w:rPr>
                <w:rFonts w:ascii="Calibri" w:hAnsi="Calibri" w:cs="Calibri"/>
              </w:rPr>
              <w:t>Accepted P10B-18B-02</w:t>
            </w:r>
          </w:p>
        </w:tc>
        <w:tc>
          <w:tcPr>
            <w:tcW w:w="2890" w:type="dxa"/>
            <w:vAlign w:val="center"/>
          </w:tcPr>
          <w:p>
            <w:pPr>
              <w:pStyle w:val="CompactTableText"/>
              <w:widowControl/>
            </w:pPr>
            <w:r>
              <w:rPr>
                <w:rFonts w:ascii="Calibri" w:hAnsi="Calibri" w:cs="Calibri"/>
              </w:rPr>
              <w:t>Accepted cardinality/facet hierarchy, four distinct profile purposes, five canonical card anatomies, executable search truth, same-72 accounting and 21-capture retained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P10B-18B-04</w:t>
            </w:r>
          </w:p>
        </w:tc>
        <w:tc>
          <w:tcPr>
            <w:tcW w:w="2800" w:type="dxa"/>
            <w:vAlign w:val="center"/>
          </w:tcPr>
          <w:p>
            <w:pPr>
              <w:pStyle w:val="CompactTableText"/>
              <w:widowControl/>
            </w:pPr>
            <w:r>
              <w:rPr>
                <w:rFonts w:ascii="Calibri" w:hAnsi="Calibri" w:cs="Calibri"/>
              </w:rPr>
              <w:t>PDP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profile/commerce presentation owners</w:t>
            </w:r>
          </w:p>
        </w:tc>
        <w:tc>
          <w:tcPr>
            <w:tcW w:w="2500" w:type="dxa"/>
            <w:vAlign w:val="center"/>
          </w:tcPr>
          <w:p>
            <w:pPr>
              <w:pStyle w:val="CompactTableText"/>
              <w:widowControl/>
            </w:pPr>
            <w:r>
              <w:rPr>
                <w:rFonts w:ascii="Calibri" w:hAnsi="Calibri" w:cs="Calibri"/>
              </w:rPr>
              <w:t>Accepted P10B-18B-03</w:t>
            </w:r>
          </w:p>
        </w:tc>
        <w:tc>
          <w:tcPr>
            <w:tcW w:w="2890" w:type="dxa"/>
            <w:vAlign w:val="center"/>
          </w:tcPr>
          <w:p>
            <w:pPr>
              <w:pStyle w:val="CompactTableText"/>
              <w:widowControl/>
            </w:pPr>
            <w:r>
              <w:rPr>
                <w:rFonts w:ascii="Calibri" w:hAnsi="Calibri" w:cs="Calibri"/>
              </w:rPr>
              <w:t>Accepted 19 August 2026: stronger PDP opening, gallery, option/purchase and related-merchandising hierarchy with protected variant/price/media and retained four-width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P10B-18B-05</w:t>
            </w:r>
          </w:p>
        </w:tc>
        <w:tc>
          <w:tcPr>
            <w:tcW w:w="2800" w:type="dxa"/>
            <w:vAlign w:val="center"/>
          </w:tcPr>
          <w:p>
            <w:pPr>
              <w:pStyle w:val="CompactTableText"/>
              <w:widowControl/>
            </w:pPr>
            <w:r>
              <w:rPr>
                <w:rFonts w:ascii="Calibri" w:hAnsi="Calibri" w:cs="Calibri"/>
              </w:rPr>
              <w:t>Content / support / utilities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Content/support/utility owners</w:t>
            </w:r>
          </w:p>
        </w:tc>
        <w:tc>
          <w:tcPr>
            <w:tcW w:w="2500" w:type="dxa"/>
            <w:vAlign w:val="center"/>
          </w:tcPr>
          <w:p>
            <w:pPr>
              <w:pStyle w:val="CompactTableText"/>
              <w:widowControl/>
            </w:pPr>
            <w:r>
              <w:rPr>
                <w:rFonts w:ascii="Calibri" w:hAnsi="Calibri" w:cs="Calibri"/>
              </w:rPr>
              <w:t>Accepted P10B-18B-04</w:t>
            </w:r>
          </w:p>
        </w:tc>
        <w:tc>
          <w:tcPr>
            <w:tcW w:w="2890" w:type="dxa"/>
            <w:vAlign w:val="center"/>
          </w:tcPr>
          <w:p>
            <w:pPr>
              <w:pStyle w:val="CompactTableText"/>
              <w:widowControl/>
            </w:pPr>
            <w:r>
              <w:rPr>
                <w:rFonts w:ascii="Calibri" w:hAnsi="Calibri" w:cs="Calibri"/>
              </w:rPr>
              <w:t>Stronger registered content, support and utility compositions with lifecycle, navigation and protected-commerce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P10B-18C</w:t>
            </w:r>
          </w:p>
        </w:tc>
        <w:tc>
          <w:tcPr>
            <w:tcW w:w="2800" w:type="dxa"/>
            <w:vAlign w:val="center"/>
          </w:tcPr>
          <w:p>
            <w:pPr>
              <w:pStyle w:val="CompactTableText"/>
              <w:widowControl/>
            </w:pPr>
            <w:r>
              <w:rPr>
                <w:rFonts w:ascii="Calibri" w:hAnsi="Calibri" w:cs="Calibri"/>
              </w:rPr>
              <w:t>100+ commercial quality and diversity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Accepted and integrated P10B-18B packages</w:t>
            </w:r>
          </w:p>
        </w:tc>
        <w:tc>
          <w:tcPr>
            <w:tcW w:w="2890" w:type="dxa"/>
            <w:vAlign w:val="center"/>
          </w:tcPr>
          <w:p>
            <w:pPr>
              <w:pStyle w:val="CompactTableText"/>
              <w:widowControl/>
            </w:pPr>
            <w:r>
              <w:rPr>
                <w:rFonts w:ascii="Calibri" w:hAnsi="Calibri" w:cs="Calibri"/>
              </w:rPr>
              <w:t>126/126 complete/replay, protected-state/diversity/causality gates, 28 stores and final 280-entry four-width EN/FI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P10B-16P-05B</w:t>
            </w:r>
          </w:p>
        </w:tc>
        <w:tc>
          <w:tcPr>
            <w:tcW w:w="2800" w:type="dxa"/>
            <w:vAlign w:val="center"/>
          </w:tcPr>
          <w:p>
            <w:pPr>
              <w:pStyle w:val="CompactTableText"/>
              <w:widowControl/>
            </w:pPr>
            <w:r>
              <w:rPr>
                <w:rFonts w:ascii="Calibri" w:hAnsi="Calibri" w:cs="Calibri"/>
              </w:rPr>
              <w:t>Major repository and historical-authority cleanup</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architecture/evidence</w:t>
            </w:r>
          </w:p>
        </w:tc>
        <w:tc>
          <w:tcPr>
            <w:tcW w:w="2500" w:type="dxa"/>
            <w:vAlign w:val="center"/>
          </w:tcPr>
          <w:p>
            <w:pPr>
              <w:pStyle w:val="CompactTableText"/>
              <w:widowControl/>
            </w:pPr>
            <w:r>
              <w:rPr>
                <w:rFonts w:ascii="Calibri" w:hAnsi="Calibri" w:cs="Calibri"/>
              </w:rPr>
              <w:t>P10B-16P-05A and accepted P10B-18C</w:t>
            </w:r>
          </w:p>
        </w:tc>
        <w:tc>
          <w:tcPr>
            <w:tcW w:w="2890" w:type="dxa"/>
            <w:vAlign w:val="center"/>
          </w:tcPr>
          <w:p>
            <w:pPr>
              <w:pStyle w:val="CompactTableText"/>
              <w:widowControl/>
            </w:pPr>
            <w:r>
              <w:rPr>
                <w:rFonts w:ascii="Calibri" w:hAnsi="Calibri" w:cs="Calibri"/>
              </w:rPr>
              <w:t>Consumer graph; one active generation chain; lean P10B-18D seam; production fail-closed; durable lifecycle, migration and quality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P10B-18D</w:t>
            </w:r>
          </w:p>
        </w:tc>
        <w:tc>
          <w:tcPr>
            <w:tcW w:w="2800" w:type="dxa"/>
            <w:vAlign w:val="center"/>
          </w:tcPr>
          <w:p>
            <w:pPr>
              <w:pStyle w:val="CompactTableText"/>
              <w:widowControl/>
            </w:pPr>
            <w:r>
              <w:rPr>
                <w:rFonts w:ascii="Calibri" w:hAnsi="Calibri" w:cs="Calibri"/>
              </w:rPr>
              <w:t>Live AI commercial storefront acceptance diagnostic</w:t>
            </w:r>
          </w:p>
        </w:tc>
        <w:tc>
          <w:tcPr>
            <w:tcW w:w="850" w:type="dxa"/>
            <w:vAlign w:val="center"/>
          </w:tcPr>
          <w:p>
            <w:pPr>
              <w:pStyle w:val="CompactTableText"/>
              <w:jc w:val="center"/>
              <w:widowControl/>
            </w:pPr>
            <w:r>
              <w:rPr>
                <w:rFonts w:ascii="Calibri" w:hAnsi="Calibri" w:cs="Calibri"/>
                <w:b/>
                <w:bCs/>
              </w:rPr>
              <w:t>Baseline diagnostic / quality rejected</w:t>
            </w:r>
          </w:p>
        </w:tc>
        <w:tc>
          <w:tcPr>
            <w:tcW w:w="1500" w:type="dxa"/>
            <w:vAlign w:val="center"/>
          </w:tcPr>
          <w:p>
            <w:pPr>
              <w:pStyle w:val="CompactTableText"/>
              <w:widowControl/>
            </w:pPr>
            <w:r>
              <w:rPr>
                <w:rFonts w:ascii="Calibri" w:hAnsi="Calibri" w:cs="Calibri"/>
              </w:rPr>
              <w:t>Product owner, provider, generation, QA</w:t>
            </w:r>
          </w:p>
        </w:tc>
        <w:tc>
          <w:tcPr>
            <w:tcW w:w="2500" w:type="dxa"/>
            <w:vAlign w:val="center"/>
          </w:tcPr>
          <w:p>
            <w:pPr>
              <w:pStyle w:val="CompactTableText"/>
              <w:widowControl/>
            </w:pPr>
            <w:r>
              <w:rPr>
                <w:rFonts w:ascii="Calibri" w:hAnsi="Calibri" w:cs="Calibri"/>
              </w:rPr>
              <w:t>P10B-16P-05B and accepted P10B-18C</w:t>
            </w:r>
          </w:p>
        </w:tc>
        <w:tc>
          <w:tcPr>
            <w:tcW w:w="2890" w:type="dxa"/>
            <w:vAlign w:val="center"/>
          </w:tcPr>
          <w:p>
            <w:pPr>
              <w:pStyle w:val="CompactTableText"/>
              <w:widowControl/>
            </w:pPr>
            <w:r>
              <w:rPr>
                <w:rFonts w:ascii="Calibri" w:hAnsi="Calibri" w:cs="Calibri"/>
              </w:rPr>
              <w:t>Six bounded calls and safe evidence accepted; 3/6 fidelity passes, exact Concept 2/6 authority collapse and incomplete final reload/Preview reject live commercial quality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 PRE</w:t>
            </w:r>
          </w:p>
        </w:tc>
        <w:tc>
          <w:tcPr>
            <w:tcW w:w="2800" w:type="dxa"/>
            <w:vAlign w:val="center"/>
          </w:tcPr>
          <w:p>
            <w:pPr>
              <w:pStyle w:val="CompactTableText"/>
              <w:widowControl/>
            </w:pPr>
            <w:r>
              <w:rPr>
                <w:rFonts w:ascii="Calibri" w:hAnsi="Calibri" w:cs="Calibri"/>
              </w:rPr>
              <w:t>Structural Design Intelligence Architecture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and architecture</w:t>
            </w:r>
          </w:p>
        </w:tc>
        <w:tc>
          <w:tcPr>
            <w:tcW w:w="2500" w:type="dxa"/>
            <w:vAlign w:val="center"/>
          </w:tcPr>
          <w:p>
            <w:pPr>
              <w:pStyle w:val="CompactTableText"/>
              <w:widowControl/>
            </w:pPr>
            <w:r>
              <w:rPr>
                <w:rFonts w:ascii="Calibri" w:hAnsi="Calibri" w:cs="Calibri"/>
              </w:rPr>
              <w:t>Completed P10B-18D diagnostic</w:t>
            </w:r>
          </w:p>
        </w:tc>
        <w:tc>
          <w:tcPr>
            <w:tcW w:w="2890" w:type="dxa"/>
            <w:vAlign w:val="center"/>
          </w:tcPr>
          <w:p>
            <w:pPr>
              <w:pStyle w:val="CompactTableText"/>
              <w:widowControl/>
            </w:pPr>
            <w:r>
              <w:rPr>
                <w:rFonts w:ascii="Calibri" w:hAnsi="Calibri" w:cs="Calibri"/>
              </w:rPr>
              <w:t>Accepted ownership, migration, safety, alternatives, and P10B-19A-J implementation sequence; no production implementation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w:t>
            </w:r>
          </w:p>
        </w:tc>
        <w:tc>
          <w:tcPr>
            <w:tcW w:w="2800" w:type="dxa"/>
            <w:vAlign w:val="center"/>
          </w:tcPr>
          <w:p>
            <w:pPr>
              <w:pStyle w:val="CompactTableText"/>
              <w:widowControl/>
            </w:pPr>
            <w:r>
              <w:rPr>
                <w:rFonts w:ascii="Calibri" w:hAnsi="Calibri" w:cs="Calibri"/>
              </w:rPr>
              <w:t>Structural Storefront Family Contract</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Planned task owner</w:t>
            </w:r>
          </w:p>
        </w:tc>
        <w:tc>
          <w:tcPr>
            <w:tcW w:w="2500" w:type="dxa"/>
            <w:vAlign w:val="center"/>
          </w:tcPr>
          <w:p>
            <w:pPr>
              <w:pStyle w:val="CompactTableText"/>
              <w:widowControl/>
            </w:pPr>
            <w:r>
              <w:rPr>
                <w:rFonts w:ascii="Calibri" w:hAnsi="Calibri" w:cs="Calibri"/>
              </w:rPr>
              <w:t>Accepted P10B-19 PRE</w:t>
            </w:r>
          </w:p>
        </w:tc>
        <w:tc>
          <w:tcPr>
            <w:tcW w:w="2890" w:type="dxa"/>
            <w:vAlign w:val="center"/>
          </w:tcPr>
          <w:p>
            <w:pPr>
              <w:pStyle w:val="CompactTableText"/>
              <w:widowControl/>
            </w:pPr>
            <w:r>
              <w:rPr>
                <w:rFonts w:ascii="Calibri" w:hAnsi="Calibri" w:cs="Calibri"/>
              </w:rPr>
              <w:t>Versioned family and PageBlueprint v2 contracts, registry, topology identity, deterministic selection, and v1 compatibility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P10B-19A-01</w:t>
            </w:r>
          </w:p>
        </w:tc>
        <w:tc>
          <w:tcPr>
            <w:tcW w:w="2800" w:type="dxa"/>
            <w:vAlign w:val="center"/>
          </w:tcPr>
          <w:p>
            <w:pPr>
              <w:pStyle w:val="CompactTableText"/>
              <w:widowControl/>
            </w:pPr>
            <w:r>
              <w:rPr>
                <w:rFonts w:ascii="Calibri" w:hAnsi="Calibri" w:cs="Calibri"/>
              </w:rPr>
              <w:t>Structural family identity and lifecycle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DEVX-01 closed</w:t>
            </w:r>
          </w:p>
        </w:tc>
        <w:tc>
          <w:tcPr>
            <w:tcW w:w="2890" w:type="dxa"/>
            <w:vAlign w:val="center"/>
          </w:tcPr>
          <w:p>
            <w:pPr>
              <w:pStyle w:val="CompactTableText"/>
              <w:widowControl/>
            </w:pPr>
            <w:r>
              <w:rPr>
                <w:rFonts w:ascii="Calibri" w:hAnsi="Calibri" w:cs="Calibri"/>
              </w:rPr>
              <w:t>Exact six-ID vocabulary, supported-major-v1 versions, immutable identity, lifecycle transitions, selectability, and no registry or current-generation wiring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P10B-19A-02</w:t>
            </w:r>
          </w:p>
        </w:tc>
        <w:tc>
          <w:tcPr>
            <w:tcW w:w="2800" w:type="dxa"/>
            <w:vAlign w:val="center"/>
          </w:tcPr>
          <w:p>
            <w:pPr>
              <w:pStyle w:val="CompactTableText"/>
              <w:widowControl/>
            </w:pPr>
            <w:r>
              <w:rPr>
                <w:rFonts w:ascii="Calibri" w:hAnsi="Calibri" w:cs="Calibri"/>
              </w:rPr>
              <w:t>Cross-Page Structural Relationship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merged</w:t>
            </w:r>
          </w:p>
        </w:tc>
        <w:tc>
          <w:tcPr>
            <w:tcW w:w="2890" w:type="dxa"/>
            <w:vAlign w:val="center"/>
          </w:tcPr>
          <w:p>
            <w:pPr>
              <w:pStyle w:val="CompactTableText"/>
              <w:widowControl/>
            </w:pPr>
            <w:r>
              <w:rPr>
                <w:rFonts w:ascii="Calibri" w:hAnsi="Calibri" w:cs="Calibri"/>
              </w:rPr>
              <w:t>Exact six-role and seven-kind directed relationship vocabulary, strict immutable value object, deterministic key, duplicate rejection and canonical collection order; zero records or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P10B-19A-03</w:t>
            </w:r>
          </w:p>
        </w:tc>
        <w:tc>
          <w:tcPr>
            <w:tcW w:w="2800" w:type="dxa"/>
            <w:vAlign w:val="center"/>
          </w:tcPr>
          <w:p>
            <w:pPr>
              <w:pStyle w:val="CompactTableText"/>
              <w:widowControl/>
            </w:pPr>
            <w:r>
              <w:rPr>
                <w:rFonts w:ascii="Calibri" w:hAnsi="Calibri" w:cs="Calibri"/>
              </w:rPr>
              <w:t>Required page structures and PageBlueprint v2 dispatch</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P10B-19A-02 merged</w:t>
            </w:r>
          </w:p>
        </w:tc>
        <w:tc>
          <w:tcPr>
            <w:tcW w:w="2890" w:type="dxa"/>
            <w:vAlign w:val="center"/>
          </w:tcPr>
          <w:p>
            <w:pPr>
              <w:pStyle w:val="CompactTableText"/>
              <w:widowControl/>
            </w:pPr>
            <w:r>
              <w:rPr>
                <w:rFonts w:ascii="Calibri" w:hAnsi="Calibri" w:cs="Calibri"/>
              </w:rPr>
              <w:t>Explicit v1/v2 contract dispatch, strict inactive v2 regions, minimum roles, bounded graph/order invariants and deterministic canonicalization; zero v2 records, registry, persistence or consumers</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P10B-19A-04</w:t>
            </w:r>
          </w:p>
        </w:tc>
        <w:tc>
          <w:tcPr>
            <w:tcW w:w="2800" w:type="dxa"/>
            <w:vAlign w:val="center"/>
          </w:tcPr>
          <w:p>
            <w:pPr>
              <w:pStyle w:val="CompactTableText"/>
              <w:widowControl/>
            </w:pPr>
            <w:r>
              <w:rPr>
                <w:rFonts w:ascii="Calibri" w:hAnsi="Calibri" w:cs="Calibri"/>
              </w:rPr>
              <w:t>Asset-Role Compatibility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P10B-19A-03 merged</w:t>
            </w:r>
          </w:p>
        </w:tc>
        <w:tc>
          <w:tcPr>
            <w:tcW w:w="2890" w:type="dxa"/>
            <w:vAlign w:val="center"/>
          </w:tcPr>
          <w:p>
            <w:pPr>
              <w:pStyle w:val="CompactTableText"/>
              <w:widowControl/>
            </w:pPr>
            <w:r>
              <w:rPr>
                <w:rFonts w:ascii="Calibri" w:hAnsi="Calibri" w:cs="Calibri"/>
              </w:rPr>
              <w:t>Exact ordered nine-role authority, strict blueprint/region binding, bounded per-role cardinality and deterministic canonicalization;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P10B-19A-05</w:t>
            </w:r>
          </w:p>
        </w:tc>
        <w:tc>
          <w:tcPr>
            <w:tcW w:w="2800" w:type="dxa"/>
            <w:vAlign w:val="center"/>
          </w:tcPr>
          <w:p>
            <w:pPr>
              <w:pStyle w:val="CompactTableText"/>
              <w:widowControl/>
            </w:pPr>
            <w:r>
              <w:rPr>
                <w:rFonts w:ascii="Calibri" w:hAnsi="Calibri" w:cs="Calibri"/>
              </w:rPr>
              <w:t>Responsive-Rule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P10B-19A-04 merged</w:t>
            </w:r>
          </w:p>
        </w:tc>
        <w:tc>
          <w:tcPr>
            <w:tcW w:w="2890" w:type="dxa"/>
            <w:vAlign w:val="center"/>
          </w:tcPr>
          <w:p>
            <w:pPr>
              <w:pStyle w:val="CompactTableText"/>
              <w:widowControl/>
            </w:pPr>
            <w:r>
              <w:rPr>
                <w:rFonts w:ascii="Calibri" w:hAnsi="Calibri" w:cs="Calibri"/>
              </w:rPr>
              <w:t>Strict four-breakpoint structural responsive contract, explicit order/region/relationship coverage and deterministic accessible canonicalization;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P10B-19A-06</w:t>
            </w:r>
          </w:p>
        </w:tc>
        <w:tc>
          <w:tcPr>
            <w:tcW w:w="2800" w:type="dxa"/>
            <w:vAlign w:val="center"/>
          </w:tcPr>
          <w:p>
            <w:pPr>
              <w:pStyle w:val="CompactTableText"/>
              <w:widowControl/>
            </w:pPr>
            <w:r>
              <w:rPr>
                <w:rFonts w:ascii="Calibri" w:hAnsi="Calibri" w:cs="Calibri"/>
              </w:rPr>
              <w:t>Omission, Substitution and Fallback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P10B-19A-05 merged</w:t>
            </w:r>
          </w:p>
        </w:tc>
        <w:tc>
          <w:tcPr>
            <w:tcW w:w="2890" w:type="dxa"/>
            <w:vAlign w:val="center"/>
          </w:tcPr>
          <w:p>
            <w:pPr>
              <w:pStyle w:val="CompactTableText"/>
              <w:widowControl/>
            </w:pPr>
            <w:r>
              <w:rPr>
                <w:rFonts w:ascii="Calibri" w:hAnsi="Calibri" w:cs="Calibri"/>
              </w:rPr>
              <w:t>Strict required-asset-role trigger coverage, safe optional omission and ordered whole-blueprint substitution references;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P10B-19A-07</w:t>
            </w:r>
          </w:p>
        </w:tc>
        <w:tc>
          <w:tcPr>
            <w:tcW w:w="2800" w:type="dxa"/>
            <w:vAlign w:val="center"/>
          </w:tcPr>
          <w:p>
            <w:pPr>
              <w:pStyle w:val="CompactTableText"/>
              <w:widowControl/>
            </w:pPr>
            <w:r>
              <w:rPr>
                <w:rFonts w:ascii="Calibri" w:hAnsi="Calibri" w:cs="Calibri"/>
              </w:rPr>
              <w:t>Inactive Family Registry and Candidate Fingerprints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through P10B-19A-06 merged</w:t>
            </w:r>
          </w:p>
        </w:tc>
        <w:tc>
          <w:tcPr>
            <w:tcW w:w="2890" w:type="dxa"/>
            <w:vAlign w:val="center"/>
          </w:tcPr>
          <w:p>
            <w:pPr>
              <w:pStyle w:val="CompactTableText"/>
              <w:widowControl/>
            </w:pPr>
            <w:r>
              <w:rPr>
                <w:rFonts w:ascii="Calibri" w:hAnsi="Calibri" w:cs="Calibri"/>
              </w:rPr>
              <w:t>Exact candidate composition/fingerprints; six A-02 profiles; resolved same-family A-06 targets and acyclic substitutions; sole production registry exactly empty; zero records, selection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w:t>
            </w:r>
          </w:p>
        </w:tc>
        <w:tc>
          <w:tcPr>
            <w:tcW w:w="2800" w:type="dxa"/>
            <w:vAlign w:val="center"/>
          </w:tcPr>
          <w:p>
            <w:pPr>
              <w:pStyle w:val="CompactTableText"/>
              <w:widowControl/>
            </w:pPr>
            <w:r>
              <w:rPr>
                <w:rFonts w:ascii="Calibri" w:hAnsi="Calibri" w:cs="Calibri"/>
              </w:rPr>
              <w:t>Compatibility, Deterministic Selection and Normalized Topology Identity</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P10B-19A-07 merged</w:t>
            </w:r>
          </w:p>
        </w:tc>
        <w:tc>
          <w:tcPr>
            <w:tcW w:w="2890" w:type="dxa"/>
            <w:vAlign w:val="center"/>
          </w:tcPr>
          <w:p>
            <w:pPr>
              <w:pStyle w:val="CompactTableText"/>
              <w:widowControl/>
            </w:pPr>
            <w:r>
              <w:rPr>
                <w:rFonts w:ascii="Calibri" w:hAnsi="Calibri" w:cs="Calibri"/>
              </w:rPr>
              <w:t>Delivery-only A-08A/A-08B/A-08C sequence completes normalized identity, compatibility and deterministic selection with empty production/runtime authority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P10B-19A-08A</w:t>
            </w:r>
          </w:p>
        </w:tc>
        <w:tc>
          <w:tcPr>
            <w:tcW w:w="2800" w:type="dxa"/>
            <w:vAlign w:val="center"/>
          </w:tcPr>
          <w:p>
            <w:pPr>
              <w:pStyle w:val="CompactTableText"/>
              <w:widowControl/>
            </w:pPr>
            <w:r>
              <w:rPr>
                <w:rFonts w:ascii="Calibri" w:hAnsi="Calibri" w:cs="Calibri"/>
              </w:rPr>
              <w:t>Normalized Topology Identity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P10B-19A-07 merged</w:t>
            </w:r>
          </w:p>
        </w:tc>
        <w:tc>
          <w:tcPr>
            <w:tcW w:w="2890" w:type="dxa"/>
            <w:vAlign w:val="center"/>
          </w:tcPr>
          <w:p>
            <w:pPr>
              <w:pStyle w:val="CompactTableText"/>
              <w:widowControl/>
            </w:pPr>
            <w:r>
              <w:rPr>
                <w:rFonts w:ascii="Calibri" w:hAnsi="Calibri" w:cs="Calibri"/>
              </w:rPr>
              <w:t>Strict normalized page/family topology identity and pure inactive duplicate index; zero production records, compatibility, selection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P10B-19A-08B</w:t>
            </w:r>
          </w:p>
        </w:tc>
        <w:tc>
          <w:tcPr>
            <w:tcW w:w="2800" w:type="dxa"/>
            <w:vAlign w:val="center"/>
          </w:tcPr>
          <w:p>
            <w:pPr>
              <w:pStyle w:val="CompactTableText"/>
              <w:widowControl/>
            </w:pPr>
            <w:r>
              <w:rPr>
                <w:rFonts w:ascii="Calibri" w:hAnsi="Calibri" w:cs="Calibri"/>
              </w:rPr>
              <w:t>Candidate Compatibility Contract and Evaluation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P10B-19A-08A merged</w:t>
            </w:r>
          </w:p>
        </w:tc>
        <w:tc>
          <w:tcPr>
            <w:tcW w:w="2890" w:type="dxa"/>
            <w:vAlign w:val="center"/>
          </w:tcPr>
          <w:p>
            <w:pPr>
              <w:pStyle w:val="CompactTableText"/>
              <w:widowControl/>
            </w:pPr>
            <w:r>
              <w:rPr>
                <w:rFonts w:ascii="Calibri" w:hAnsi="Calibri" w:cs="Calibri"/>
              </w:rPr>
              <w:t>Strict transient context/profile contracts and deterministic PageBlueprint/family compatibility evaluation; empty production authority and no selection or runtime reach</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P10B-19A-08C</w:t>
            </w:r>
          </w:p>
        </w:tc>
        <w:tc>
          <w:tcPr>
            <w:tcW w:w="2800" w:type="dxa"/>
            <w:vAlign w:val="center"/>
          </w:tcPr>
          <w:p>
            <w:pPr>
              <w:pStyle w:val="CompactTableText"/>
              <w:widowControl/>
            </w:pPr>
            <w:r>
              <w:rPr>
                <w:rFonts w:ascii="Calibri" w:hAnsi="Calibri" w:cs="Calibri"/>
              </w:rPr>
              <w:t>Deterministic Candidate Selection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P10B-19A-08B merged</w:t>
            </w:r>
          </w:p>
        </w:tc>
        <w:tc>
          <w:tcPr>
            <w:tcW w:w="2890" w:type="dxa"/>
            <w:vAlign w:val="center"/>
          </w:tcPr>
          <w:p>
            <w:pPr>
              <w:pStyle w:val="CompactTableText"/>
              <w:widowControl/>
            </w:pPr>
            <w:r>
              <w:rPr>
                <w:rFonts w:ascii="Calibri" w:hAnsi="Calibri" w:cs="Calibri"/>
              </w:rPr>
              <w:t>Strict scoring-free six-page selection, bounded topology exclusions, immutable replayed receipts and zero production/runtime reach</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w:t>
            </w:r>
          </w:p>
        </w:tc>
        <w:tc>
          <w:tcPr>
            <w:tcW w:w="2800" w:type="dxa"/>
            <w:vAlign w:val="center"/>
          </w:tcPr>
          <w:p>
            <w:pPr>
              <w:pStyle w:val="CompactTableText"/>
              <w:widowControl/>
            </w:pPr>
            <w:r>
              <w:rPr>
                <w:rFonts w:ascii="Calibri" w:hAnsi="Calibri" w:cs="Calibri"/>
              </w:rPr>
              <w:t>v1 read/render/migration/publication compatibility</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P10B-19A-08C merged</w:t>
            </w:r>
          </w:p>
        </w:tc>
        <w:tc>
          <w:tcPr>
            <w:tcW w:w="2890" w:type="dxa"/>
            <w:vAlign w:val="center"/>
          </w:tcPr>
          <w:p>
            <w:pPr>
              <w:pStyle w:val="CompactTableText"/>
              <w:widowControl/>
            </w:pPr>
            <w:r>
              <w:rPr>
                <w:rFonts w:ascii="Calibri" w:hAnsi="Calibri" w:cs="Calibri"/>
              </w:rPr>
              <w:t>A-09A identity, A-09B read/render replay and A-09C publication replay complete the accepted v1 compatibility outcome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P10B-19A-09A</w:t>
            </w:r>
          </w:p>
        </w:tc>
        <w:tc>
          <w:tcPr>
            <w:tcW w:w="2800" w:type="dxa"/>
            <w:vAlign w:val="center"/>
          </w:tcPr>
          <w:p>
            <w:pPr>
              <w:pStyle w:val="CompactTableText"/>
              <w:widowControl/>
            </w:pPr>
            <w:r>
              <w:rPr>
                <w:rFonts w:ascii="Calibri" w:hAnsi="Calibri" w:cs="Calibri"/>
              </w:rPr>
              <w:t>Legacy v1 Replay Alias and Compatibility Reference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P10B-19A-08C merged</w:t>
            </w:r>
          </w:p>
        </w:tc>
        <w:tc>
          <w:tcPr>
            <w:tcW w:w="2890" w:type="dxa"/>
            <w:vAlign w:val="center"/>
          </w:tcPr>
          <w:p>
            <w:pPr>
              <w:pStyle w:val="CompactTableText"/>
              <w:widowControl/>
            </w:pPr>
            <w:r>
              <w:rPr>
                <w:rFonts w:ascii="Calibri" w:hAnsi="Calibri" w:cs="Calibri"/>
              </w:rPr>
              <w:t>Exact three opaque aliases, current 1.1.0 direction binding, strict v1 narrowing replay identity, selectionId exclusion and fail-closed stale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P10B-19A-09B</w:t>
            </w:r>
          </w:p>
        </w:tc>
        <w:tc>
          <w:tcPr>
            <w:tcW w:w="2800" w:type="dxa"/>
            <w:vAlign w:val="center"/>
          </w:tcPr>
          <w:p>
            <w:pPr>
              <w:pStyle w:val="CompactTableText"/>
              <w:widowControl/>
            </w:pPr>
            <w:r>
              <w:rPr>
                <w:rFonts w:ascii="Calibri" w:hAnsi="Calibri" w:cs="Calibri"/>
              </w:rPr>
              <w:t>Historical v1 Snapshot Read and Render Replay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P10B-19A-09A merged</w:t>
            </w:r>
          </w:p>
        </w:tc>
        <w:tc>
          <w:tcPr>
            <w:tcW w:w="2890" w:type="dxa"/>
            <w:vAlign w:val="center"/>
          </w:tcPr>
          <w:p>
            <w:pPr>
              <w:pStyle w:val="CompactTableText"/>
              <w:widowControl/>
            </w:pPr>
            <w:r>
              <w:rPr>
                <w:rFonts w:ascii="Calibri" w:hAnsi="Calibri" w:cs="Calibri"/>
              </w:rPr>
              <w:t>Strict read-only canonical validation, exact-bound or readable-unattributed receipts, seven verified/seven unverified fields and 36/36 current-renderer replay with zero writes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P10B-19A-09C</w:t>
            </w:r>
          </w:p>
        </w:tc>
        <w:tc>
          <w:tcPr>
            <w:tcW w:w="2800" w:type="dxa"/>
            <w:vAlign w:val="center"/>
          </w:tcPr>
          <w:p>
            <w:pPr>
              <w:pStyle w:val="CompactTableText"/>
              <w:widowControl/>
            </w:pPr>
            <w:r>
              <w:rPr>
                <w:rFonts w:ascii="Calibri" w:hAnsi="Calibri" w:cs="Calibri"/>
              </w:rPr>
              <w:t>Publication Replay and A-09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P10B-19A-09B merged</w:t>
            </w:r>
          </w:p>
        </w:tc>
        <w:tc>
          <w:tcPr>
            <w:tcW w:w="2890" w:type="dxa"/>
            <w:vAlign w:val="center"/>
          </w:tcPr>
          <w:p>
            <w:pPr>
              <w:pStyle w:val="CompactTableText"/>
              <w:widowControl/>
            </w:pPr>
            <w:r>
              <w:rPr>
                <w:rFonts w:ascii="Calibri" w:hAnsi="Calibri" w:cs="Calibri"/>
              </w:rPr>
              <w:t>Current compiler/manual-source replay, A-09B binding, three atomic confirmations, active-version integrity, and 36/36 published plus 36/36 normalized Preview parity observations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w:t>
            </w:r>
          </w:p>
        </w:tc>
        <w:tc>
          <w:tcPr>
            <w:tcW w:w="2800" w:type="dxa"/>
            <w:vAlign w:val="center"/>
          </w:tcPr>
          <w:p>
            <w:pPr>
              <w:pStyle w:val="CompactTableText"/>
              <w:widowControl/>
            </w:pPr>
            <w:r>
              <w:rPr>
                <w:rFonts w:ascii="Calibri" w:hAnsi="Calibri" w:cs="Calibri"/>
              </w:rPr>
              <w:t>Retained matrices, integration and P10B-19A closure</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P10B-19A-09C merged</w:t>
            </w:r>
          </w:p>
        </w:tc>
        <w:tc>
          <w:tcPr>
            <w:tcW w:w="2890" w:type="dxa"/>
            <w:vAlign w:val="center"/>
          </w:tcPr>
          <w:p>
            <w:pPr>
              <w:pStyle w:val="CompactTableText"/>
              <w:widowControl/>
            </w:pPr>
            <w:r>
              <w:rPr>
                <w:rFonts w:ascii="Calibri" w:hAnsi="Calibri" w:cs="Calibri"/>
              </w:rPr>
              <w:t>A-10A and A-10B complete; A-10C remains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P10B-19A-10A</w:t>
            </w:r>
          </w:p>
        </w:tc>
        <w:tc>
          <w:tcPr>
            <w:tcW w:w="2800" w:type="dxa"/>
            <w:vAlign w:val="center"/>
          </w:tcPr>
          <w:p>
            <w:pPr>
              <w:pStyle w:val="CompactTableText"/>
              <w:widowControl/>
            </w:pPr>
            <w:r>
              <w:rPr>
                <w:rFonts w:ascii="Calibri" w:hAnsi="Calibri" w:cs="Calibri"/>
              </w:rPr>
              <w:t>Retained Matrix Inventory and Frozen Baseline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P10B-19A-09C merged</w:t>
            </w:r>
          </w:p>
        </w:tc>
        <w:tc>
          <w:tcPr>
            <w:tcW w:w="2890" w:type="dxa"/>
            <w:vAlign w:val="center"/>
          </w:tcPr>
          <w:p>
            <w:pPr>
              <w:pStyle w:val="CompactTableText"/>
              <w:widowControl/>
            </w:pPr>
            <w:r>
              <w:rPr>
                <w:rFonts w:ascii="Calibri" w:hAnsi="Calibri" w:cs="Calibri"/>
              </w:rPr>
              <w:t>24 explicit gates, exact 126/72 and A-09 metrics, 76 protected hashes, nine inactivity zeroes and dynamic CI discovery; zero production changes</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w:t>
            </w:r>
          </w:p>
        </w:tc>
        <w:tc>
          <w:tcPr>
            <w:tcW w:w="2800" w:type="dxa"/>
            <w:vAlign w:val="center"/>
          </w:tcPr>
          <w:p>
            <w:pPr>
              <w:pStyle w:val="CompactTableText"/>
              <w:widowControl/>
            </w:pPr>
            <w:r>
              <w:rPr>
                <w:rFonts w:ascii="Calibri" w:hAnsi="Calibri" w:cs="Calibri"/>
              </w:rPr>
              <w:t>Cross-Authority Integration and Failure Matrix</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P10B-19A-10A merged</w:t>
            </w:r>
          </w:p>
        </w:tc>
        <w:tc>
          <w:tcPr>
            <w:tcW w:w="2890" w:type="dxa"/>
            <w:vAlign w:val="center"/>
          </w:tcPr>
          <w:p>
            <w:pPr>
              <w:pStyle w:val="CompactTableText"/>
              <w:widowControl/>
            </w:pPr>
            <w:r>
              <w:rPr>
                <w:rFonts w:ascii="Calibri" w:hAnsi="Calibri" w:cs="Calibri"/>
              </w:rPr>
              <w:t>A-10B1 positive integration and A-10B2 exact 36-case fail-closed matrix complete;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P10B-19A-10B1</w:t>
            </w:r>
          </w:p>
        </w:tc>
        <w:tc>
          <w:tcPr>
            <w:tcW w:w="2800" w:type="dxa"/>
            <w:vAlign w:val="center"/>
          </w:tcPr>
          <w:p>
            <w:pPr>
              <w:pStyle w:val="CompactTableText"/>
              <w:widowControl/>
            </w:pPr>
            <w:r>
              <w:rPr>
                <w:rFonts w:ascii="Calibri" w:hAnsi="Calibri" w:cs="Calibri"/>
              </w:rPr>
              <w:t>Positive Cross-Authority Integration Matrix</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P10B-19A-10A merged</w:t>
            </w:r>
          </w:p>
        </w:tc>
        <w:tc>
          <w:tcPr>
            <w:tcW w:w="2890" w:type="dxa"/>
            <w:vAlign w:val="center"/>
          </w:tcPr>
          <w:p>
            <w:pPr>
              <w:pStyle w:val="CompactTableText"/>
              <w:widowControl/>
            </w:pPr>
            <w:r>
              <w:rPr>
                <w:rFonts w:ascii="Calibri" w:hAnsi="Calibri" w:cs="Calibri"/>
              </w:rPr>
              <w:t>8 PageBlueprint candidates; 6 family candidates; 6 profiles; 3 contexts; 3 topology groups × 2 identities; 6 direct and 3 sequential receipts; A-09/A-10A unchanged;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P10B-19A-10B2</w:t>
            </w:r>
          </w:p>
        </w:tc>
        <w:tc>
          <w:tcPr>
            <w:tcW w:w="2800" w:type="dxa"/>
            <w:vAlign w:val="center"/>
          </w:tcPr>
          <w:p>
            <w:pPr>
              <w:pStyle w:val="CompactTableText"/>
              <w:widowControl/>
            </w:pPr>
            <w:r>
              <w:rPr>
                <w:rFonts w:ascii="Calibri" w:hAnsi="Calibri" w:cs="Calibri"/>
              </w:rPr>
              <w:t>Fail-Closed Cross-Authority Failure Matrix and A-10B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P10B-19A-10B1 merged</w:t>
            </w:r>
          </w:p>
        </w:tc>
        <w:tc>
          <w:tcPr>
            <w:tcW w:w="2890" w:type="dxa"/>
            <w:vAlign w:val="center"/>
          </w:tcPr>
          <w:p>
            <w:pPr>
              <w:pStyle w:val="CompactTableText"/>
              <w:widowControl/>
            </w:pPr>
            <w:r>
              <w:rPr>
                <w:rFonts w:ascii="Calibri" w:hAnsi="Calibri" w:cs="Calibri"/>
              </w:rPr>
              <w:t>36 exact ordered failures; owner/phase isolation; no partial output or source mutation; four strict legacy/v2 rejections; A-10A/B1 unchanged;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P10B-19A-10C</w:t>
            </w:r>
          </w:p>
        </w:tc>
        <w:tc>
          <w:tcPr>
            <w:tcW w:w="2800" w:type="dxa"/>
            <w:vAlign w:val="center"/>
          </w:tcPr>
          <w:p>
            <w:pPr>
              <w:pStyle w:val="CompactTableText"/>
              <w:widowControl/>
            </w:pPr>
            <w:r>
              <w:rPr>
                <w:rFonts w:ascii="Calibri" w:hAnsi="Calibri" w:cs="Calibri"/>
              </w:rPr>
              <w:t>P10B-19A Closure and Product-Owner Architecture Gate</w:t>
            </w:r>
          </w:p>
        </w:tc>
        <w:tc>
          <w:tcPr>
            <w:tcW w:w="850" w:type="dxa"/>
            <w:vAlign w:val="center"/>
          </w:tcPr>
          <w:p>
            <w:pPr>
              <w:pStyle w:val="CompactTableText"/>
              <w:jc w:val="center"/>
              <w:widowControl/>
            </w:pPr>
            <w:r>
              <w:rPr>
                <w:rFonts w:ascii="Calibri" w:hAnsi="Calibri" w:cs="Calibri"/>
                <w:b/>
                <w:bCs/>
              </w:rPr>
              <w:t>Planned / exact next</w:t>
            </w:r>
          </w:p>
        </w:tc>
        <w:tc>
          <w:tcPr>
            <w:tcW w:w="1500" w:type="dxa"/>
            <w:vAlign w:val="center"/>
          </w:tcPr>
          <w:p>
            <w:pPr>
              <w:pStyle w:val="CompactTableText"/>
              <w:widowControl/>
            </w:pPr>
            <w:r>
              <w:rPr>
                <w:rFonts w:ascii="Calibri" w:hAnsi="Calibri" w:cs="Calibri"/>
              </w:rPr>
              <w:t>Planned task owner</w:t>
            </w:r>
          </w:p>
        </w:tc>
        <w:tc>
          <w:tcPr>
            <w:tcW w:w="2500" w:type="dxa"/>
            <w:vAlign w:val="center"/>
          </w:tcPr>
          <w:p>
            <w:pPr>
              <w:pStyle w:val="CompactTableText"/>
              <w:widowControl/>
            </w:pPr>
            <w:r>
              <w:rPr>
                <w:rFonts w:ascii="Calibri" w:hAnsi="Calibri" w:cs="Calibri"/>
              </w:rPr>
              <w:t>P10B-19A-10B2 merged</w:t>
            </w:r>
          </w:p>
        </w:tc>
        <w:tc>
          <w:tcPr>
            <w:tcW w:w="2890" w:type="dxa"/>
            <w:vAlign w:val="center"/>
          </w:tcPr>
          <w:p>
            <w:pPr>
              <w:pStyle w:val="CompactTableText"/>
              <w:widowControl/>
            </w:pPr>
            <w:r>
              <w:rPr>
                <w:rFonts w:ascii="Calibri" w:hAnsi="Calibri" w:cs="Calibri"/>
              </w:rPr>
              <w:t>Complete retained execution, closure report and explicit product-owner architecture gate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P10B-19B-01</w:t>
            </w:r>
          </w:p>
        </w:tc>
        <w:tc>
          <w:tcPr>
            <w:tcW w:w="2800" w:type="dxa"/>
            <w:vAlign w:val="center"/>
          </w:tcPr>
          <w:p>
            <w:pPr>
              <w:pStyle w:val="CompactTableText"/>
              <w:widowControl/>
            </w:pPr>
            <w:r>
              <w:rPr>
                <w:rFonts w:ascii="Calibri" w:hAnsi="Calibri" w:cs="Calibri"/>
              </w:rPr>
              <w:t>First Visual Recipe child</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Planned task owner</w:t>
            </w:r>
          </w:p>
        </w:tc>
        <w:tc>
          <w:tcPr>
            <w:tcW w:w="2500" w:type="dxa"/>
            <w:vAlign w:val="center"/>
          </w:tcPr>
          <w:p>
            <w:pPr>
              <w:pStyle w:val="CompactTableText"/>
              <w:widowControl/>
            </w:pPr>
            <w:r>
              <w:rPr>
                <w:rFonts w:ascii="Calibri" w:hAnsi="Calibri" w:cs="Calibri"/>
              </w:rPr>
              <w:t>P10B-19A-10C merged</w:t>
            </w:r>
          </w:p>
        </w:tc>
        <w:tc>
          <w:tcPr>
            <w:tcW w:w="2890" w:type="dxa"/>
            <w:vAlign w:val="center"/>
          </w:tcPr>
          <w:p>
            <w:pPr>
              <w:pStyle w:val="CompactTableText"/>
              <w:widowControl/>
            </w:pPr>
            <w:r>
              <w:rPr>
                <w:rFonts w:ascii="Calibri" w:hAnsi="Calibri" w:cs="Calibri"/>
              </w:rPr>
              <w:t>Begin only after parent P10B-19A closes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P10B-19B-J</w:t>
            </w:r>
          </w:p>
        </w:tc>
        <w:tc>
          <w:tcPr>
            <w:tcW w:w="2800" w:type="dxa"/>
            <w:vAlign w:val="center"/>
          </w:tcPr>
          <w:p>
            <w:pPr>
              <w:pStyle w:val="CompactTableText"/>
              <w:widowControl/>
            </w:pPr>
            <w:r>
              <w:rPr>
                <w:rFonts w:ascii="Calibri" w:hAnsi="Calibri" w:cs="Calibri"/>
              </w:rPr>
              <w:t>Remaining Structural Design Intelligence sequence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Planned task owners</w:t>
            </w:r>
          </w:p>
        </w:tc>
        <w:tc>
          <w:tcPr>
            <w:tcW w:w="2500" w:type="dxa"/>
            <w:vAlign w:val="center"/>
          </w:tcPr>
          <w:p>
            <w:pPr>
              <w:pStyle w:val="CompactTableText"/>
              <w:widowControl/>
            </w:pPr>
            <w:r>
              <w:rPr>
                <w:rFonts w:ascii="Calibri" w:hAnsi="Calibri" w:cs="Calibri"/>
              </w:rPr>
              <w:t>Accepted P10B-19 PRE and package sequence</w:t>
            </w:r>
          </w:p>
        </w:tc>
        <w:tc>
          <w:tcPr>
            <w:tcW w:w="2890" w:type="dxa"/>
            <w:vAlign w:val="center"/>
          </w:tcPr>
          <w:p>
            <w:pPr>
              <w:pStyle w:val="CompactTableText"/>
              <w:widowControl/>
            </w:pPr>
            <w:r>
              <w:rPr>
                <w:rFonts w:ascii="Calibri" w:hAnsi="Calibri" w:cs="Calibri"/>
              </w:rPr>
              <w:t>Nine package-specific implementation and acceptance tasks</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890" w:type="dxa"/>
            <w:vAlign w:val="center"/>
          </w:tcPr>
          <w:p>
            <w:pPr>
              <w:pStyle w:val="CompactTableText"/>
              <w:widowControl/>
            </w:pPr>
            <w:r>
              <w:rPr>
                <w:rFonts w:ascii="Calibri" w:hAnsi="Calibri" w:cs="Calibri"/>
              </w:rPr>
              <w:t>Contract, integration,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890" w:type="dxa"/>
            <w:vAlign w:val="center"/>
          </w:tcPr>
          <w:p>
            <w:pPr>
              <w:pStyle w:val="CompactTableText"/>
              <w:widowControl/>
            </w:pPr>
            <w:r>
              <w:rPr>
                <w:rFonts w:ascii="Calibri" w:hAnsi="Calibri" w:cs="Calibri"/>
              </w:rPr>
              <w:t>Assignment validation and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890" w:type="dxa"/>
            <w:vAlign w:val="center"/>
          </w:tcPr>
          <w:p>
            <w:pPr>
              <w:pStyle w:val="CompactTableText"/>
              <w:widowControl/>
            </w:pPr>
            <w:r>
              <w:rPr>
                <w:rFonts w:ascii="Calibri" w:hAnsi="Calibri" w:cs="Calibri"/>
              </w:rPr>
              <w:t>Adapter conformance and save/reload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890" w:type="dxa"/>
            <w:vAlign w:val="center"/>
          </w:tcPr>
          <w:p>
            <w:pPr>
              <w:pStyle w:val="CompactTableText"/>
              <w:widowControl/>
            </w:pPr>
            <w:r>
              <w:rPr>
                <w:rFonts w:ascii="Calibri" w:hAnsi="Calibri" w:cs="Calibri"/>
              </w:rPr>
              <w:t>Frame/page scope integration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890" w:type="dxa"/>
            <w:vAlign w:val="center"/>
          </w:tcPr>
          <w:p>
            <w:pPr>
              <w:pStyle w:val="CompactTableText"/>
              <w:widowControl/>
            </w:pPr>
            <w:r>
              <w:rPr>
                <w:rFonts w:ascii="Calibri" w:hAnsi="Calibri" w:cs="Calibri"/>
              </w:rPr>
              <w:t>Positive/fail-closed integration, undo/redo,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890" w:type="dxa"/>
            <w:vAlign w:val="center"/>
          </w:tcPr>
          <w:p>
            <w:pPr>
              <w:pStyle w:val="CompactTableText"/>
              <w:widowControl/>
            </w:pPr>
            <w:r>
              <w:rPr>
                <w:rFonts w:ascii="Calibri" w:hAnsi="Calibri" w:cs="Calibri"/>
              </w:rPr>
              <w:t>Scope, ambiguity, and proposal lifecycle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890" w:type="dxa"/>
            <w:vAlign w:val="center"/>
          </w:tcPr>
          <w:p>
            <w:pPr>
              <w:pStyle w:val="CompactTableText"/>
              <w:widowControl/>
            </w:pPr>
            <w:r>
              <w:rPr>
                <w:rFonts w:ascii="Calibri" w:hAnsi="Calibri" w:cs="Calibri"/>
              </w:rPr>
              <w:t>Mixed-operation atomicity, save/reload, undo/redo</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890" w:type="dxa"/>
            <w:vAlign w:val="center"/>
          </w:tcPr>
          <w:p>
            <w:pPr>
              <w:pStyle w:val="CompactTableText"/>
              <w:widowControl/>
            </w:pPr>
            <w:r>
              <w:rPr>
                <w:rFonts w:ascii="Calibri" w:hAnsi="Calibri" w:cs="Calibri"/>
              </w:rPr>
              <w:t>UI states, responsive accessibility,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8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890" w:type="dxa"/>
            <w:vAlign w:val="center"/>
          </w:tcPr>
          <w:p>
            <w:pPr>
              <w:pStyle w:val="CompactTableText"/>
              <w:widowControl/>
            </w:pPr>
            <w:r>
              <w:rPr>
                <w:rFonts w:ascii="Calibri" w:hAnsi="Calibri" w:cs="Calibri"/>
              </w:rPr>
              <w:t>Contract audit and integration matrix</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890" w:type="dxa"/>
            <w:vAlign w:val="center"/>
          </w:tcPr>
          <w:p>
            <w:pPr>
              <w:pStyle w:val="CompactTableText"/>
              <w:widowControl/>
            </w:pPr>
            <w:r>
              <w:rPr>
                <w:rFonts w:ascii="Calibri" w:hAnsi="Calibri" w:cs="Calibri"/>
              </w:rPr>
              <w:t>Approved typed contracts and ownership record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890" w:type="dxa"/>
            <w:vAlign w:val="center"/>
          </w:tcPr>
          <w:p>
            <w:pPr>
              <w:pStyle w:val="CompactTableText"/>
              <w:widowControl/>
            </w:pPr>
            <w:r>
              <w:rPr>
                <w:rFonts w:ascii="Calibri" w:hAnsi="Calibri" w:cs="Calibri"/>
              </w:rPr>
              <w:t>Auth/tenant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890" w:type="dxa"/>
            <w:vAlign w:val="center"/>
          </w:tcPr>
          <w:p>
            <w:pPr>
              <w:pStyle w:val="CompactTableText"/>
              <w:widowControl/>
            </w:pPr>
            <w:r>
              <w:rPr>
                <w:rFonts w:ascii="Calibri" w:hAnsi="Calibri" w:cs="Calibri"/>
              </w:rPr>
              <w:t>Read-only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890" w:type="dxa"/>
            <w:vAlign w:val="center"/>
          </w:tcPr>
          <w:p>
            <w:pPr>
              <w:pStyle w:val="CompactTableText"/>
              <w:widowControl/>
            </w:pPr>
            <w:r>
              <w:rPr>
                <w:rFonts w:ascii="Calibri" w:hAnsi="Calibri" w:cs="Calibri"/>
              </w:rPr>
              <w:t>Simple/configurable product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890" w:type="dxa"/>
            <w:vAlign w:val="center"/>
          </w:tcPr>
          <w:p>
            <w:pPr>
              <w:pStyle w:val="CompactTableText"/>
              <w:widowControl/>
            </w:pPr>
            <w:r>
              <w:rPr>
                <w:rFonts w:ascii="Calibri" w:hAnsi="Calibri" w:cs="Calibri"/>
              </w:rPr>
              <w:t>Provenance, permissions, lifecycle,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890" w:type="dxa"/>
            <w:vAlign w:val="center"/>
          </w:tcPr>
          <w:p>
            <w:pPr>
              <w:pStyle w:val="CompactTableText"/>
              <w:widowControl/>
            </w:pPr>
            <w:r>
              <w:rPr>
                <w:rFonts w:ascii="Calibri" w:hAnsi="Calibri" w:cs="Calibri"/>
              </w:rPr>
              <w:t>Concurrency and canonical save/reload/restore in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8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890" w:type="dxa"/>
            <w:vAlign w:val="center"/>
          </w:tcPr>
          <w:p>
            <w:pPr>
              <w:pStyle w:val="CompactTableText"/>
              <w:widowControl/>
            </w:pPr>
            <w:r>
              <w:rPr>
                <w:rFonts w:ascii="Calibri" w:hAnsi="Calibri" w:cs="Calibri"/>
              </w:rPr>
              <w:t>Conflict, retry, cache, and recovery integration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890" w:type="dxa"/>
            <w:vAlign w:val="center"/>
          </w:tcPr>
          <w:p>
            <w:pPr>
              <w:pStyle w:val="CompactTableText"/>
              <w:widowControl/>
            </w:pPr>
            <w:r>
              <w:rPr>
                <w:rFonts w:ascii="Calibri" w:hAnsi="Calibri" w:cs="Calibri"/>
              </w:rPr>
              <w:t>Browser/E2E and correlated Vesko staging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8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DEVX-01 - Contract-driven development and CI execution enablement</w:t>
      </w:r>
    </w:p>
    <w:p>
      <w:pPr>
        <w:pStyle w:val="Normal"/>
        <w:widowControl/>
      </w:pPr>
      <w:r>
        <w:rPr>
          <w:rFonts w:ascii="Calibri" w:hAnsi="Calibri" w:cs="Calibri"/>
        </w:rPr>
        <w:t>DEVX-01 establishes bounded independently verified delivery before changing CI execution. It does not alter storefront, generation, commerce, media, persistence, Puck or merchant-visible behavior.</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160"/>
        <w:gridCol w:w="2160"/>
        <w:gridCol w:w="2160"/>
        <w:gridCol w:w="2160"/>
        <w:gridCol w:w="2160"/>
        <w:gridCol w:w="2160"/>
      </w:tblGrid>
      <w:tr>
        <w:trPr>
          <w:tblHeader/>
          <w:cantSplit/>
        </w:trPr>
        <w:tc>
          <w:tcPr>
            <w:tcW w:w="2160" w:type="dxa"/>
            <w:vAlign w:val="center"/>
            <w:shd w:val="clear" w:fill="E8EEF5"/>
          </w:tcPr>
          <w:p>
            <w:pPr>
              <w:pStyle w:val="TableHeader"/>
              <w:jc w:val="center"/>
              <w:widowControl/>
            </w:pPr>
            <w:r>
              <w:rPr>
                <w:rFonts w:ascii="Calibri" w:hAnsi="Calibri" w:cs="Calibri"/>
              </w:rPr>
              <w:t>Task</w:t>
            </w:r>
          </w:p>
        </w:tc>
        <w:tc>
          <w:tcPr>
            <w:tcW w:w="2160" w:type="dxa"/>
            <w:vAlign w:val="center"/>
            <w:shd w:val="clear" w:fill="E8EEF5"/>
          </w:tcPr>
          <w:p>
            <w:pPr>
              <w:pStyle w:val="TableHeader"/>
              <w:jc w:val="center"/>
              <w:widowControl/>
            </w:pPr>
            <w:r>
              <w:rPr>
                <w:rFonts w:ascii="Calibri" w:hAnsi="Calibri" w:cs="Calibri"/>
              </w:rPr>
              <w:t>Outcome</w:t>
            </w:r>
          </w:p>
        </w:tc>
        <w:tc>
          <w:tcPr>
            <w:tcW w:w="2160" w:type="dxa"/>
            <w:vAlign w:val="center"/>
            <w:shd w:val="clear" w:fill="E8EEF5"/>
          </w:tcPr>
          <w:p>
            <w:pPr>
              <w:pStyle w:val="TableHeader"/>
              <w:jc w:val="center"/>
              <w:widowControl/>
            </w:pPr>
            <w:r>
              <w:rPr>
                <w:rFonts w:ascii="Calibri" w:hAnsi="Calibri" w:cs="Calibri"/>
              </w:rPr>
              <w:t>Status</w:t>
            </w:r>
          </w:p>
        </w:tc>
        <w:tc>
          <w:tcPr>
            <w:tcW w:w="2160" w:type="dxa"/>
            <w:vAlign w:val="center"/>
            <w:shd w:val="clear" w:fill="E8EEF5"/>
          </w:tcPr>
          <w:p>
            <w:pPr>
              <w:pStyle w:val="TableHeader"/>
              <w:jc w:val="center"/>
              <w:widowControl/>
            </w:pPr>
            <w:r>
              <w:rPr>
                <w:rFonts w:ascii="Calibri" w:hAnsi="Calibri" w:cs="Calibri"/>
              </w:rPr>
              <w:t>Dependency</w:t>
            </w:r>
          </w:p>
        </w:tc>
        <w:tc>
          <w:tcPr>
            <w:tcW w:w="2160" w:type="dxa"/>
            <w:vAlign w:val="center"/>
            <w:shd w:val="clear" w:fill="E8EEF5"/>
          </w:tcPr>
          <w:p>
            <w:pPr>
              <w:pStyle w:val="TableHeader"/>
              <w:jc w:val="center"/>
              <w:widowControl/>
            </w:pPr>
            <w:r>
              <w:rPr>
                <w:rFonts w:ascii="Calibri" w:hAnsi="Calibri" w:cs="Calibri"/>
              </w:rPr>
              <w:t>Evidence</w:t>
            </w:r>
          </w:p>
        </w:tc>
        <w:tc>
          <w:tcPr>
            <w:tcW w:w="2160" w:type="dxa"/>
            <w:vAlign w:val="center"/>
            <w:shd w:val="clear" w:fill="E8EEF5"/>
          </w:tcPr>
          <w:p>
            <w:pPr>
              <w:pStyle w:val="TableHeader"/>
              <w:jc w:val="center"/>
              <w:widowControl/>
            </w:pPr>
            <w:r>
              <w:rPr>
                <w:rFonts w:ascii="Calibri" w:hAnsi="Calibri" w:cs="Calibri"/>
              </w:rPr>
              <w:t>Non-goal</w:t>
            </w:r>
          </w:p>
        </w:tc>
      </w:tr>
      <w:tr>
        <w:trPr>
          <w:cantSplit/>
        </w:trPr>
        <w:tc>
          <w:tcPr>
            <w:tcW w:w="2160" w:type="dxa"/>
            <w:vAlign w:val="center"/>
          </w:tcPr>
          <w:p>
            <w:pPr>
              <w:pStyle w:val="TableText"/>
              <w:widowControl/>
            </w:pPr>
            <w:r>
              <w:rPr>
                <w:rFonts w:ascii="Calibri" w:hAnsi="Calibri" w:cs="Calibri"/>
              </w:rPr>
              <w:t>DEVX-01A - Sprint contract and independent verification protocol</w:t>
            </w:r>
          </w:p>
        </w:tc>
        <w:tc>
          <w:tcPr>
            <w:tcW w:w="2160" w:type="dxa"/>
            <w:vAlign w:val="center"/>
          </w:tcPr>
          <w:p>
            <w:pPr>
              <w:pStyle w:val="TableText"/>
              <w:widowControl/>
            </w:pPr>
            <w:r>
              <w:rPr>
                <w:rFonts w:ascii="Calibri" w:hAnsi="Calibri" w:cs="Calibri"/>
              </w:rPr>
              <w:t>Establish immutable child-task and verdict schemas, exact roles, architecture-quality decisions, PR budgets, rolling waves and a pre-PR independent verifier</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Accepted P10B-19 PRE</w:t>
            </w:r>
          </w:p>
        </w:tc>
        <w:tc>
          <w:tcPr>
            <w:tcW w:w="2160" w:type="dxa"/>
            <w:vAlign w:val="center"/>
          </w:tcPr>
          <w:p>
            <w:pPr>
              <w:pStyle w:val="TableText"/>
              <w:widowControl/>
            </w:pPr>
            <w:r>
              <w:rPr>
                <w:rFonts w:ascii="Calibri" w:hAnsi="Calibri" w:cs="Calibri"/>
              </w:rPr>
              <w:t>JSON schema/template consistency, docs/tooling checks and independent verifier PASS</w:t>
            </w:r>
          </w:p>
        </w:tc>
        <w:tc>
          <w:tcPr>
            <w:tcW w:w="2160" w:type="dxa"/>
            <w:vAlign w:val="center"/>
          </w:tcPr>
          <w:p>
            <w:pPr>
              <w:pStyle w:val="TableText"/>
              <w:widowControl/>
            </w:pPr>
            <w:r>
              <w:rPr>
                <w:rFonts w:ascii="Calibri" w:hAnsi="Calibri" w:cs="Calibri"/>
              </w:rPr>
              <w:t>Executable verifier or CI changes</w:t>
            </w:r>
          </w:p>
        </w:tc>
      </w:tr>
      <w:tr>
        <w:trPr>
          <w:cantSplit/>
        </w:trPr>
        <w:tc>
          <w:tcPr>
            <w:tcW w:w="2160" w:type="dxa"/>
            <w:vAlign w:val="center"/>
          </w:tcPr>
          <w:p>
            <w:pPr>
              <w:pStyle w:val="TableText"/>
              <w:widowControl/>
            </w:pPr>
            <w:r>
              <w:rPr>
                <w:rFonts w:ascii="Calibri" w:hAnsi="Calibri" w:cs="Calibri"/>
              </w:rPr>
              <w:t>DEVX-01B - Mechanical contract and verifier-verdict enforcement</w:t>
            </w:r>
          </w:p>
        </w:tc>
        <w:tc>
          <w:tcPr>
            <w:tcW w:w="2160" w:type="dxa"/>
            <w:vAlign w:val="center"/>
          </w:tcPr>
          <w:p>
            <w:pPr>
              <w:pStyle w:val="TableText"/>
              <w:widowControl/>
            </w:pPr>
            <w:r>
              <w:rPr>
                <w:rFonts w:ascii="Calibri" w:hAnsi="Calibri" w:cs="Calibri"/>
              </w:rPr>
              <w:t>Enforce identity, paths, budgets, declarations, criterion coverage and terminal verdicts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DEVX-01A</w:t>
            </w:r>
          </w:p>
        </w:tc>
        <w:tc>
          <w:tcPr>
            <w:tcW w:w="2160" w:type="dxa"/>
            <w:vAlign w:val="center"/>
          </w:tcPr>
          <w:p>
            <w:pPr>
              <w:pStyle w:val="TableText"/>
              <w:widowControl/>
            </w:pPr>
            <w:r>
              <w:rPr>
                <w:rFonts w:ascii="Calibri" w:hAnsi="Calibri" w:cs="Calibri"/>
              </w:rPr>
              <w:t>Focused positive/fail-closed contract tests and exact verifier reconciliation</w:t>
            </w:r>
          </w:p>
        </w:tc>
        <w:tc>
          <w:tcPr>
            <w:tcW w:w="2160" w:type="dxa"/>
            <w:vAlign w:val="center"/>
          </w:tcPr>
          <w:p>
            <w:pPr>
              <w:pStyle w:val="TableText"/>
              <w:widowControl/>
            </w:pPr>
            <w:r>
              <w:rPr>
                <w:rFonts w:ascii="Calibri" w:hAnsi="Calibri" w:cs="Calibri"/>
              </w:rPr>
              <w:t>CI parallelization or P10B-19A implementation</w:t>
            </w:r>
          </w:p>
        </w:tc>
      </w:tr>
      <w:tr>
        <w:trPr>
          <w:cantSplit/>
        </w:trPr>
        <w:tc>
          <w:tcPr>
            <w:tcW w:w="2160" w:type="dxa"/>
            <w:vAlign w:val="center"/>
          </w:tcPr>
          <w:p>
            <w:pPr>
              <w:pStyle w:val="TableText"/>
              <w:widowControl/>
            </w:pPr>
            <w:r>
              <w:rPr>
                <w:rFonts w:ascii="Calibri" w:hAnsi="Calibri" w:cs="Calibri"/>
              </w:rPr>
              <w:t>DEVX-01C - CI timings, obsolete-run cancellation and Next build caching</w:t>
            </w:r>
          </w:p>
        </w:tc>
        <w:tc>
          <w:tcPr>
            <w:tcW w:w="2160" w:type="dxa"/>
            <w:vAlign w:val="center"/>
          </w:tcPr>
          <w:p>
            <w:pPr>
              <w:pStyle w:val="TableText"/>
              <w:widowControl/>
            </w:pPr>
            <w:r>
              <w:rPr>
                <w:rFonts w:ascii="Calibri" w:hAnsi="Calibri" w:cs="Calibri"/>
              </w:rPr>
              <w:t>Record timings and add safe cancellation/cache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DEVX-01B</w:t>
            </w:r>
          </w:p>
        </w:tc>
        <w:tc>
          <w:tcPr>
            <w:tcW w:w="2160" w:type="dxa"/>
            <w:vAlign w:val="center"/>
          </w:tcPr>
          <w:p>
            <w:pPr>
              <w:pStyle w:val="TableText"/>
              <w:widowControl/>
            </w:pPr>
            <w:r>
              <w:rPr>
                <w:rFonts w:ascii="Calibri" w:hAnsi="Calibri" w:cs="Calibri"/>
              </w:rPr>
              <w:t>Complete timing artifact, cache authority and static/native cancellation proof</w:t>
            </w:r>
          </w:p>
        </w:tc>
        <w:tc>
          <w:tcPr>
            <w:tcW w:w="2160" w:type="dxa"/>
            <w:vAlign w:val="center"/>
          </w:tcPr>
          <w:p>
            <w:pPr>
              <w:pStyle w:val="TableText"/>
              <w:widowControl/>
            </w:pPr>
            <w:r>
              <w:rPr>
                <w:rFonts w:ascii="Calibri" w:hAnsi="Calibri" w:cs="Calibri"/>
              </w:rPr>
              <w:t>Job sharding</w:t>
            </w:r>
          </w:p>
        </w:tc>
      </w:tr>
      <w:tr>
        <w:trPr>
          <w:cantSplit/>
        </w:trPr>
        <w:tc>
          <w:tcPr>
            <w:tcW w:w="2160" w:type="dxa"/>
            <w:vAlign w:val="center"/>
          </w:tcPr>
          <w:p>
            <w:pPr>
              <w:pStyle w:val="TableText"/>
              <w:widowControl/>
            </w:pPr>
            <w:r>
              <w:rPr>
                <w:rFonts w:ascii="Calibri" w:hAnsi="Calibri" w:cs="Calibri"/>
              </w:rPr>
              <w:t>DEVX-01D - Parallel static, Vitest and production-build jobs</w:t>
            </w:r>
          </w:p>
        </w:tc>
        <w:tc>
          <w:tcPr>
            <w:tcW w:w="2160" w:type="dxa"/>
            <w:vAlign w:val="center"/>
          </w:tcPr>
          <w:p>
            <w:pPr>
              <w:pStyle w:val="TableText"/>
              <w:widowControl/>
            </w:pPr>
            <w:r>
              <w:rPr>
                <w:rFonts w:ascii="Calibri" w:hAnsi="Calibri" w:cs="Calibri"/>
              </w:rPr>
              <w:t>Separate independent CI jobs behind stable required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DEVX-01C</w:t>
            </w:r>
          </w:p>
        </w:tc>
        <w:tc>
          <w:tcPr>
            <w:tcW w:w="2160" w:type="dxa"/>
            <w:vAlign w:val="center"/>
          </w:tcPr>
          <w:p>
            <w:pPr>
              <w:pStyle w:val="TableText"/>
              <w:widowControl/>
            </w:pPr>
            <w:r>
              <w:rPr>
                <w:rFonts w:ascii="Calibri" w:hAnsi="Calibri" w:cs="Calibri"/>
              </w:rPr>
              <w:t>Four profile artifacts, stable aggregate status and failure-propagation proof</w:t>
            </w:r>
          </w:p>
        </w:tc>
        <w:tc>
          <w:tcPr>
            <w:tcW w:w="2160" w:type="dxa"/>
            <w:vAlign w:val="center"/>
          </w:tcPr>
          <w:p>
            <w:pPr>
              <w:pStyle w:val="TableText"/>
              <w:widowControl/>
            </w:pPr>
            <w:r>
              <w:rPr>
                <w:rFonts w:ascii="Calibri" w:hAnsi="Calibri" w:cs="Calibri"/>
              </w:rPr>
              <w:t>Playwright sharding</w:t>
            </w:r>
          </w:p>
        </w:tc>
      </w:tr>
      <w:tr>
        <w:trPr>
          <w:cantSplit/>
        </w:trPr>
        <w:tc>
          <w:tcPr>
            <w:tcW w:w="2160" w:type="dxa"/>
            <w:vAlign w:val="center"/>
          </w:tcPr>
          <w:p>
            <w:pPr>
              <w:pStyle w:val="TableText"/>
              <w:widowControl/>
            </w:pPr>
            <w:r>
              <w:rPr>
                <w:rFonts w:ascii="Calibri" w:hAnsi="Calibri" w:cs="Calibri"/>
              </w:rPr>
              <w:t>DEVX-01E - Playwright timing inventory and balanced execution groups</w:t>
            </w:r>
          </w:p>
        </w:tc>
        <w:tc>
          <w:tcPr>
            <w:tcW w:w="2160" w:type="dxa"/>
            <w:vAlign w:val="center"/>
          </w:tcPr>
          <w:p>
            <w:pPr>
              <w:pStyle w:val="TableText"/>
              <w:widowControl/>
            </w:pPr>
            <w:r>
              <w:rPr>
                <w:rFonts w:ascii="Calibri" w:hAnsi="Calibri" w:cs="Calibri"/>
              </w:rPr>
              <w:t>Measure retained browser suites and define balanced groups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DEVX-01D</w:t>
            </w:r>
          </w:p>
        </w:tc>
        <w:tc>
          <w:tcPr>
            <w:tcW w:w="2160" w:type="dxa"/>
            <w:vAlign w:val="center"/>
          </w:tcPr>
          <w:p>
            <w:pPr>
              <w:pStyle w:val="TableText"/>
              <w:widowControl/>
            </w:pPr>
            <w:r>
              <w:rPr>
                <w:rFonts w:ascii="Calibri" w:hAnsi="Calibri" w:cs="Calibri"/>
              </w:rPr>
              <w:t>Deterministic timing inventory</w:t>
            </w:r>
          </w:p>
        </w:tc>
        <w:tc>
          <w:tcPr>
            <w:tcW w:w="2160" w:type="dxa"/>
            <w:vAlign w:val="center"/>
          </w:tcPr>
          <w:p>
            <w:pPr>
              <w:pStyle w:val="TableText"/>
              <w:widowControl/>
            </w:pPr>
            <w:r>
              <w:rPr>
                <w:rFonts w:ascii="Calibri" w:hAnsi="Calibri" w:cs="Calibri"/>
              </w:rPr>
              <w:t>Matrix execution</w:t>
            </w:r>
          </w:p>
        </w:tc>
      </w:tr>
      <w:tr>
        <w:trPr>
          <w:cantSplit/>
        </w:trPr>
        <w:tc>
          <w:tcPr>
            <w:tcW w:w="2160" w:type="dxa"/>
            <w:vAlign w:val="center"/>
          </w:tcPr>
          <w:p>
            <w:pPr>
              <w:pStyle w:val="TableText"/>
              <w:widowControl/>
            </w:pPr>
            <w:r>
              <w:rPr>
                <w:rFonts w:ascii="Calibri" w:hAnsi="Calibri" w:cs="Calibri"/>
              </w:rPr>
              <w:t>DEVX-01F - Playwright sharding/matrix, merged reports and stable required aggregator</w:t>
            </w:r>
          </w:p>
        </w:tc>
        <w:tc>
          <w:tcPr>
            <w:tcW w:w="2160" w:type="dxa"/>
            <w:vAlign w:val="center"/>
          </w:tcPr>
          <w:p>
            <w:pPr>
              <w:pStyle w:val="TableText"/>
              <w:widowControl/>
            </w:pPr>
            <w:r>
              <w:rPr>
                <w:rFonts w:ascii="Calibri" w:hAnsi="Calibri" w:cs="Calibri"/>
              </w:rPr>
              <w:t>Run browser groups in parallel with merged evidence and one required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DEVX-01E</w:t>
            </w:r>
          </w:p>
        </w:tc>
        <w:tc>
          <w:tcPr>
            <w:tcW w:w="2160" w:type="dxa"/>
            <w:vAlign w:val="center"/>
          </w:tcPr>
          <w:p>
            <w:pPr>
              <w:pStyle w:val="TableText"/>
              <w:widowControl/>
            </w:pPr>
            <w:r>
              <w:rPr>
                <w:rFonts w:ascii="Calibri" w:hAnsi="Calibri" w:cs="Calibri"/>
              </w:rPr>
              <w:t>Shard failure and merged-report regressions</w:t>
            </w:r>
          </w:p>
        </w:tc>
        <w:tc>
          <w:tcPr>
            <w:tcW w:w="2160" w:type="dxa"/>
            <w:vAlign w:val="center"/>
          </w:tcPr>
          <w:p>
            <w:pPr>
              <w:pStyle w:val="TableText"/>
              <w:widowControl/>
            </w:pPr>
            <w:r>
              <w:rPr>
                <w:rFonts w:ascii="Calibri" w:hAnsi="Calibri" w:cs="Calibri"/>
              </w:rPr>
              <w:t>Weakening retained suites</w:t>
            </w:r>
          </w:p>
        </w:tc>
      </w:tr>
      <w:tr>
        <w:trPr>
          <w:cantSplit/>
        </w:trPr>
        <w:tc>
          <w:tcPr>
            <w:tcW w:w="2160" w:type="dxa"/>
            <w:vAlign w:val="center"/>
          </w:tcPr>
          <w:p>
            <w:pPr>
              <w:pStyle w:val="TableText"/>
              <w:widowControl/>
            </w:pPr>
            <w:r>
              <w:rPr>
                <w:rFonts w:ascii="Calibri" w:hAnsi="Calibri" w:cs="Calibri"/>
              </w:rPr>
              <w:t>DEVX-01F2 - Contention-safe Vitest sharding</w:t>
            </w:r>
          </w:p>
        </w:tc>
        <w:tc>
          <w:tcPr>
            <w:tcW w:w="2160" w:type="dxa"/>
            <w:vAlign w:val="center"/>
          </w:tcPr>
          <w:p>
            <w:pPr>
              <w:pStyle w:val="TableText"/>
              <w:widowControl/>
            </w:pPr>
            <w:r>
              <w:rPr>
                <w:rFonts w:ascii="Calibri" w:hAnsi="Calibri" w:cs="Calibri"/>
              </w:rPr>
              <w:t>Replace the serial Vitest bottleneck with exact isolated one-worker shards and one validated merged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w:t>
            </w:r>
          </w:p>
        </w:tc>
        <w:tc>
          <w:tcPr>
            <w:tcW w:w="2160" w:type="dxa"/>
            <w:vAlign w:val="center"/>
          </w:tcPr>
          <w:p>
            <w:pPr>
              <w:pStyle w:val="TableText"/>
              <w:widowControl/>
            </w:pPr>
            <w:r>
              <w:rPr>
                <w:rFonts w:ascii="Calibri" w:hAnsi="Calibri" w:cs="Calibri"/>
              </w:rPr>
              <w:t>Locked source plan; exact discovery; shard manifests/blobs; merged result</w:t>
            </w:r>
          </w:p>
        </w:tc>
        <w:tc>
          <w:tcPr>
            <w:tcW w:w="2160" w:type="dxa"/>
            <w:vAlign w:val="center"/>
          </w:tcPr>
          <w:p>
            <w:pPr>
              <w:pStyle w:val="TableText"/>
              <w:widowControl/>
            </w:pPr>
            <w:r>
              <w:rPr>
                <w:rFonts w:ascii="Calibri" w:hAnsi="Calibri" w:cs="Calibri"/>
              </w:rPr>
              <w:t>Test, worker, retry or product-semantics change</w:t>
            </w:r>
          </w:p>
        </w:tc>
      </w:tr>
      <w:tr>
        <w:trPr>
          <w:cantSplit/>
        </w:trPr>
        <w:tc>
          <w:tcPr>
            <w:tcW w:w="2160" w:type="dxa"/>
            <w:vAlign w:val="center"/>
          </w:tcPr>
          <w:p>
            <w:pPr>
              <w:pStyle w:val="TableText"/>
              <w:widowControl/>
            </w:pPr>
            <w:r>
              <w:rPr>
                <w:rFonts w:ascii="Calibri" w:hAnsi="Calibri" w:cs="Calibri"/>
              </w:rPr>
              <w:t>DEVX-01G - Two-run performance acceptance and workflow closure</w:t>
            </w:r>
          </w:p>
        </w:tc>
        <w:tc>
          <w:tcPr>
            <w:tcW w:w="2160" w:type="dxa"/>
            <w:vAlign w:val="center"/>
          </w:tcPr>
          <w:p>
            <w:pPr>
              <w:pStyle w:val="TableText"/>
              <w:widowControl/>
            </w:pPr>
            <w:r>
              <w:rPr>
                <w:rFonts w:ascii="Calibri" w:hAnsi="Calibri" w:cs="Calibri"/>
              </w:rPr>
              <w:t>Prove the bounded workflow and CI improvement over two clean runs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DEVX-01F2</w:t>
            </w:r>
          </w:p>
        </w:tc>
        <w:tc>
          <w:tcPr>
            <w:tcW w:w="2160" w:type="dxa"/>
            <w:vAlign w:val="center"/>
          </w:tcPr>
          <w:p>
            <w:pPr>
              <w:pStyle w:val="TableText"/>
              <w:widowControl/>
            </w:pPr>
            <w:r>
              <w:rPr>
                <w:rFonts w:ascii="Calibri" w:hAnsi="Calibri" w:cs="Calibri"/>
              </w:rPr>
              <w:t>Two-run acceptance and closure record</w:t>
            </w:r>
          </w:p>
        </w:tc>
        <w:tc>
          <w:tcPr>
            <w:tcW w:w="2160" w:type="dxa"/>
            <w:vAlign w:val="center"/>
          </w:tcPr>
          <w:p>
            <w:pPr>
              <w:pStyle w:val="TableText"/>
              <w:widowControl/>
            </w:pPr>
            <w:r>
              <w:rPr>
                <w:rFonts w:ascii="Calibri" w:hAnsi="Calibri" w:cs="Calibri"/>
              </w:rPr>
              <w:t>Product behavior change</w:t>
            </w:r>
          </w:p>
        </w:tc>
      </w:tr>
    </w:tbl>
    <w:p>
      <w:pPr>
        <w:pStyle w:val="Normal"/>
        <w:widowControl/>
      </w:pPr>
    </w:p>
    <w:p>
      <w:pPr>
        <w:pStyle w:val="Normal"/>
        <w:widowControl/>
      </w:pPr>
      <w:r>
        <w:rPr>
          <w:rFonts w:ascii="Calibri" w:hAnsi="Calibri" w:cs="Calibri"/>
        </w:rPr>
        <w:t xml:space="preserve">P10B remains Partial. DEVX-01A through DEVX-01G are Baseline, and DEVX-01 is Baseline / closed. P10B-19A-01 through P10B-19A-07, P10B-19A-08A through P10B-19A-08C, P10B-19A-09A through P10B-19A-09C, P10B-19A-10A, P10B-19A-10B1 and P10B-19A-10B2 are Baseline; parents P10B-19A-08, P10B-19A-09 and P10B-19A-10B are Baseline / closed. P10B-19A-10 and P10B-19A remain Partial; P10B-19A-10C is the exact next implementation task; P10B-19B-01 is Planned after A-10C; P10B remains Partial. DEVX-01C measured the serial gate, retained PR/ref-scoped cancellation and added compatible </w:t>
      </w:r>
      <w:r>
        <w:rPr>
          <w:rFonts w:ascii="Consolas" w:hAnsi="Consolas" w:cs="Consolas"/>
          <w:sz w:val="19"/>
          <w:szCs w:val="19"/>
        </w:rPr>
        <w:t>.next/cache</w:t>
      </w:r>
      <w:r>
        <w:rPr>
          <w:rFonts w:ascii="Calibri" w:hAnsi="Calibri" w:cs="Calibri"/>
        </w:rPr>
        <w:t xml:space="preserve"> reuse. DEVX-01D runs static, one-worker Vitest, production-build and unchanged complete browser validation independently behind the stable fail-closed </w:t>
      </w:r>
      <w:r>
        <w:rPr>
          <w:rFonts w:ascii="Consolas" w:hAnsi="Consolas" w:cs="Consolas"/>
          <w:sz w:val="19"/>
          <w:szCs w:val="19"/>
        </w:rPr>
        <w:t>validate</w:t>
      </w:r>
      <w:r>
        <w:rPr>
          <w:rFonts w:ascii="Calibri" w:hAnsi="Calibri" w:cs="Calibri"/>
        </w:rPr>
        <w:t xml:space="preserve"> status, with a separate bounded timing artifact per profile. Its projected command critical path was 1h 11m 24.063s versus 2h 5m 49.513s measured serial work. Final-architecture Run A (</w:t>
      </w:r>
      <w:r>
        <w:rPr>
          <w:rFonts w:ascii="Consolas" w:hAnsi="Consolas" w:cs="Consolas"/>
          <w:sz w:val="19"/>
          <w:szCs w:val="19"/>
        </w:rPr>
        <w:t>33362860614</w:t>
      </w:r>
      <w:r>
        <w:rPr>
          <w:rFonts w:ascii="Calibri" w:hAnsi="Calibri" w:cs="Calibri"/>
        </w:rPr>
        <w:t xml:space="preserve">) completed in 34m27s on a cache miss with 245 Vitest files across </w:t>
      </w:r>
      <w:r>
        <w:rPr>
          <w:rFonts w:ascii="Consolas" w:hAnsi="Consolas" w:cs="Consolas"/>
          <w:sz w:val="19"/>
          <w:szCs w:val="19"/>
        </w:rPr>
        <w:t>82 / 82 / 81</w:t>
      </w:r>
      <w:r>
        <w:rPr>
          <w:rFonts w:ascii="Calibri" w:hAnsi="Calibri" w:cs="Calibri"/>
        </w:rPr>
        <w:t xml:space="preserve">, 3,165 passed, one pending, zero failed, all 12 canonical Playwright suites, successful merged reports, and stable </w:t>
      </w:r>
      <w:r>
        <w:rPr>
          <w:rFonts w:ascii="Consolas" w:hAnsi="Consolas" w:cs="Consolas"/>
          <w:sz w:val="19"/>
          <w:szCs w:val="19"/>
        </w:rPr>
        <w:t>validate</w:t>
      </w:r>
      <w:r>
        <w:rPr>
          <w:rFonts w:ascii="Calibri" w:hAnsi="Calibri" w:cs="Calibri"/>
        </w:rPr>
        <w:t>. This reduced developer wait time by 1h31m46s (72.706%) from the 2h6m13s original baseline. Summed GitHub job time was 2h9m46s, 3m33s higher than the serial baseline, so lower compute cost is not claimed. Run B remains the final before-merge gate under identical architecture.</w:t>
      </w:r>
    </w:p>
    <w:p>
      <w:pPr>
        <w:pStyle w:val="Heading3"/>
        <w:keepNext/>
        <w:widowControl/>
      </w:pPr>
      <w:r>
        <w:rPr>
          <w:rFonts w:ascii="Calibri" w:hAnsi="Calibri" w:cs="Calibri"/>
        </w:rPr>
        <w:t>P10B-19A planned micro-pull-request map</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900"/>
        <w:gridCol w:w="7600"/>
        <w:gridCol w:w="4460"/>
      </w:tblGrid>
      <w:tr>
        <w:trPr>
          <w:tblHeader/>
          <w:cantSplit/>
        </w:trPr>
        <w:tc>
          <w:tcPr>
            <w:tcW w:w="900" w:type="dxa"/>
            <w:vAlign w:val="center"/>
            <w:shd w:val="clear" w:fill="E8EEF5"/>
          </w:tcPr>
          <w:p>
            <w:pPr>
              <w:pStyle w:val="TableHeader"/>
              <w:jc w:val="center"/>
              <w:widowControl/>
            </w:pPr>
            <w:r>
              <w:rPr>
                <w:rFonts w:ascii="Calibri" w:hAnsi="Calibri" w:cs="Calibri"/>
              </w:rPr>
              <w:t>Order</w:t>
            </w:r>
          </w:p>
        </w:tc>
        <w:tc>
          <w:tcPr>
            <w:tcW w:w="7600" w:type="dxa"/>
            <w:vAlign w:val="center"/>
            <w:shd w:val="clear" w:fill="E8EEF5"/>
          </w:tcPr>
          <w:p>
            <w:pPr>
              <w:pStyle w:val="TableHeader"/>
              <w:jc w:val="center"/>
              <w:widowControl/>
            </w:pPr>
            <w:r>
              <w:rPr>
                <w:rFonts w:ascii="Calibri" w:hAnsi="Calibri" w:cs="Calibri"/>
              </w:rPr>
              <w:t>Child task</w:t>
            </w:r>
          </w:p>
        </w:tc>
        <w:tc>
          <w:tcPr>
            <w:tcW w:w="4460" w:type="dxa"/>
            <w:vAlign w:val="center"/>
            <w:shd w:val="clear" w:fill="E8EEF5"/>
          </w:tcPr>
          <w:p>
            <w:pPr>
              <w:pStyle w:val="TableHeader"/>
              <w:jc w:val="center"/>
              <w:widowControl/>
            </w:pPr>
            <w:r>
              <w:rPr>
                <w:rFonts w:ascii="Calibri" w:hAnsi="Calibri" w:cs="Calibri"/>
              </w:rPr>
              <w:t>Merge eligibility</w:t>
            </w:r>
          </w:p>
        </w:tc>
      </w:tr>
      <w:tr>
        <w:trPr>
          <w:cantSplit/>
        </w:trPr>
        <w:tc>
          <w:tcPr>
            <w:tcW w:w="900" w:type="dxa"/>
            <w:vAlign w:val="center"/>
          </w:tcPr>
          <w:p>
            <w:pPr>
              <w:pStyle w:val="TableText"/>
              <w:widowControl/>
            </w:pPr>
            <w:r>
              <w:rPr>
                <w:rFonts w:ascii="Calibri" w:hAnsi="Calibri" w:cs="Calibri"/>
              </w:rPr>
              <w:t>1</w:t>
            </w:r>
          </w:p>
        </w:tc>
        <w:tc>
          <w:tcPr>
            <w:tcW w:w="7600" w:type="dxa"/>
            <w:vAlign w:val="center"/>
          </w:tcPr>
          <w:p>
            <w:pPr>
              <w:pStyle w:val="TableText"/>
              <w:widowControl/>
            </w:pPr>
            <w:r>
              <w:rPr>
                <w:rFonts w:ascii="Calibri" w:hAnsi="Calibri" w:cs="Calibri"/>
              </w:rPr>
              <w:t>P10B-19A-01 - Structural family identity, versions, lifecycle states and invariants</w:t>
            </w:r>
          </w:p>
        </w:tc>
        <w:tc>
          <w:tcPr>
            <w:tcW w:w="4460" w:type="dxa"/>
            <w:vAlign w:val="center"/>
          </w:tcPr>
          <w:p>
            <w:pPr>
              <w:pStyle w:val="TableText"/>
              <w:widowControl/>
            </w:pPr>
            <w:r>
              <w:rPr>
                <w:rFonts w:ascii="Calibri" w:hAnsi="Calibri" w:cs="Calibri"/>
              </w:rPr>
              <w:t>DEVX-01 closed</w:t>
            </w:r>
          </w:p>
        </w:tc>
      </w:tr>
      <w:tr>
        <w:trPr>
          <w:cantSplit/>
        </w:trPr>
        <w:tc>
          <w:tcPr>
            <w:tcW w:w="900" w:type="dxa"/>
            <w:vAlign w:val="center"/>
          </w:tcPr>
          <w:p>
            <w:pPr>
              <w:pStyle w:val="TableText"/>
              <w:widowControl/>
            </w:pPr>
            <w:r>
              <w:rPr>
                <w:rFonts w:ascii="Calibri" w:hAnsi="Calibri" w:cs="Calibri"/>
              </w:rPr>
              <w:t>2</w:t>
            </w:r>
          </w:p>
        </w:tc>
        <w:tc>
          <w:tcPr>
            <w:tcW w:w="7600" w:type="dxa"/>
            <w:vAlign w:val="center"/>
          </w:tcPr>
          <w:p>
            <w:pPr>
              <w:pStyle w:val="TableText"/>
              <w:widowControl/>
            </w:pPr>
            <w:r>
              <w:rPr>
                <w:rFonts w:ascii="Calibri" w:hAnsi="Calibri" w:cs="Calibri"/>
              </w:rPr>
              <w:t>P10B-19A-02 - Cross-page structural relationship contract</w:t>
            </w:r>
          </w:p>
        </w:tc>
        <w:tc>
          <w:tcPr>
            <w:tcW w:w="4460" w:type="dxa"/>
            <w:vAlign w:val="center"/>
          </w:tcPr>
          <w:p>
            <w:pPr>
              <w:pStyle w:val="TableText"/>
              <w:widowControl/>
            </w:pPr>
            <w:r>
              <w:rPr>
                <w:rFonts w:ascii="Calibri" w:hAnsi="Calibri" w:cs="Calibri"/>
              </w:rPr>
              <w:t>A-01 merged</w:t>
            </w:r>
          </w:p>
        </w:tc>
      </w:tr>
      <w:tr>
        <w:trPr>
          <w:cantSplit/>
        </w:trPr>
        <w:tc>
          <w:tcPr>
            <w:tcW w:w="900" w:type="dxa"/>
            <w:vAlign w:val="center"/>
          </w:tcPr>
          <w:p>
            <w:pPr>
              <w:pStyle w:val="TableText"/>
              <w:widowControl/>
            </w:pPr>
            <w:r>
              <w:rPr>
                <w:rFonts w:ascii="Calibri" w:hAnsi="Calibri" w:cs="Calibri"/>
              </w:rPr>
              <w:t>3</w:t>
            </w:r>
          </w:p>
        </w:tc>
        <w:tc>
          <w:tcPr>
            <w:tcW w:w="7600" w:type="dxa"/>
            <w:vAlign w:val="center"/>
          </w:tcPr>
          <w:p>
            <w:pPr>
              <w:pStyle w:val="TableText"/>
              <w:widowControl/>
            </w:pPr>
            <w:r>
              <w:rPr>
                <w:rFonts w:ascii="Calibri" w:hAnsi="Calibri" w:cs="Calibri"/>
              </w:rPr>
              <w:t>P10B-19A-03 - Required page structures, region graph and PageBlueprint v2 dispatch</w:t>
            </w:r>
          </w:p>
        </w:tc>
        <w:tc>
          <w:tcPr>
            <w:tcW w:w="4460" w:type="dxa"/>
            <w:vAlign w:val="center"/>
          </w:tcPr>
          <w:p>
            <w:pPr>
              <w:pStyle w:val="TableText"/>
              <w:widowControl/>
            </w:pPr>
            <w:r>
              <w:rPr>
                <w:rFonts w:ascii="Calibri" w:hAnsi="Calibri" w:cs="Calibri"/>
              </w:rPr>
              <w:t>A-02 merged</w:t>
            </w:r>
          </w:p>
        </w:tc>
      </w:tr>
      <w:tr>
        <w:trPr>
          <w:cantSplit/>
        </w:trPr>
        <w:tc>
          <w:tcPr>
            <w:tcW w:w="900" w:type="dxa"/>
            <w:vAlign w:val="center"/>
          </w:tcPr>
          <w:p>
            <w:pPr>
              <w:pStyle w:val="TableText"/>
              <w:widowControl/>
            </w:pPr>
            <w:r>
              <w:rPr>
                <w:rFonts w:ascii="Calibri" w:hAnsi="Calibri" w:cs="Calibri"/>
              </w:rPr>
              <w:t>4</w:t>
            </w:r>
          </w:p>
        </w:tc>
        <w:tc>
          <w:tcPr>
            <w:tcW w:w="7600" w:type="dxa"/>
            <w:vAlign w:val="center"/>
          </w:tcPr>
          <w:p>
            <w:pPr>
              <w:pStyle w:val="TableText"/>
              <w:widowControl/>
            </w:pPr>
            <w:r>
              <w:rPr>
                <w:rFonts w:ascii="Calibri" w:hAnsi="Calibri" w:cs="Calibri"/>
              </w:rPr>
              <w:t>P10B-19A-04 - Asset-role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5</w:t>
            </w:r>
          </w:p>
        </w:tc>
        <w:tc>
          <w:tcPr>
            <w:tcW w:w="7600" w:type="dxa"/>
            <w:vAlign w:val="center"/>
          </w:tcPr>
          <w:p>
            <w:pPr>
              <w:pStyle w:val="TableText"/>
              <w:widowControl/>
            </w:pPr>
            <w:r>
              <w:rPr>
                <w:rFonts w:ascii="Calibri" w:hAnsi="Calibri" w:cs="Calibri"/>
              </w:rPr>
              <w:t>P10B-19A-05 - Responsive-rule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6</w:t>
            </w:r>
          </w:p>
        </w:tc>
        <w:tc>
          <w:tcPr>
            <w:tcW w:w="7600" w:type="dxa"/>
            <w:vAlign w:val="center"/>
          </w:tcPr>
          <w:p>
            <w:pPr>
              <w:pStyle w:val="TableText"/>
              <w:widowControl/>
            </w:pPr>
            <w:r>
              <w:rPr>
                <w:rFonts w:ascii="Calibri" w:hAnsi="Calibri" w:cs="Calibri"/>
              </w:rPr>
              <w:t>P10B-19A-06 - Omission, substitution and fallback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7</w:t>
            </w:r>
          </w:p>
        </w:tc>
        <w:tc>
          <w:tcPr>
            <w:tcW w:w="7600" w:type="dxa"/>
            <w:vAlign w:val="center"/>
          </w:tcPr>
          <w:p>
            <w:pPr>
              <w:pStyle w:val="TableText"/>
              <w:widowControl/>
            </w:pPr>
            <w:r>
              <w:rPr>
                <w:rFonts w:ascii="Calibri" w:hAnsi="Calibri" w:cs="Calibri"/>
              </w:rPr>
              <w:t>P10B-19A-07 - Inactive family registry and candidate fingerprints</w:t>
            </w:r>
          </w:p>
        </w:tc>
        <w:tc>
          <w:tcPr>
            <w:tcW w:w="4460" w:type="dxa"/>
            <w:vAlign w:val="center"/>
          </w:tcPr>
          <w:p>
            <w:pPr>
              <w:pStyle w:val="TableText"/>
              <w:widowControl/>
            </w:pPr>
            <w:r>
              <w:rPr>
                <w:rFonts w:ascii="Calibri" w:hAnsi="Calibri" w:cs="Calibri"/>
              </w:rPr>
              <w:t>A-01 through A-06 authority merged</w:t>
            </w:r>
          </w:p>
        </w:tc>
      </w:tr>
      <w:tr>
        <w:trPr>
          <w:cantSplit/>
        </w:trPr>
        <w:tc>
          <w:tcPr>
            <w:tcW w:w="900" w:type="dxa"/>
            <w:vAlign w:val="center"/>
          </w:tcPr>
          <w:p>
            <w:pPr>
              <w:pStyle w:val="TableText"/>
              <w:widowControl/>
            </w:pPr>
            <w:r>
              <w:rPr>
                <w:rFonts w:ascii="Calibri" w:hAnsi="Calibri" w:cs="Calibri"/>
              </w:rPr>
              <w:t>8</w:t>
            </w:r>
          </w:p>
        </w:tc>
        <w:tc>
          <w:tcPr>
            <w:tcW w:w="7600" w:type="dxa"/>
            <w:vAlign w:val="center"/>
          </w:tcPr>
          <w:p>
            <w:pPr>
              <w:pStyle w:val="TableText"/>
              <w:widowControl/>
            </w:pPr>
            <w:r>
              <w:rPr>
                <w:rFonts w:ascii="Calibri" w:hAnsi="Calibri" w:cs="Calibri"/>
              </w:rPr>
              <w:t>P10B-19A-08 - Compatibility, deterministic selection and normalized topology identity</w:t>
            </w:r>
          </w:p>
        </w:tc>
        <w:tc>
          <w:tcPr>
            <w:tcW w:w="4460" w:type="dxa"/>
            <w:vAlign w:val="center"/>
          </w:tcPr>
          <w:p>
            <w:pPr>
              <w:pStyle w:val="TableText"/>
              <w:widowControl/>
            </w:pPr>
            <w:r>
              <w:rPr>
                <w:rFonts w:ascii="Calibri" w:hAnsi="Calibri" w:cs="Calibri"/>
              </w:rPr>
              <w:t>A-07 merged</w:t>
            </w:r>
          </w:p>
        </w:tc>
      </w:tr>
      <w:tr>
        <w:trPr>
          <w:cantSplit/>
        </w:trPr>
        <w:tc>
          <w:tcPr>
            <w:tcW w:w="900" w:type="dxa"/>
            <w:vAlign w:val="center"/>
          </w:tcPr>
          <w:p>
            <w:pPr>
              <w:pStyle w:val="TableText"/>
              <w:widowControl/>
            </w:pPr>
            <w:r>
              <w:rPr>
                <w:rFonts w:ascii="Calibri" w:hAnsi="Calibri" w:cs="Calibri"/>
              </w:rPr>
              <w:t>8A</w:t>
            </w:r>
          </w:p>
        </w:tc>
        <w:tc>
          <w:tcPr>
            <w:tcW w:w="7600" w:type="dxa"/>
            <w:vAlign w:val="center"/>
          </w:tcPr>
          <w:p>
            <w:pPr>
              <w:pStyle w:val="TableText"/>
              <w:widowControl/>
            </w:pPr>
            <w:r>
              <w:rPr>
                <w:rFonts w:ascii="Calibri" w:hAnsi="Calibri" w:cs="Calibri"/>
              </w:rPr>
              <w:t>P10B-19A-08A - Normalized Topology Identity</w:t>
            </w:r>
          </w:p>
        </w:tc>
        <w:tc>
          <w:tcPr>
            <w:tcW w:w="4460" w:type="dxa"/>
            <w:vAlign w:val="center"/>
          </w:tcPr>
          <w:p>
            <w:pPr>
              <w:pStyle w:val="TableText"/>
              <w:widowControl/>
            </w:pPr>
            <w:r>
              <w:rPr>
                <w:rFonts w:ascii="Calibri" w:hAnsi="Calibri" w:cs="Calibri"/>
              </w:rPr>
              <w:t>A-07 merged</w:t>
            </w:r>
          </w:p>
        </w:tc>
      </w:tr>
      <w:tr>
        <w:trPr>
          <w:cantSplit/>
        </w:trPr>
        <w:tc>
          <w:tcPr>
            <w:tcW w:w="900" w:type="dxa"/>
            <w:vAlign w:val="center"/>
          </w:tcPr>
          <w:p>
            <w:pPr>
              <w:pStyle w:val="TableText"/>
              <w:widowControl/>
            </w:pPr>
            <w:r>
              <w:rPr>
                <w:rFonts w:ascii="Calibri" w:hAnsi="Calibri" w:cs="Calibri"/>
              </w:rPr>
              <w:t>8B</w:t>
            </w:r>
          </w:p>
        </w:tc>
        <w:tc>
          <w:tcPr>
            <w:tcW w:w="7600" w:type="dxa"/>
            <w:vAlign w:val="center"/>
          </w:tcPr>
          <w:p>
            <w:pPr>
              <w:pStyle w:val="TableText"/>
              <w:widowControl/>
            </w:pPr>
            <w:r>
              <w:rPr>
                <w:rFonts w:ascii="Calibri" w:hAnsi="Calibri" w:cs="Calibri"/>
              </w:rPr>
              <w:t>P10B-19A-08B - Candidate Compatibility Contract and Evaluation</w:t>
            </w:r>
          </w:p>
        </w:tc>
        <w:tc>
          <w:tcPr>
            <w:tcW w:w="4460" w:type="dxa"/>
            <w:vAlign w:val="center"/>
          </w:tcPr>
          <w:p>
            <w:pPr>
              <w:pStyle w:val="TableText"/>
              <w:widowControl/>
            </w:pPr>
            <w:r>
              <w:rPr>
                <w:rFonts w:ascii="Calibri" w:hAnsi="Calibri" w:cs="Calibri"/>
              </w:rPr>
              <w:t>A-08A merged</w:t>
            </w:r>
          </w:p>
        </w:tc>
      </w:tr>
      <w:tr>
        <w:trPr>
          <w:cantSplit/>
        </w:trPr>
        <w:tc>
          <w:tcPr>
            <w:tcW w:w="900" w:type="dxa"/>
            <w:vAlign w:val="center"/>
          </w:tcPr>
          <w:p>
            <w:pPr>
              <w:pStyle w:val="TableText"/>
              <w:widowControl/>
            </w:pPr>
            <w:r>
              <w:rPr>
                <w:rFonts w:ascii="Calibri" w:hAnsi="Calibri" w:cs="Calibri"/>
              </w:rPr>
              <w:t>8C</w:t>
            </w:r>
          </w:p>
        </w:tc>
        <w:tc>
          <w:tcPr>
            <w:tcW w:w="7600" w:type="dxa"/>
            <w:vAlign w:val="center"/>
          </w:tcPr>
          <w:p>
            <w:pPr>
              <w:pStyle w:val="TableText"/>
              <w:widowControl/>
            </w:pPr>
            <w:r>
              <w:rPr>
                <w:rFonts w:ascii="Calibri" w:hAnsi="Calibri" w:cs="Calibri"/>
              </w:rPr>
              <w:t>P10B-19A-08C - Deterministic Candidate Selection</w:t>
            </w:r>
          </w:p>
        </w:tc>
        <w:tc>
          <w:tcPr>
            <w:tcW w:w="4460" w:type="dxa"/>
            <w:vAlign w:val="center"/>
          </w:tcPr>
          <w:p>
            <w:pPr>
              <w:pStyle w:val="TableText"/>
              <w:widowControl/>
            </w:pPr>
            <w:r>
              <w:rPr>
                <w:rFonts w:ascii="Calibri" w:hAnsi="Calibri" w:cs="Calibri"/>
              </w:rPr>
              <w:t>A-08B merged</w:t>
            </w:r>
          </w:p>
        </w:tc>
      </w:tr>
      <w:tr>
        <w:trPr>
          <w:cantSplit/>
        </w:trPr>
        <w:tc>
          <w:tcPr>
            <w:tcW w:w="900" w:type="dxa"/>
            <w:vAlign w:val="center"/>
          </w:tcPr>
          <w:p>
            <w:pPr>
              <w:pStyle w:val="TableText"/>
              <w:widowControl/>
            </w:pPr>
            <w:r>
              <w:rPr>
                <w:rFonts w:ascii="Calibri" w:hAnsi="Calibri" w:cs="Calibri"/>
              </w:rPr>
              <w:t>9</w:t>
            </w:r>
          </w:p>
        </w:tc>
        <w:tc>
          <w:tcPr>
            <w:tcW w:w="7600" w:type="dxa"/>
            <w:vAlign w:val="center"/>
          </w:tcPr>
          <w:p>
            <w:pPr>
              <w:pStyle w:val="TableText"/>
              <w:widowControl/>
            </w:pPr>
            <w:r>
              <w:rPr>
                <w:rFonts w:ascii="Calibri" w:hAnsi="Calibri" w:cs="Calibri"/>
              </w:rPr>
              <w:t>P10B-19A-09 - v1 read/render/migration/publication compatibility</w:t>
            </w:r>
          </w:p>
        </w:tc>
        <w:tc>
          <w:tcPr>
            <w:tcW w:w="4460" w:type="dxa"/>
            <w:vAlign w:val="center"/>
          </w:tcPr>
          <w:p>
            <w:pPr>
              <w:pStyle w:val="TableText"/>
              <w:widowControl/>
            </w:pPr>
            <w:r>
              <w:rPr>
                <w:rFonts w:ascii="Calibri" w:hAnsi="Calibri" w:cs="Calibri"/>
              </w:rPr>
              <w:t>A-08C merged</w:t>
            </w:r>
          </w:p>
        </w:tc>
      </w:tr>
      <w:tr>
        <w:trPr>
          <w:cantSplit/>
        </w:trPr>
        <w:tc>
          <w:tcPr>
            <w:tcW w:w="900" w:type="dxa"/>
            <w:vAlign w:val="center"/>
          </w:tcPr>
          <w:p>
            <w:pPr>
              <w:pStyle w:val="TableText"/>
              <w:widowControl/>
            </w:pPr>
            <w:r>
              <w:rPr>
                <w:rFonts w:ascii="Calibri" w:hAnsi="Calibri" w:cs="Calibri"/>
              </w:rPr>
              <w:t>9A</w:t>
            </w:r>
          </w:p>
        </w:tc>
        <w:tc>
          <w:tcPr>
            <w:tcW w:w="7600" w:type="dxa"/>
            <w:vAlign w:val="center"/>
          </w:tcPr>
          <w:p>
            <w:pPr>
              <w:pStyle w:val="TableText"/>
              <w:widowControl/>
            </w:pPr>
            <w:r>
              <w:rPr>
                <w:rFonts w:ascii="Calibri" w:hAnsi="Calibri" w:cs="Calibri"/>
              </w:rPr>
              <w:t>P10B-19A-09A - Legacy v1 Replay Alias and Compatibility Reference</w:t>
            </w:r>
          </w:p>
        </w:tc>
        <w:tc>
          <w:tcPr>
            <w:tcW w:w="4460" w:type="dxa"/>
            <w:vAlign w:val="center"/>
          </w:tcPr>
          <w:p>
            <w:pPr>
              <w:pStyle w:val="TableText"/>
              <w:widowControl/>
            </w:pPr>
            <w:r>
              <w:rPr>
                <w:rFonts w:ascii="Calibri" w:hAnsi="Calibri" w:cs="Calibri"/>
              </w:rPr>
              <w:t>A-08C merged</w:t>
            </w:r>
          </w:p>
        </w:tc>
      </w:tr>
      <w:tr>
        <w:trPr>
          <w:cantSplit/>
        </w:trPr>
        <w:tc>
          <w:tcPr>
            <w:tcW w:w="900" w:type="dxa"/>
            <w:vAlign w:val="center"/>
          </w:tcPr>
          <w:p>
            <w:pPr>
              <w:pStyle w:val="TableText"/>
              <w:widowControl/>
            </w:pPr>
            <w:r>
              <w:rPr>
                <w:rFonts w:ascii="Calibri" w:hAnsi="Calibri" w:cs="Calibri"/>
              </w:rPr>
              <w:t>9B</w:t>
            </w:r>
          </w:p>
        </w:tc>
        <w:tc>
          <w:tcPr>
            <w:tcW w:w="7600" w:type="dxa"/>
            <w:vAlign w:val="center"/>
          </w:tcPr>
          <w:p>
            <w:pPr>
              <w:pStyle w:val="TableText"/>
              <w:widowControl/>
            </w:pPr>
            <w:r>
              <w:rPr>
                <w:rFonts w:ascii="Calibri" w:hAnsi="Calibri" w:cs="Calibri"/>
              </w:rPr>
              <w:t>P10B-19A-09B - Historical v1 Snapshot Read and Render Replay</w:t>
            </w:r>
          </w:p>
        </w:tc>
        <w:tc>
          <w:tcPr>
            <w:tcW w:w="4460" w:type="dxa"/>
            <w:vAlign w:val="center"/>
          </w:tcPr>
          <w:p>
            <w:pPr>
              <w:pStyle w:val="TableText"/>
              <w:widowControl/>
            </w:pPr>
            <w:r>
              <w:rPr>
                <w:rFonts w:ascii="Calibri" w:hAnsi="Calibri" w:cs="Calibri"/>
              </w:rPr>
              <w:t>A-09A merged</w:t>
            </w:r>
          </w:p>
        </w:tc>
      </w:tr>
      <w:tr>
        <w:trPr>
          <w:cantSplit/>
        </w:trPr>
        <w:tc>
          <w:tcPr>
            <w:tcW w:w="900" w:type="dxa"/>
            <w:vAlign w:val="center"/>
          </w:tcPr>
          <w:p>
            <w:pPr>
              <w:pStyle w:val="TableText"/>
              <w:widowControl/>
            </w:pPr>
            <w:r>
              <w:rPr>
                <w:rFonts w:ascii="Calibri" w:hAnsi="Calibri" w:cs="Calibri"/>
              </w:rPr>
              <w:t>9C</w:t>
            </w:r>
          </w:p>
        </w:tc>
        <w:tc>
          <w:tcPr>
            <w:tcW w:w="7600" w:type="dxa"/>
            <w:vAlign w:val="center"/>
          </w:tcPr>
          <w:p>
            <w:pPr>
              <w:pStyle w:val="TableText"/>
              <w:widowControl/>
            </w:pPr>
            <w:r>
              <w:rPr>
                <w:rFonts w:ascii="Calibri" w:hAnsi="Calibri" w:cs="Calibri"/>
              </w:rPr>
              <w:t>P10B-19A-09C - Publication Replay and A-09 Closure</w:t>
            </w:r>
          </w:p>
        </w:tc>
        <w:tc>
          <w:tcPr>
            <w:tcW w:w="4460" w:type="dxa"/>
            <w:vAlign w:val="center"/>
          </w:tcPr>
          <w:p>
            <w:pPr>
              <w:pStyle w:val="TableText"/>
              <w:widowControl/>
            </w:pPr>
            <w:r>
              <w:rPr>
                <w:rFonts w:ascii="Calibri" w:hAnsi="Calibri" w:cs="Calibri"/>
              </w:rPr>
              <w:t>A-09B merged</w:t>
            </w:r>
          </w:p>
        </w:tc>
      </w:tr>
      <w:tr>
        <w:trPr>
          <w:cantSplit/>
        </w:trPr>
        <w:tc>
          <w:tcPr>
            <w:tcW w:w="900" w:type="dxa"/>
            <w:vAlign w:val="center"/>
          </w:tcPr>
          <w:p>
            <w:pPr>
              <w:pStyle w:val="TableText"/>
              <w:widowControl/>
            </w:pPr>
            <w:r>
              <w:rPr>
                <w:rFonts w:ascii="Calibri" w:hAnsi="Calibri" w:cs="Calibri"/>
              </w:rPr>
              <w:t>10</w:t>
            </w:r>
          </w:p>
        </w:tc>
        <w:tc>
          <w:tcPr>
            <w:tcW w:w="7600" w:type="dxa"/>
            <w:vAlign w:val="center"/>
          </w:tcPr>
          <w:p>
            <w:pPr>
              <w:pStyle w:val="TableText"/>
              <w:widowControl/>
            </w:pPr>
            <w:r>
              <w:rPr>
                <w:rFonts w:ascii="Calibri" w:hAnsi="Calibri" w:cs="Calibri"/>
              </w:rPr>
              <w:t>P10B-19A-10 - Retained matrices, integration and P10B-19A closure</w:t>
            </w:r>
          </w:p>
        </w:tc>
        <w:tc>
          <w:tcPr>
            <w:tcW w:w="4460" w:type="dxa"/>
            <w:vAlign w:val="center"/>
          </w:tcPr>
          <w:p>
            <w:pPr>
              <w:pStyle w:val="TableText"/>
              <w:widowControl/>
            </w:pPr>
            <w:r>
              <w:rPr>
                <w:rFonts w:ascii="Calibri" w:hAnsi="Calibri" w:cs="Calibri"/>
              </w:rPr>
              <w:t>A-09C merged</w:t>
            </w:r>
          </w:p>
        </w:tc>
      </w:tr>
      <w:tr>
        <w:trPr>
          <w:cantSplit/>
        </w:trPr>
        <w:tc>
          <w:tcPr>
            <w:tcW w:w="900" w:type="dxa"/>
            <w:vAlign w:val="center"/>
          </w:tcPr>
          <w:p>
            <w:pPr>
              <w:pStyle w:val="TableText"/>
              <w:widowControl/>
            </w:pPr>
            <w:r>
              <w:rPr>
                <w:rFonts w:ascii="Calibri" w:hAnsi="Calibri" w:cs="Calibri"/>
              </w:rPr>
              <w:t>10A</w:t>
            </w:r>
          </w:p>
        </w:tc>
        <w:tc>
          <w:tcPr>
            <w:tcW w:w="7600" w:type="dxa"/>
            <w:vAlign w:val="center"/>
          </w:tcPr>
          <w:p>
            <w:pPr>
              <w:pStyle w:val="TableText"/>
              <w:widowControl/>
            </w:pPr>
            <w:r>
              <w:rPr>
                <w:rFonts w:ascii="Calibri" w:hAnsi="Calibri" w:cs="Calibri"/>
              </w:rPr>
              <w:t>P10B-19A-10A - Retained Matrix Inventory and Frozen Baseline Lock</w:t>
            </w:r>
          </w:p>
        </w:tc>
        <w:tc>
          <w:tcPr>
            <w:tcW w:w="4460" w:type="dxa"/>
            <w:vAlign w:val="center"/>
          </w:tcPr>
          <w:p>
            <w:pPr>
              <w:pStyle w:val="TableText"/>
              <w:widowControl/>
            </w:pPr>
            <w:r>
              <w:rPr>
                <w:rFonts w:ascii="Calibri" w:hAnsi="Calibri" w:cs="Calibri"/>
              </w:rPr>
              <w:t>A-09C merged</w:t>
            </w:r>
          </w:p>
        </w:tc>
      </w:tr>
      <w:tr>
        <w:trPr>
          <w:cantSplit/>
        </w:trPr>
        <w:tc>
          <w:tcPr>
            <w:tcW w:w="900" w:type="dxa"/>
            <w:vAlign w:val="center"/>
          </w:tcPr>
          <w:p>
            <w:pPr>
              <w:pStyle w:val="TableText"/>
              <w:widowControl/>
            </w:pPr>
            <w:r>
              <w:rPr>
                <w:rFonts w:ascii="Calibri" w:hAnsi="Calibri" w:cs="Calibri"/>
              </w:rPr>
              <w:t>10B</w:t>
            </w:r>
          </w:p>
        </w:tc>
        <w:tc>
          <w:tcPr>
            <w:tcW w:w="7600" w:type="dxa"/>
            <w:vAlign w:val="center"/>
          </w:tcPr>
          <w:p>
            <w:pPr>
              <w:pStyle w:val="TableText"/>
              <w:widowControl/>
            </w:pPr>
            <w:r>
              <w:rPr>
                <w:rFonts w:ascii="Calibri" w:hAnsi="Calibri" w:cs="Calibri"/>
              </w:rPr>
              <w:t>P10B-19A-10B - Cross-Authority Integration and Failure Matrix</w:t>
            </w:r>
          </w:p>
        </w:tc>
        <w:tc>
          <w:tcPr>
            <w:tcW w:w="4460" w:type="dxa"/>
            <w:vAlign w:val="center"/>
          </w:tcPr>
          <w:p>
            <w:pPr>
              <w:pStyle w:val="TableText"/>
              <w:widowControl/>
            </w:pPr>
            <w:r>
              <w:rPr>
                <w:rFonts w:ascii="Calibri" w:hAnsi="Calibri" w:cs="Calibri"/>
              </w:rPr>
              <w:t>A-10A merged</w:t>
            </w:r>
          </w:p>
        </w:tc>
      </w:tr>
      <w:tr>
        <w:trPr>
          <w:cantSplit/>
        </w:trPr>
        <w:tc>
          <w:tcPr>
            <w:tcW w:w="900" w:type="dxa"/>
            <w:vAlign w:val="center"/>
          </w:tcPr>
          <w:p>
            <w:pPr>
              <w:pStyle w:val="TableText"/>
              <w:widowControl/>
            </w:pPr>
            <w:r>
              <w:rPr>
                <w:rFonts w:ascii="Calibri" w:hAnsi="Calibri" w:cs="Calibri"/>
              </w:rPr>
              <w:t>10B1</w:t>
            </w:r>
          </w:p>
        </w:tc>
        <w:tc>
          <w:tcPr>
            <w:tcW w:w="7600" w:type="dxa"/>
            <w:vAlign w:val="center"/>
          </w:tcPr>
          <w:p>
            <w:pPr>
              <w:pStyle w:val="TableText"/>
              <w:widowControl/>
            </w:pPr>
            <w:r>
              <w:rPr>
                <w:rFonts w:ascii="Calibri" w:hAnsi="Calibri" w:cs="Calibri"/>
              </w:rPr>
              <w:t>P10B-19A-10B1 - Positive Cross-Authority Integration Matrix</w:t>
            </w:r>
          </w:p>
        </w:tc>
        <w:tc>
          <w:tcPr>
            <w:tcW w:w="4460" w:type="dxa"/>
            <w:vAlign w:val="center"/>
          </w:tcPr>
          <w:p>
            <w:pPr>
              <w:pStyle w:val="TableText"/>
              <w:widowControl/>
            </w:pPr>
            <w:r>
              <w:rPr>
                <w:rFonts w:ascii="Calibri" w:hAnsi="Calibri" w:cs="Calibri"/>
              </w:rPr>
              <w:t>A-10A merged</w:t>
            </w:r>
          </w:p>
        </w:tc>
      </w:tr>
      <w:tr>
        <w:trPr>
          <w:cantSplit/>
        </w:trPr>
        <w:tc>
          <w:tcPr>
            <w:tcW w:w="900" w:type="dxa"/>
            <w:vAlign w:val="center"/>
          </w:tcPr>
          <w:p>
            <w:pPr>
              <w:pStyle w:val="TableText"/>
              <w:widowControl/>
            </w:pPr>
            <w:r>
              <w:rPr>
                <w:rFonts w:ascii="Calibri" w:hAnsi="Calibri" w:cs="Calibri"/>
              </w:rPr>
              <w:t>10B2</w:t>
            </w:r>
          </w:p>
        </w:tc>
        <w:tc>
          <w:tcPr>
            <w:tcW w:w="7600" w:type="dxa"/>
            <w:vAlign w:val="center"/>
          </w:tcPr>
          <w:p>
            <w:pPr>
              <w:pStyle w:val="TableText"/>
              <w:widowControl/>
            </w:pPr>
            <w:r>
              <w:rPr>
                <w:rFonts w:ascii="Calibri" w:hAnsi="Calibri" w:cs="Calibri"/>
              </w:rPr>
              <w:t>P10B-19A-10B2 - Fail-Closed Cross-Authority Failure Matrix and A-10B Closure</w:t>
            </w:r>
          </w:p>
        </w:tc>
        <w:tc>
          <w:tcPr>
            <w:tcW w:w="4460" w:type="dxa"/>
            <w:vAlign w:val="center"/>
          </w:tcPr>
          <w:p>
            <w:pPr>
              <w:pStyle w:val="TableText"/>
              <w:widowControl/>
            </w:pPr>
            <w:r>
              <w:rPr>
                <w:rFonts w:ascii="Calibri" w:hAnsi="Calibri" w:cs="Calibri"/>
              </w:rPr>
              <w:t>A-10B1 merged</w:t>
            </w:r>
          </w:p>
        </w:tc>
      </w:tr>
      <w:tr>
        <w:trPr>
          <w:cantSplit/>
        </w:trPr>
        <w:tc>
          <w:tcPr>
            <w:tcW w:w="900" w:type="dxa"/>
            <w:vAlign w:val="center"/>
          </w:tcPr>
          <w:p>
            <w:pPr>
              <w:pStyle w:val="TableText"/>
              <w:widowControl/>
            </w:pPr>
            <w:r>
              <w:rPr>
                <w:rFonts w:ascii="Calibri" w:hAnsi="Calibri" w:cs="Calibri"/>
              </w:rPr>
              <w:t>10C</w:t>
            </w:r>
          </w:p>
        </w:tc>
        <w:tc>
          <w:tcPr>
            <w:tcW w:w="7600" w:type="dxa"/>
            <w:vAlign w:val="center"/>
          </w:tcPr>
          <w:p>
            <w:pPr>
              <w:pStyle w:val="TableText"/>
              <w:widowControl/>
            </w:pPr>
            <w:r>
              <w:rPr>
                <w:rFonts w:ascii="Calibri" w:hAnsi="Calibri" w:cs="Calibri"/>
              </w:rPr>
              <w:t>P10B-19A-10C - P10B-19A Closure and Product-Owner Architecture Gate</w:t>
            </w:r>
          </w:p>
        </w:tc>
        <w:tc>
          <w:tcPr>
            <w:tcW w:w="4460" w:type="dxa"/>
            <w:vAlign w:val="center"/>
          </w:tcPr>
          <w:p>
            <w:pPr>
              <w:pStyle w:val="TableText"/>
              <w:widowControl/>
            </w:pPr>
            <w:r>
              <w:rPr>
                <w:rFonts w:ascii="Calibri" w:hAnsi="Calibri" w:cs="Calibri"/>
              </w:rPr>
              <w:t>A-10B2 merged</w:t>
            </w:r>
          </w:p>
        </w:tc>
      </w:tr>
    </w:tbl>
    <w:p>
      <w:pPr>
        <w:pStyle w:val="Normal"/>
        <w:widowControl/>
      </w:pPr>
    </w:p>
    <w:p>
      <w:pPr>
        <w:pStyle w:val="Normal"/>
        <w:widowControl/>
      </w:pPr>
      <w:r>
        <w:rPr>
          <w:rFonts w:ascii="Calibri" w:hAnsi="Calibri" w:cs="Calibri"/>
        </w:rPr>
        <w:t xml:space="preserve">P10B-19A-01 through P10B-19A-07 and P10B-19A-08A through P10B-19A-08C are </w:t>
      </w:r>
      <w:r>
        <w:rPr>
          <w:rFonts w:ascii="Calibri" w:hAnsi="Calibri" w:cs="Calibri"/>
          <w:b/>
          <w:bCs/>
        </w:rPr>
        <w:t>Baseline</w:t>
      </w:r>
      <w:r>
        <w:rPr>
          <w:rFonts w:ascii="Calibri" w:hAnsi="Calibri" w:cs="Calibri"/>
        </w:rPr>
        <w:t xml:space="preserve">; parent P10B-19A-08 is </w:t>
      </w:r>
      <w:r>
        <w:rPr>
          <w:rFonts w:ascii="Calibri" w:hAnsi="Calibri" w:cs="Calibri"/>
          <w:b/>
          <w:bCs/>
        </w:rPr>
        <w:t>Baseline / closed</w:t>
      </w:r>
      <w:r>
        <w:rPr>
          <w:rFonts w:ascii="Calibri" w:hAnsi="Calibri" w:cs="Calibri"/>
        </w:rPr>
        <w:t xml:space="preserve">. P10B-19A-09A, P10B-19A-09B and P10B-19A-09C are </w:t>
      </w:r>
      <w:r>
        <w:rPr>
          <w:rFonts w:ascii="Calibri" w:hAnsi="Calibri" w:cs="Calibri"/>
          <w:b/>
          <w:bCs/>
        </w:rPr>
        <w:t>Baseline</w:t>
      </w:r>
      <w:r>
        <w:rPr>
          <w:rFonts w:ascii="Calibri" w:hAnsi="Calibri" w:cs="Calibri"/>
        </w:rPr>
        <w:t xml:space="preserve">; parent P10B-19A-09 is </w:t>
      </w:r>
      <w:r>
        <w:rPr>
          <w:rFonts w:ascii="Calibri" w:hAnsi="Calibri" w:cs="Calibri"/>
          <w:b/>
          <w:bCs/>
        </w:rPr>
        <w:t>Baseline / closed</w:t>
      </w:r>
      <w:r>
        <w:rPr>
          <w:rFonts w:ascii="Calibri" w:hAnsi="Calibri" w:cs="Calibri"/>
        </w:rPr>
        <w:t xml:space="preserve">. P10B-19A-10A, P10B-19A-10B1 and P10B-19A-10B2 are </w:t>
      </w:r>
      <w:r>
        <w:rPr>
          <w:rFonts w:ascii="Calibri" w:hAnsi="Calibri" w:cs="Calibri"/>
          <w:b/>
          <w:bCs/>
        </w:rPr>
        <w:t>Baseline</w:t>
      </w:r>
      <w:r>
        <w:rPr>
          <w:rFonts w:ascii="Calibri" w:hAnsi="Calibri" w:cs="Calibri"/>
        </w:rPr>
        <w:t xml:space="preserve">; parent P10B-19A-10B is </w:t>
      </w:r>
      <w:r>
        <w:rPr>
          <w:rFonts w:ascii="Calibri" w:hAnsi="Calibri" w:cs="Calibri"/>
          <w:b/>
          <w:bCs/>
        </w:rPr>
        <w:t>Baseline / closed</w:t>
      </w:r>
      <w:r>
        <w:rPr>
          <w:rFonts w:ascii="Calibri" w:hAnsi="Calibri" w:cs="Calibri"/>
        </w:rPr>
        <w:t xml:space="preserve">. P10B-19A-10 and P10B-19A remain </w:t>
      </w:r>
      <w:r>
        <w:rPr>
          <w:rFonts w:ascii="Calibri" w:hAnsi="Calibri" w:cs="Calibri"/>
          <w:b/>
          <w:bCs/>
        </w:rPr>
        <w:t>Partial</w:t>
      </w:r>
      <w:r>
        <w:rPr>
          <w:rFonts w:ascii="Calibri" w:hAnsi="Calibri" w:cs="Calibri"/>
        </w:rPr>
        <w:t xml:space="preserve">; A-10C is the </w:t>
      </w:r>
      <w:r>
        <w:rPr>
          <w:rFonts w:ascii="Calibri" w:hAnsi="Calibri" w:cs="Calibri"/>
          <w:b/>
          <w:bCs/>
        </w:rPr>
        <w:t>exact next implementation task</w:t>
      </w:r>
      <w:r>
        <w:rPr>
          <w:rFonts w:ascii="Calibri" w:hAnsi="Calibri" w:cs="Calibri"/>
        </w:rPr>
        <w:t xml:space="preserve">, and P10B-19B-01 is </w:t>
      </w:r>
      <w:r>
        <w:rPr>
          <w:rFonts w:ascii="Calibri" w:hAnsi="Calibri" w:cs="Calibri"/>
          <w:b/>
          <w:bCs/>
        </w:rPr>
        <w:t>Planned</w:t>
      </w:r>
      <w:r>
        <w:rPr>
          <w:rFonts w:ascii="Calibri" w:hAnsi="Calibri" w:cs="Calibri"/>
        </w:rPr>
        <w:t xml:space="preserve"> after A-10C.</w:t>
      </w:r>
    </w:p>
    <w:p>
      <w:pPr>
        <w:pStyle w:val="Normal"/>
        <w:widowControl/>
      </w:pPr>
      <w:r>
        <w:rPr>
          <w:rFonts w:ascii="Calibri" w:hAnsi="Calibri" w:cs="Calibri"/>
        </w:rPr>
        <w:t xml:space="preserve">P10B-19A-08A establishes strict normalized PageBlueprint v2 and Structural Storefront Family topology projections at schema version </w:t>
      </w:r>
      <w:r>
        <w:rPr>
          <w:rFonts w:ascii="Consolas" w:hAnsi="Consolas" w:cs="Consolas"/>
          <w:sz w:val="19"/>
          <w:szCs w:val="19"/>
        </w:rPr>
        <w:t>1.0.0</w:t>
      </w:r>
      <w:r>
        <w:rPr>
          <w:rFonts w:ascii="Calibri" w:hAnsi="Calibri" w:cs="Calibri"/>
        </w:rPr>
        <w:t xml:space="preserve">. Deterministic </w:t>
      </w:r>
      <w:r>
        <w:rPr>
          <w:rFonts w:ascii="Consolas" w:hAnsi="Consolas" w:cs="Consolas"/>
          <w:sz w:val="19"/>
          <w:szCs w:val="19"/>
        </w:rPr>
        <w:t>r0</w:t>
      </w:r>
      <w:r>
        <w:rPr>
          <w:rFonts w:ascii="Calibri" w:hAnsi="Calibri" w:cs="Calibri"/>
        </w:rPr>
        <w:t xml:space="preserve">, </w:t>
      </w:r>
      <w:r>
        <w:rPr>
          <w:rFonts w:ascii="Consolas" w:hAnsi="Consolas" w:cs="Consolas"/>
          <w:sz w:val="19"/>
          <w:szCs w:val="19"/>
        </w:rPr>
        <w:t>r1</w:t>
      </w:r>
      <w:r>
        <w:rPr>
          <w:rFonts w:ascii="Calibri" w:hAnsi="Calibri" w:cs="Calibri"/>
        </w:rPr>
        <w:t xml:space="preserve">, ... tokens follow the A-03 default reading order. Page topology includes A-03 structural relationships and A-05 responsive rules and excludes A-04 asset-role and A-06 fallback authority. Page fingerprints use </w:t>
      </w:r>
      <w:r>
        <w:rPr>
          <w:rFonts w:ascii="Consolas" w:hAnsi="Consolas" w:cs="Consolas"/>
          <w:sz w:val="19"/>
          <w:szCs w:val="19"/>
        </w:rPr>
        <w:t>page-blueprint-v2-normalized-topology-v1_&lt;canonical-length&gt;_&lt;sha256&gt;</w:t>
      </w:r>
      <w:r>
        <w:rPr>
          <w:rFonts w:ascii="Calibri" w:hAnsi="Calibri" w:cs="Calibri"/>
        </w:rPr>
        <w:t xml:space="preserve">. Family topology covers all six canonical A-02 page-family roles plus A-02 relationships; family fingerprints use </w:t>
      </w:r>
      <w:r>
        <w:rPr>
          <w:rFonts w:ascii="Consolas" w:hAnsi="Consolas" w:cs="Consolas"/>
          <w:sz w:val="19"/>
          <w:szCs w:val="19"/>
        </w:rPr>
        <w:t>structural-storefront-family-normalized-topology-v1_&lt;canonical-length&gt;_&lt;sha256&gt;</w:t>
      </w:r>
      <w:r>
        <w:rPr>
          <w:rFonts w:ascii="Calibri" w:hAnsi="Calibri" w:cs="Calibri"/>
        </w:rPr>
        <w:t>. The pure, non-persisted inactive normalized-topology index groups duplicate PageBlueprint and family identities but does not reject, evaluate compatibility, select, activate, persist or expose runtime records. Production PageBlueprint v2, Structural Storefront Family and normalized-topology index record counts remain exactly zero.</w:t>
      </w:r>
    </w:p>
    <w:p>
      <w:pPr>
        <w:pStyle w:val="Normal"/>
        <w:widowControl/>
      </w:pPr>
      <w:r>
        <w:rPr>
          <w:rFonts w:ascii="Calibri" w:hAnsi="Calibri" w:cs="Calibri"/>
        </w:rPr>
        <w:t xml:space="preserve">P10B-19A-08B establishes strict schema-version </w:t>
      </w:r>
      <w:r>
        <w:rPr>
          <w:rFonts w:ascii="Consolas" w:hAnsi="Consolas" w:cs="Consolas"/>
          <w:sz w:val="19"/>
          <w:szCs w:val="19"/>
        </w:rPr>
        <w:t>1.0.0</w:t>
      </w:r>
      <w:r>
        <w:rPr>
          <w:rFonts w:ascii="Calibri" w:hAnsi="Calibri" w:cs="Calibri"/>
        </w:rPr>
        <w:t xml:space="preserve"> compatibility contracts and deterministic evaluation. The transient context uses the ordered catalogue-cardinality, fact-depth, product-complexity, navigation-depth and canonical </w:t>
      </w:r>
      <w:r>
        <w:rPr>
          <w:rFonts w:ascii="Consolas" w:hAnsi="Consolas" w:cs="Consolas"/>
          <w:sz w:val="19"/>
          <w:szCs w:val="19"/>
        </w:rPr>
        <w:t>en</w:t>
      </w:r>
      <w:r>
        <w:rPr>
          <w:rFonts w:ascii="Calibri" w:hAnsi="Calibri" w:cs="Calibri"/>
        </w:rPr>
        <w:t>/</w:t>
      </w:r>
      <w:r>
        <w:rPr>
          <w:rFonts w:ascii="Consolas" w:hAnsi="Consolas" w:cs="Consolas"/>
          <w:sz w:val="19"/>
          <w:szCs w:val="19"/>
        </w:rPr>
        <w:t>fi</w:t>
      </w:r>
      <w:r>
        <w:rPr>
          <w:rFonts w:ascii="Calibri" w:hAnsi="Calibri" w:cs="Calibri"/>
        </w:rPr>
        <w:t xml:space="preserve"> locale dimensions, and carries exact candidate-scoped capacity for every required A-04 region/role through maximum 32. Family profiles bind exact A-07 candidate fingerprints and explicitly partition all five vocabularies; the sole production profile catalogue is empty. Memoized A-06 DAG evaluation retains every compatible substitution target in declared order without choosing one. PageBlueprint statuses are directly-compatible, substitution-compatible, omission-compatible and incompatible; family statuses are directly-compatible, conditionally-compatible and incompatible. A-08A topology is provenance only. Stale-checked context, profile and evaluation fingerprints introduce no score, rank, winner, selected receipt, activation, persistence or runtime wiring. Production candidates, profiles, contexts, evaluations, active/selectable/selected records and current-generation consumers remain zero.</w:t>
      </w:r>
    </w:p>
    <w:p>
      <w:pPr>
        <w:pStyle w:val="Normal"/>
        <w:widowControl/>
      </w:pPr>
      <w:r>
        <w:rPr>
          <w:rFonts w:ascii="Calibri" w:hAnsi="Calibri" w:cs="Calibri"/>
        </w:rPr>
        <w:t xml:space="preserve">P10B-19A-08C establishes strict schema-version </w:t>
      </w:r>
      <w:r>
        <w:rPr>
          <w:rFonts w:ascii="Consolas" w:hAnsi="Consolas" w:cs="Consolas"/>
          <w:sz w:val="19"/>
          <w:szCs w:val="19"/>
        </w:rPr>
        <w:t>1.0.0</w:t>
      </w:r>
      <w:r>
        <w:rPr>
          <w:rFonts w:ascii="Calibri" w:hAnsi="Calibri" w:cs="Calibri"/>
        </w:rPr>
        <w:t xml:space="preserve"> deterministic selection requests and immutable receipts over exact A-07/A-08A/A-08B authority. Scoring-free family and PageBlueprint precedence uses case-bound canonical-fingerprint tie-breaks; selection covers all six page families, follows A-06 recursive substitution priority and retains safe omission declarations without executing them. Complete-store combinations share one global 4,096 evaluation bound and yield an identity-free complete topology, while receipt parsing replays selection to reject stale or contradictory authority. Production registry, profile, request, receipt and current-generation runtime counts remain zero; visual behavior, runtime wiring, providers, persistence and publication are unchanged. Parent P10B-19A-08 is Baseline / closed.</w:t>
      </w:r>
    </w:p>
    <w:p>
      <w:pPr>
        <w:pStyle w:val="Normal"/>
        <w:widowControl/>
      </w:pPr>
      <w:r>
        <w:rPr>
          <w:rFonts w:ascii="Calibri" w:hAnsi="Calibri" w:cs="Calibri"/>
        </w:rPr>
        <w:t xml:space="preserve">P10B-19A-09A establishes one immutable populated registry for exactly </w:t>
      </w:r>
      <w:r>
        <w:rPr>
          <w:rFonts w:ascii="Consolas" w:hAnsi="Consolas" w:cs="Consolas"/>
          <w:sz w:val="19"/>
          <w:szCs w:val="19"/>
        </w:rPr>
        <w:t>legacy-v1:premium-editorial</w:t>
      </w:r>
      <w:r>
        <w:rPr>
          <w:rFonts w:ascii="Calibri" w:hAnsi="Calibri" w:cs="Calibri"/>
        </w:rPr>
        <w:t xml:space="preserve">, </w:t>
      </w:r>
      <w:r>
        <w:rPr>
          <w:rFonts w:ascii="Consolas" w:hAnsi="Consolas" w:cs="Consolas"/>
          <w:sz w:val="19"/>
          <w:szCs w:val="19"/>
        </w:rPr>
        <w:t>legacy-v1:modern-technical</w:t>
      </w:r>
      <w:r>
        <w:rPr>
          <w:rFonts w:ascii="Calibri" w:hAnsi="Calibri" w:cs="Calibri"/>
        </w:rPr>
        <w:t xml:space="preserve">, and </w:t>
      </w:r>
      <w:r>
        <w:rPr>
          <w:rFonts w:ascii="Consolas" w:hAnsi="Consolas" w:cs="Consolas"/>
          <w:sz w:val="19"/>
          <w:szCs w:val="19"/>
        </w:rPr>
        <w:t>legacy-v1:minimal-commerce</w:t>
      </w:r>
      <w:r>
        <w:rPr>
          <w:rFonts w:ascii="Calibri" w:hAnsi="Calibri" w:cs="Calibri"/>
        </w:rPr>
        <w:t xml:space="preserve">, bound in order to the existing coordinated directions, current authority version </w:t>
      </w:r>
      <w:r>
        <w:rPr>
          <w:rFonts w:ascii="Consolas" w:hAnsi="Consolas" w:cs="Consolas"/>
          <w:sz w:val="19"/>
          <w:szCs w:val="19"/>
        </w:rPr>
        <w:t>1.1.0</w:t>
      </w:r>
      <w:r>
        <w:rPr>
          <w:rFonts w:ascii="Calibri" w:hAnsi="Calibri" w:cs="Calibri"/>
        </w:rPr>
        <w:t xml:space="preserve">, and their exact package fingerprints. Its strict replay reference retains and validates the complete current v1 selection narrowing, derives executable authority through the existing exact projection, and excludes incidental </w:t>
      </w:r>
      <w:r>
        <w:rPr>
          <w:rFonts w:ascii="Consolas" w:hAnsi="Consolas" w:cs="Consolas"/>
          <w:sz w:val="19"/>
          <w:szCs w:val="19"/>
        </w:rPr>
        <w:t>selectionId</w:t>
      </w:r>
      <w:r>
        <w:rPr>
          <w:rFonts w:ascii="Calibri" w:hAnsi="Calibri" w:cs="Calibri"/>
        </w:rPr>
        <w:t xml:space="preserve"> from replay fingerprint identity. It performs no snapshot, appearance, profile or topology inference, creates no v2 identity, and does not read, write, render or publish historical state. Historical snapshot read/render replay is owned by A-09B; publication replay and parent A-09 closure are owned by A-09C. Current generation and merchant-visible behavior are unchanged.</w:t>
      </w:r>
    </w:p>
    <w:p>
      <w:pPr>
        <w:pStyle w:val="Normal"/>
        <w:widowControl/>
      </w:pPr>
      <w:r>
        <w:rPr>
          <w:rFonts w:ascii="Calibri" w:hAnsi="Calibri" w:cs="Calibri"/>
        </w:rPr>
        <w:t xml:space="preserve">P10B-19A-09B adds a strict read-only historical-v1 adapter over current canonical snapshot, registered component, PageBlueprint-profile, shared-frame, navigation, dynamic-commerce and catalogue validation. A supplied A-09A replay reference must bind exactly; otherwise the adapter fails closed. Without a reference, it reports </w:t>
      </w:r>
      <w:r>
        <w:rPr>
          <w:rFonts w:ascii="Consolas" w:hAnsi="Consolas" w:cs="Consolas"/>
          <w:sz w:val="19"/>
          <w:szCs w:val="19"/>
        </w:rPr>
        <w:t>readable-unattributed</w:t>
      </w:r>
      <w:r>
        <w:rPr>
          <w:rFonts w:ascii="Calibri" w:hAnsi="Calibri" w:cs="Calibri"/>
        </w:rPr>
        <w:t xml:space="preserve"> and never infers lineage. The deterministic deeply immutable receipt records seven present persisted selection fields as verified, seven absent fields as unverified, normalization disposition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and fingerprint form </w:t>
      </w:r>
      <w:r>
        <w:rPr>
          <w:rFonts w:ascii="Consolas" w:hAnsi="Consolas" w:cs="Consolas"/>
          <w:sz w:val="19"/>
          <w:szCs w:val="19"/>
        </w:rPr>
        <w:t>legacy-v1-historical-snapshot-read-v1_&lt;canonical-length&gt;_&lt;sha256&gt;</w:t>
      </w:r>
      <w:r>
        <w:rPr>
          <w:rFonts w:ascii="Calibri" w:hAnsi="Calibri" w:cs="Calibri"/>
        </w:rPr>
        <w:t>. Frozen exact-base evidence matches 36 of 36 bounded current-renderer observations for the three representatives across EN/FI, with zero snapshot mutation, repository write, commerce change, media change, or route/profile/frame mismatch. This is not raw HTML equality, original-lineage recovery, migration, publication replay, v2 authority, or merchant-visible change.</w:t>
      </w:r>
    </w:p>
    <w:p>
      <w:pPr>
        <w:pStyle w:val="Normal"/>
        <w:widowControl/>
      </w:pPr>
      <w:r>
        <w:rPr>
          <w:rFonts w:ascii="Calibri" w:hAnsi="Calibri" w:cs="Calibri"/>
        </w:rPr>
        <w:t xml:space="preserve">P10B-19A-09C consumes the exact A-09B result and receipt, projects the historical snapshot only as a detached transient draft, and reuses the current canonical publication compiler with truthful </w:t>
      </w:r>
      <w:r>
        <w:rPr>
          <w:rFonts w:ascii="Consolas" w:hAnsi="Consolas" w:cs="Consolas"/>
          <w:sz w:val="19"/>
          <w:szCs w:val="19"/>
        </w:rPr>
        <w:t>manual</w:t>
      </w:r>
      <w:r>
        <w:rPr>
          <w:rFonts w:ascii="Calibri" w:hAnsi="Calibri" w:cs="Calibri"/>
        </w:rPr>
        <w:t xml:space="preserve"> source authority. It requires current migration status without write-back and returns one strict immutable replay receipt bound to A-09B and compiler fingerprints. Frozen exact-base evidence matches three direct compilations, three preparations and exactly three isolated atomic publication confirmations, including exact active compiled-artifact and added-version integrity. All 36 of 36 published renderer observations and all 36 of 36 normalized Preview/published structural observations match. Source aggregates and snapshots remain unchanged; provider, Vesko and external-publication calls are zero. No production/runtime consumer, v2 activation or merchant-visible change is added. Parent P10B-19A-09 is Baseline / closed.</w:t>
      </w:r>
    </w:p>
    <w:p>
      <w:pPr>
        <w:pStyle w:val="Normal"/>
        <w:widowControl/>
      </w:pPr>
      <w:r>
        <w:rPr>
          <w:rFonts w:ascii="Calibri" w:hAnsi="Calibri" w:cs="Calibri"/>
        </w:rPr>
        <w:t>P10B-19A-10A records the A-10A/A-10B/A-10C delivery decomposition without changing accepted architecture. Its checked, fresh-clone-safe inventory freezes 24 explicit retained matrices, commands and semantic outcomes; exact 126-case/frozen-72 and A-09 metrics; 76 task-base production-source hashes; nine v2 production-inactivity zeroes; and dynamic DEVX-01 discovery under one canonical fingerprint. It adds zero production files and no runtime consumer.</w:t>
      </w:r>
    </w:p>
    <w:p>
      <w:pPr>
        <w:pStyle w:val="Normal"/>
        <w:widowControl/>
      </w:pPr>
      <w:r>
        <w:rPr>
          <w:rFonts w:ascii="Calibri" w:hAnsi="Calibri" w:cs="Calibri"/>
        </w:rPr>
        <w:t xml:space="preserve">A-10B is delivered through two nested delivery-only children: A-10B1 owns the positive cross-authority integration matrix, while A-10B2 owns fail-closed negative coverage and parent A-10B closure. A-10B1 proves the exact 8/6/6/3 candidate/profile/context authority, three two-identity normalized topology groups, two-hop product-detail substitution, optional content/support omission, six family-constrained receipts and three sequential topology-distinct receipts. It preserves A-09 coexistence and frozen A-10A without production or runtime reach. A-10B2 binds 36 ordered fail-closed cases to the exact A-03 through A-09C owner and terminal phase. Each starts from fresh A-10B1 authority, applies one atomic corruption, completes no downstream phase, produces no partial output, preserves source fingerprints and records zero repair, fallback, default, repository-write, provider, Vesko or external-publication activity. Cases 17/18/20 alone permit native </w:t>
      </w:r>
      <w:r>
        <w:rPr>
          <w:rFonts w:ascii="Consolas" w:hAnsi="Consolas" w:cs="Consolas"/>
          <w:sz w:val="19"/>
          <w:szCs w:val="19"/>
        </w:rPr>
        <w:t>Error</w:t>
      </w:r>
      <w:r>
        <w:rPr>
          <w:rFonts w:ascii="Calibri" w:hAnsi="Calibri" w:cs="Calibri"/>
        </w:rPr>
        <w:t xml:space="preserve"> with null code; case 25 binds to </w:t>
      </w:r>
      <w:r>
        <w:rPr>
          <w:rFonts w:ascii="Consolas" w:hAnsi="Consolas" w:cs="Consolas"/>
          <w:sz w:val="19"/>
          <w:szCs w:val="19"/>
        </w:rPr>
        <w:t>stale-selection-authority</w:t>
      </w:r>
      <w:r>
        <w:rPr>
          <w:rFonts w:ascii="Calibri" w:hAnsi="Calibri" w:cs="Calibri"/>
        </w:rPr>
        <w:t xml:space="preserve">; case 28 is one coherent production-empty root replacement; and four legacy/v2 substitutions fail without coercion. The checked baseline fingerprint is </w:t>
      </w:r>
      <w:r>
        <w:rPr>
          <w:rFonts w:ascii="Consolas" w:hAnsi="Consolas" w:cs="Consolas"/>
          <w:sz w:val="19"/>
          <w:szCs w:val="19"/>
        </w:rPr>
        <w:t>p10b-19a-fail-closed-cross-authority-matrix-v1_30308_ffae8e9700b84c08fcf1fe7315846077b01170f0be0d82743dce4e8a0ac8d307</w:t>
      </w:r>
      <w:r>
        <w:rPr>
          <w:rFonts w:ascii="Calibri" w:hAnsi="Calibri" w:cs="Calibri"/>
        </w:rPr>
        <w:t xml:space="preserve">; the fixture SHA-256 is </w:t>
      </w:r>
      <w:r>
        <w:rPr>
          <w:rFonts w:ascii="Consolas" w:hAnsi="Consolas" w:cs="Consolas"/>
          <w:sz w:val="19"/>
          <w:szCs w:val="19"/>
        </w:rPr>
        <w:t>8708a2282749796c9d27d2dcd382384989c7738a5eb0b2f72f87c1ad73cb6a64</w:t>
      </w:r>
      <w:r>
        <w:rPr>
          <w:rFonts w:ascii="Calibri" w:hAnsi="Calibri" w:cs="Calibri"/>
        </w:rPr>
        <w:t>. A-10A and A-10B1 remain byte-identical, accepted 24/76/9 and 126/72/A-09 authority remains unchanged, and all nine production-v2 authority counts remain zero. A-10A, A-10B1 and A-10B2 are Baseline; parent A-10B is Baseline / closed. A-10 and P10B-19A remain Partial; A-10C is exact next, and P10B-19B-01 remains Planned after A-10C.</w:t>
      </w:r>
    </w:p>
    <w:p>
      <w:pPr>
        <w:pStyle w:val="Normal"/>
        <w:widowControl/>
      </w:pPr>
      <w:r>
        <w:rPr>
          <w:rFonts w:ascii="Calibri" w:hAnsi="Calibri" w:cs="Calibri"/>
        </w:rPr>
        <w:t>The A-08A/A-08B/A-08C, A-09A/A-09B/A-09C and A-10A/A-10B/A-10C rows, including A-10B1/A-10B2 beneath A-10B, are nested delivery-only decompositions of their accepted parent tasks. They do not renumber or expand the accepted 73-child architecture.</w:t>
      </w:r>
    </w:p>
    <w:p>
      <w:pPr>
        <w:pStyle w:val="Normal"/>
        <w:widowControl/>
      </w:pPr>
      <w:r>
        <w:rPr>
          <w:rFonts w:ascii="Calibri" w:hAnsi="Calibri" w:cs="Calibri"/>
        </w:rPr>
        <w:t xml:space="preserve">P10B-19A-07 adds strict, deeply readonly PageBlueprint v2 and Structural Storefront Family candidate authorities at candidate schema version </w:t>
      </w:r>
      <w:r>
        <w:rPr>
          <w:rFonts w:ascii="Consolas" w:hAnsi="Consolas" w:cs="Consolas"/>
          <w:sz w:val="19"/>
          <w:szCs w:val="19"/>
        </w:rPr>
        <w:t>1.0.0</w:t>
      </w:r>
      <w:r>
        <w:rPr>
          <w:rFonts w:ascii="Calibri" w:hAnsi="Calibri" w:cs="Calibri"/>
        </w:rPr>
        <w:t xml:space="preserve">. PageBlueprint candidates compose exact A-03/A-04/A-05/A-06 authority and use stale-checked </w:t>
      </w:r>
      <w:r>
        <w:rPr>
          <w:rFonts w:ascii="Consolas" w:hAnsi="Consolas" w:cs="Consolas"/>
          <w:sz w:val="19"/>
          <w:szCs w:val="19"/>
        </w:rPr>
        <w:t>page-blueprint-v2-candidate-v1_&lt;canonical-length&gt;_&lt;sha256&gt;</w:t>
      </w:r>
      <w:r>
        <w:rPr>
          <w:rFonts w:ascii="Calibri" w:hAnsi="Calibri" w:cs="Calibri"/>
        </w:rPr>
        <w:t xml:space="preserve"> exact-content fingerprints. Family candidates keep exact A-01 identity and lifecycle </w:t>
      </w:r>
      <w:r>
        <w:rPr>
          <w:rFonts w:ascii="Consolas" w:hAnsi="Consolas" w:cs="Consolas"/>
          <w:sz w:val="19"/>
          <w:szCs w:val="19"/>
        </w:rPr>
        <w:t>candidate</w:t>
      </w:r>
      <w:r>
        <w:rPr>
          <w:rFonts w:ascii="Calibri" w:hAnsi="Calibri" w:cs="Calibri"/>
        </w:rPr>
        <w:t xml:space="preserve">, cover all six A-02 page-family roles with nonempty profile references and canonical A-02 relationships, and use stale-checked </w:t>
      </w:r>
      <w:r>
        <w:rPr>
          <w:rFonts w:ascii="Consolas" w:hAnsi="Consolas" w:cs="Consolas"/>
          <w:sz w:val="19"/>
          <w:szCs w:val="19"/>
        </w:rPr>
        <w:t>structural-storefront-family-candidate-v1_&lt;canonical-length&gt;_&lt;sha256&gt;</w:t>
      </w:r>
      <w:r>
        <w:rPr>
          <w:rFonts w:ascii="Calibri" w:hAnsi="Calibri" w:cs="Calibri"/>
        </w:rPr>
        <w:t xml:space="preserve"> fingerprints that exclude lifecycle. The inactive registry rejects duplicate identities, unresolved or page-family-mismatched A-06 targets, and direct, indirect, or cross-version substitution cycles while preserving target priority. Its sole production value has two exactly empty candidate arrays. These fingerprints are content integrity, not normalized topology; active or candidate records, selection, activation, persistence, publication, and runtime consumers remain zero. A-01 through A-06 and v1 remain unchanged; A-08 owns compatibility, deterministic selection, and normalized topology. P10B-19A-06 adds one strict, deeply readonly PageBlueprint v2 omission, substitution and fallback companion at schema version </w:t>
      </w:r>
      <w:r>
        <w:rPr>
          <w:rFonts w:ascii="Consolas" w:hAnsi="Consolas" w:cs="Consolas"/>
          <w:sz w:val="19"/>
          <w:szCs w:val="19"/>
        </w:rPr>
        <w:t>1.0.0</w:t>
      </w:r>
      <w:r>
        <w:rPr>
          <w:rFonts w:ascii="Calibri" w:hAnsi="Calibri" w:cs="Calibri"/>
        </w:rPr>
        <w:t xml:space="preserve">. It composes the exact A-03 structural, A-04 asset-role and A-05 responsive identity; owns only </w:t>
      </w:r>
      <w:r>
        <w:rPr>
          <w:rFonts w:ascii="Consolas" w:hAnsi="Consolas" w:cs="Consolas"/>
          <w:sz w:val="19"/>
          <w:szCs w:val="19"/>
        </w:rPr>
        <w:t>required-asset-role-cardinality-unsatisfied</w:t>
      </w:r>
      <w:r>
        <w:rPr>
          <w:rFonts w:ascii="Calibri" w:hAnsi="Calibri" w:cs="Calibri"/>
        </w:rPr>
        <w:t xml:space="preserve">; covers every and only required-role region with one explicit </w:t>
      </w:r>
      <w:r>
        <w:rPr>
          <w:rFonts w:ascii="Consolas" w:hAnsi="Consolas" w:cs="Consolas"/>
          <w:sz w:val="19"/>
          <w:szCs w:val="19"/>
        </w:rPr>
        <w:t>omit-region</w:t>
      </w:r>
      <w:r>
        <w:rPr>
          <w:rFonts w:ascii="Calibri" w:hAnsi="Calibri" w:cs="Calibri"/>
        </w:rPr>
        <w:t xml:space="preserve"> or </w:t>
      </w:r>
      <w:r>
        <w:rPr>
          <w:rFonts w:ascii="Consolas" w:hAnsi="Consolas" w:cs="Consolas"/>
          <w:sz w:val="19"/>
          <w:szCs w:val="19"/>
        </w:rPr>
        <w:t>fail-closed</w:t>
      </w:r>
      <w:r>
        <w:rPr>
          <w:rFonts w:ascii="Calibri" w:hAnsi="Calibri" w:cs="Calibri"/>
        </w:rPr>
        <w:t xml:space="preserve"> terminal rule; and preserves up to eight whole-blueprint substitution references in declared priority order. Required regions cannot be omitted, and a bounded internal A-03 projection revalidates the maximum simultaneous optional omission without export, persistence or fingerprinting. It adds no availability, target lookup, compatibility, selection, execution, records, registry, persistence, rendering or current- generation consumer. P10B-19A-05 retains the strict responsive-rule companion; P10B-19A-04 adds one strict, deeply readonly PageBlueprint v2 asset-role compatibility companion. It reuses the canonical ordered nine-role vocabulary; binds exact blueprint ID/version and known regions; validates explicit required/optional role cardinality through maximum 32; and canonicalizes only valid authority by structural default reading order and canonical role order. It adds no exact asset, availability, reuse, responsive/fallback, record, registry, persistence, selector, renderer or current-generation authority. P10B-19A-03 adds the strict inactive PageBlueprint v2 structural contract and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w:t>
      </w:r>
      <w:r>
        <w:rPr>
          <w:rFonts w:ascii="Consolas" w:hAnsi="Consolas" w:cs="Consolas"/>
          <w:sz w:val="19"/>
          <w:szCs w:val="19"/>
        </w:rPr>
        <w:t>contractSchemaVersion</w:t>
      </w:r>
      <w:r>
        <w:rPr>
          <w:rFonts w:ascii="Calibri" w:hAnsi="Calibri" w:cs="Calibri"/>
        </w:rPr>
        <w:t xml:space="preserve"> dispatch under </w:t>
      </w:r>
      <w:r>
        <w:rPr>
          <w:rFonts w:ascii="Consolas" w:hAnsi="Consolas" w:cs="Consolas"/>
          <w:sz w:val="19"/>
          <w:szCs w:val="19"/>
        </w:rPr>
        <w:t>src/application/storefront-templates</w:t>
      </w:r>
      <w:r>
        <w:rPr>
          <w:rFonts w:ascii="Calibri" w:hAnsi="Calibri" w:cs="Calibri"/>
        </w:rPr>
        <w:t xml:space="preserve">. It reuses canonical page-family, narrative-role and visual-weight authority; locks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validates required-role minimums, bounded graph invariants and complete accessible order alternatives; and canonicalizes only valid authority. Existing v1 profiles are unchanged. Active-family, candidate-family-registry, v2-record, v2-registry, persisted-v2 and current-generation-v2-consumer counts remain zero. A-03 itself added no responsive or fallback authority. P10B-19A-02 adds the strict six-role and seven-kind directed relationship value object, deterministic key, bounded duplicate evidence and canonical collection ordering. It adds zero active family records, candidate registry records, persisted relationships, production-selected relationships or current-generation consumers. P10B-19A-01 establishes </w:t>
      </w:r>
      <w:r>
        <w:rPr>
          <w:rFonts w:ascii="Consolas" w:hAnsi="Consolas" w:cs="Consolas"/>
          <w:sz w:val="19"/>
          <w:szCs w:val="19"/>
        </w:rPr>
        <w:t>src/domain/structural-storefront-family</w:t>
      </w:r>
      <w:r>
        <w:rPr>
          <w:rFonts w:ascii="Calibri" w:hAnsi="Calibri" w:cs="Calibri"/>
        </w:rPr>
        <w:t xml:space="preserve"> as the sole family identity authority with the ordered IDs </w:t>
      </w:r>
      <w:r>
        <w:rPr>
          <w:rFonts w:ascii="Consolas" w:hAnsi="Consolas" w:cs="Consolas"/>
          <w:sz w:val="19"/>
          <w:szCs w:val="19"/>
        </w:rPr>
        <w:t>editorial-offset</w:t>
      </w:r>
      <w:r>
        <w:rPr>
          <w:rFonts w:ascii="Calibri" w:hAnsi="Calibri" w:cs="Calibri"/>
        </w:rPr>
        <w:t xml:space="preserve">, </w:t>
      </w:r>
      <w:r>
        <w:rPr>
          <w:rFonts w:ascii="Consolas" w:hAnsi="Consolas" w:cs="Consolas"/>
          <w:sz w:val="19"/>
          <w:szCs w:val="19"/>
        </w:rPr>
        <w:t>campaign-modular</w:t>
      </w:r>
      <w:r>
        <w:rPr>
          <w:rFonts w:ascii="Calibri" w:hAnsi="Calibri" w:cs="Calibri"/>
        </w:rPr>
        <w:t xml:space="preserve">, </w:t>
      </w:r>
      <w:r>
        <w:rPr>
          <w:rFonts w:ascii="Consolas" w:hAnsi="Consolas" w:cs="Consolas"/>
          <w:sz w:val="19"/>
          <w:szCs w:val="19"/>
        </w:rPr>
        <w:t>product-first-commerce</w:t>
      </w:r>
      <w:r>
        <w:rPr>
          <w:rFonts w:ascii="Calibri" w:hAnsi="Calibri" w:cs="Calibri"/>
        </w:rPr>
        <w:t xml:space="preserve">, </w:t>
      </w:r>
      <w:r>
        <w:rPr>
          <w:rFonts w:ascii="Consolas" w:hAnsi="Consolas" w:cs="Consolas"/>
          <w:sz w:val="19"/>
          <w:szCs w:val="19"/>
        </w:rPr>
        <w:t>technical-comparison</w:t>
      </w:r>
      <w:r>
        <w:rPr>
          <w:rFonts w:ascii="Calibri" w:hAnsi="Calibri" w:cs="Calibri"/>
        </w:rPr>
        <w:t xml:space="preserve">, </w:t>
      </w:r>
      <w:r>
        <w:rPr>
          <w:rFonts w:ascii="Consolas" w:hAnsi="Consolas" w:cs="Consolas"/>
          <w:sz w:val="19"/>
          <w:szCs w:val="19"/>
        </w:rPr>
        <w:t>warm-narrative</w:t>
      </w:r>
      <w:r>
        <w:rPr>
          <w:rFonts w:ascii="Calibri" w:hAnsi="Calibri" w:cs="Calibri"/>
        </w:rPr>
        <w:t xml:space="preserve">, and </w:t>
      </w:r>
      <w:r>
        <w:rPr>
          <w:rFonts w:ascii="Consolas" w:hAnsi="Consolas" w:cs="Consolas"/>
          <w:sz w:val="19"/>
          <w:szCs w:val="19"/>
        </w:rPr>
        <w:t>restrained-gallery</w:t>
      </w:r>
      <w:r>
        <w:rPr>
          <w:rFonts w:ascii="Calibri" w:hAnsi="Calibri" w:cs="Calibri"/>
        </w:rPr>
        <w:t xml:space="preserve">; strict supported-major-v1 versions beginning at </w:t>
      </w:r>
      <w:r>
        <w:rPr>
          <w:rFonts w:ascii="Consolas" w:hAnsi="Consolas" w:cs="Consolas"/>
          <w:sz w:val="19"/>
          <w:szCs w:val="19"/>
        </w:rPr>
        <w:t>1.0.0</w:t>
      </w:r>
      <w:r>
        <w:rPr>
          <w:rFonts w:ascii="Calibri" w:hAnsi="Calibri" w:cs="Calibri"/>
        </w:rPr>
        <w:t xml:space="preserve">; and lifecycle states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Active-family and candidate- registry-record counts remain zero. A-01 itself added no registry, fingerprint, selection, PageBlueprint v2, rendering, or current-generation wiring.</w:t>
      </w:r>
    </w:p>
    <w:p>
      <w:pPr>
        <w:pStyle w:val="Normal"/>
        <w:widowControl/>
      </w:pPr>
      <w:r>
        <w:rPr>
          <w:rFonts w:ascii="Calibri" w:hAnsi="Calibri" w:cs="Calibri"/>
        </w:rPr>
        <w:t>No P10B-19A production authority is implemented by DEVX-01A.</w:t>
      </w:r>
    </w:p>
    <w:p>
      <w:pPr>
        <w:pStyle w:val="Normal"/>
        <w:widowControl/>
      </w:pPr>
      <w:r>
        <w:rPr>
          <w:rFonts w:ascii="Calibri" w:hAnsi="Calibri" w:cs="Calibri"/>
        </w:rPr>
        <w:t>The immutable DEVX-01A product-owner contract explicitly replaces the earlier six-child P10B-19A delivery partition with this ten-child merge map. Structural, PageBlueprint v2, registry, compatibility, migration and closure ownership remain exactly as accepted in P10B-19 PRE.</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3"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4" w:history="1">
        <w:r>
          <w:rPr>
            <w:rFonts w:ascii="Calibri" w:hAnsi="Calibri" w:cs="Calibri"/>
            <w:color w:val="2E74B5"/>
            <w:u w:val="single"/>
          </w:rPr>
          <w:t>P10B_COMMERCIAL_STOREFRONT_GENERATION_ARCHITECTURE.md</w:t>
        </w:r>
      </w:hyperlink>
      <w:r>
        <w:rPr>
          <w:rFonts w:ascii="Calibri" w:hAnsi="Calibri" w:cs="Calibri"/>
        </w:rPr>
        <w:t xml:space="preserve">. P10B-01 through P10B-17, P10B-16P-01 through P10B-16P-05A, P10B-16P-06, accepted P10B-18A and accepted P10B-18B-01, P10B-18B-06, P10B-18B-02, P10B-18B-03, P10B-18B-04 and P10B-18B-05 are </w:t>
      </w:r>
      <w:r>
        <w:rPr>
          <w:rFonts w:ascii="Calibri" w:hAnsi="Calibri" w:cs="Calibri"/>
          <w:b/>
          <w:bCs/>
        </w:rPr>
        <w:t>Baseline</w:t>
      </w:r>
      <w:r>
        <w:rPr>
          <w:rFonts w:ascii="Calibri" w:hAnsi="Calibri" w:cs="Calibri"/>
        </w:rPr>
        <w:t xml:space="preserve">. P10B-16P-02, parent P10B-18B, P10B-18C and P10B-16P-05B are </w:t>
      </w:r>
      <w:r>
        <w:rPr>
          <w:rFonts w:ascii="Calibri" w:hAnsi="Calibri" w:cs="Calibri"/>
          <w:b/>
          <w:bCs/>
        </w:rPr>
        <w:t>Baseline</w:t>
      </w:r>
      <w:r>
        <w:rPr>
          <w:rFonts w:ascii="Calibri" w:hAnsi="Calibri" w:cs="Calibri"/>
        </w:rPr>
        <w:t xml:space="preserve">; P10B-18 and P10B remain </w:t>
      </w:r>
      <w:r>
        <w:rPr>
          <w:rFonts w:ascii="Calibri" w:hAnsi="Calibri" w:cs="Calibri"/>
          <w:b/>
          <w:bCs/>
        </w:rPr>
        <w:t>Partial</w:t>
      </w:r>
      <w:r>
        <w:rPr>
          <w:rFonts w:ascii="Calibri" w:hAnsi="Calibri" w:cs="Calibri"/>
        </w:rPr>
        <w:t xml:space="preserve">; P10B-18D is a </w:t>
      </w:r>
      <w:r>
        <w:rPr>
          <w:rFonts w:ascii="Calibri" w:hAnsi="Calibri" w:cs="Calibri"/>
          <w:b/>
          <w:bCs/>
        </w:rPr>
        <w:t>Baseline diagnostic with live commercial quality rejected</w:t>
      </w:r>
      <w:r>
        <w:rPr>
          <w:rFonts w:ascii="Calibri" w:hAnsi="Calibri" w:cs="Calibri"/>
        </w:rPr>
        <w:t xml:space="preserve">. P10B-19 PRE is </w:t>
      </w:r>
      <w:r>
        <w:rPr>
          <w:rFonts w:ascii="Calibri" w:hAnsi="Calibri" w:cs="Calibri"/>
          <w:b/>
          <w:bCs/>
        </w:rPr>
        <w:t>Baseline</w:t>
      </w:r>
      <w:r>
        <w:rPr>
          <w:rFonts w:ascii="Calibri" w:hAnsi="Calibri" w:cs="Calibri"/>
        </w:rPr>
        <w:t xml:space="preserve">. P10B-19A-01 through P10B-19A-07 and P10B-19A-08A through P10B-19A-08C are </w:t>
      </w:r>
      <w:r>
        <w:rPr>
          <w:rFonts w:ascii="Calibri" w:hAnsi="Calibri" w:cs="Calibri"/>
          <w:b/>
          <w:bCs/>
        </w:rPr>
        <w:t>Baseline</w:t>
      </w:r>
      <w:r>
        <w:rPr>
          <w:rFonts w:ascii="Calibri" w:hAnsi="Calibri" w:cs="Calibri"/>
        </w:rPr>
        <w:t xml:space="preserve">; parent P10B-19A-08 is </w:t>
      </w:r>
      <w:r>
        <w:rPr>
          <w:rFonts w:ascii="Calibri" w:hAnsi="Calibri" w:cs="Calibri"/>
          <w:b/>
          <w:bCs/>
        </w:rPr>
        <w:t>Baseline / closed</w:t>
      </w:r>
      <w:r>
        <w:rPr>
          <w:rFonts w:ascii="Calibri" w:hAnsi="Calibri" w:cs="Calibri"/>
        </w:rPr>
        <w:t xml:space="preserve">. P10B-19A-09A, P10B-19A-09B and P10B-19A-09C are </w:t>
      </w:r>
      <w:r>
        <w:rPr>
          <w:rFonts w:ascii="Calibri" w:hAnsi="Calibri" w:cs="Calibri"/>
          <w:b/>
          <w:bCs/>
        </w:rPr>
        <w:t>Baseline</w:t>
      </w:r>
      <w:r>
        <w:rPr>
          <w:rFonts w:ascii="Calibri" w:hAnsi="Calibri" w:cs="Calibri"/>
        </w:rPr>
        <w:t xml:space="preserve">; parent P10B-19A-09 is </w:t>
      </w:r>
      <w:r>
        <w:rPr>
          <w:rFonts w:ascii="Calibri" w:hAnsi="Calibri" w:cs="Calibri"/>
          <w:b/>
          <w:bCs/>
        </w:rPr>
        <w:t>Baseline / closed</w:t>
      </w:r>
      <w:r>
        <w:rPr>
          <w:rFonts w:ascii="Calibri" w:hAnsi="Calibri" w:cs="Calibri"/>
        </w:rPr>
        <w:t xml:space="preserve">. P10B-19A-10A, P10B-19A-10B1 and P10B-19A-10B2 are </w:t>
      </w:r>
      <w:r>
        <w:rPr>
          <w:rFonts w:ascii="Calibri" w:hAnsi="Calibri" w:cs="Calibri"/>
          <w:b/>
          <w:bCs/>
        </w:rPr>
        <w:t>Baseline</w:t>
      </w:r>
      <w:r>
        <w:rPr>
          <w:rFonts w:ascii="Calibri" w:hAnsi="Calibri" w:cs="Calibri"/>
        </w:rPr>
        <w:t xml:space="preserve">; parent P10B-19A-10B is </w:t>
      </w:r>
      <w:r>
        <w:rPr>
          <w:rFonts w:ascii="Calibri" w:hAnsi="Calibri" w:cs="Calibri"/>
          <w:b/>
          <w:bCs/>
        </w:rPr>
        <w:t>Baseline / closed</w:t>
      </w:r>
      <w:r>
        <w:rPr>
          <w:rFonts w:ascii="Calibri" w:hAnsi="Calibri" w:cs="Calibri"/>
        </w:rPr>
        <w:t xml:space="preserve">. P10B-19A-10 and P10B-19A remain </w:t>
      </w:r>
      <w:r>
        <w:rPr>
          <w:rFonts w:ascii="Calibri" w:hAnsi="Calibri" w:cs="Calibri"/>
          <w:b/>
          <w:bCs/>
        </w:rPr>
        <w:t>Partial</w:t>
      </w:r>
      <w:r>
        <w:rPr>
          <w:rFonts w:ascii="Calibri" w:hAnsi="Calibri" w:cs="Calibri"/>
        </w:rPr>
        <w:t xml:space="preserve">, and A-10C is the exact next implementation task. P10B-16P-04 acceptance evidence is retained in </w:t>
      </w:r>
      <w:hyperlink r:id="rIdHyperlink5" w:history="1">
        <w:r>
          <w:rPr>
            <w:rFonts w:ascii="Calibri" w:hAnsi="Calibri" w:cs="Calibri"/>
            <w:color w:val="2E74B5"/>
            <w:u w:val="single"/>
          </w:rPr>
          <w:t>P10B_16P_04_REAL_STUDIO_DESIGN_INTENT_ACCEPTANCE.md</w:t>
        </w:r>
      </w:hyperlink>
      <w:r>
        <w:rPr>
          <w:rFonts w:ascii="Calibri" w:hAnsi="Calibri" w:cs="Calibri"/>
        </w:rPr>
        <w:t>. The remaining Done conditions are implementation gates, not claims about the current repository. The P10B-16P-01 through P10B-16P-05A plus P10B-16P-06 sequence is a mandatory convergence package between P10B-16 and P10B-17; it supplements rather than renumbers the locked P10B-01 through P10B-18 plan. P10B-16P-05B follows accepted P10B-18C and is now Baseline. P10B-18D completed as a rejected-quality diagnostic. P10B-19 PRE is Baseline. P10B-19A-01 through P10B-19A-07 and P10B-19A-08A through P10B-19A-08C are Baseline; parent P10B-19A-08 is Baseline / closed. P10B-19A-09A, P10B-19A-09B and P10B-19A-09C are Baseline; parent P10B-19A-09 is Baseline / closed. P10B-19A remains Partial; P10B-19A-10A, P10B-19A-10B1 and P10B-19A-10B2 are Baseline; parent P10B-19A-10B is Baseline / closed; P10B-19A-10 remains Partial. A-10C is the exact next implementation task and P10B-19B-01 follows it; P10B-19B through P10B-19J remain Planned.</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6"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7"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8"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9"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10"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11"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12"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14"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widowControl/>
      </w:pPr>
      <w:r>
        <w:rPr>
          <w:rFonts w:ascii="Calibri" w:hAnsi="Calibri" w:cs="Calibri"/>
          <w:b/>
          <w:bCs/>
        </w:rPr>
        <w:t>Status:</w:t>
      </w:r>
      <w:r>
        <w:rPr>
          <w:rFonts w:ascii="Calibri" w:hAnsi="Calibri" w:cs="Calibri"/>
        </w:rPr>
        <w:t xml:space="preserve"> Baseline. Four fingerprinted executable PageBlueprint profiles now select the existing P10B-06 shared frame, P10B-03 </w:t>
      </w:r>
      <w:r>
        <w:rPr>
          <w:rFonts w:ascii="Consolas" w:hAnsi="Consolas" w:cs="Consolas"/>
          <w:sz w:val="19"/>
          <w:szCs w:val="19"/>
        </w:rPr>
        <w:t>dynamicCollectionCommerce</w:t>
      </w:r>
      <w:r>
        <w:rPr>
          <w:rFonts w:ascii="Calibri" w:hAnsi="Calibri" w:cs="Calibri"/>
        </w:rPr>
        <w:t xml:space="preserve"> anatomy, P10B-08 canonical card anatomy, and P10B-04 approved media treatment. Exact canonical catalogue bindings preserve product membership/order, facts, product media, filters/sort state, and child-collection order. Campaign media is approved collection/editorial media, not a product-media replacement. A transient revision-checked zero-result context keeps the query without fabricating products. Deterministic lifecycle and 16-view Chromium evidence pass with zero provider calls. See </w:t>
      </w:r>
      <w:hyperlink r:id="rIdHyperlink15" w:history="1">
        <w:r>
          <w:rPr>
            <w:rFonts w:ascii="Calibri" w:hAnsi="Calibri" w:cs="Calibri"/>
            <w:color w:val="2E74B5"/>
            <w:u w:val="single"/>
          </w:rPr>
          <w:t>P10B_10_COMMERCIAL_COLLECTION_SEARCH_PROFILES.md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 from current approved facts.</w:t>
      </w:r>
    </w:p>
    <w:p>
      <w:pPr>
        <w:pStyle w:val="Normal"/>
        <w:numPr>
          <w:ilvl w:val="0"/>
          <w:numId w:val="1"/>
        </w:numPr>
        <w:widowControl/>
      </w:pPr>
      <w:r>
        <w:rPr>
          <w:rFonts w:ascii="Calibri" w:hAnsi="Calibri" w:cs="Calibri"/>
          <w:b/>
          <w:bCs/>
        </w:rPr>
        <w:t>Authority:</w:t>
      </w:r>
      <w:r>
        <w:rPr>
          <w:rFonts w:ascii="Calibri" w:hAnsi="Calibri" w:cs="Calibri"/>
        </w:rPr>
        <w:t xml:space="preserve"> Existing P10B-05 PageBlueprint/page-family, content/evidence, localization, navigation, and </w:t>
      </w:r>
      <w:r>
        <w:rPr>
          <w:rFonts w:ascii="Consolas" w:hAnsi="Consolas" w:cs="Consolas"/>
          <w:sz w:val="19"/>
          <w:szCs w:val="19"/>
        </w:rPr>
        <w:t>StorefrontSnapshot</w:t>
      </w:r>
      <w:r>
        <w:rPr>
          <w:rFonts w:ascii="Calibri" w:hAnsi="Calibri" w:cs="Calibri"/>
        </w:rPr>
        <w:t xml:space="preserve">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Fifteen structurally distinct registered profiles resolve exact current approved brief evidence into strict localized fact documents. P10B-05 preserves page-set, route, locale, and transitive navigation authority; P10B-06 frames and P10B-07 editorial/campaign renderers are reused. Snapshot save/reload and deterministic publication preserve the exact document. See </w:t>
      </w:r>
      <w:hyperlink r:id="rIdHyperlink16" w:history="1">
        <w:r>
          <w:rPr>
            <w:rFonts w:ascii="Calibri" w:hAnsi="Calibri" w:cs="Calibri"/>
            <w:color w:val="2E74B5"/>
            <w:u w:val="single"/>
          </w:rPr>
          <w:t>P10B_12_CONTENT_AND_SUPPORT_PAGE_FAMILIES.md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Caller bodies cannot authorize facts. Missing, stale, revoked, superseded, unapproved, malformed, mismatched, or wrong-family evidence fails; required unsupported facts fail while optional content omits only through registered P10B-05 policy.</w:t>
      </w:r>
    </w:p>
    <w:p>
      <w:pPr>
        <w:pStyle w:val="Normal"/>
        <w:numPr>
          <w:ilvl w:val="0"/>
          <w:numId w:val="1"/>
        </w:numPr>
        <w:widowControl/>
      </w:pPr>
      <w:r>
        <w:rPr>
          <w:rFonts w:ascii="Calibri" w:hAnsi="Calibri" w:cs="Calibri"/>
          <w:b/>
          <w:bCs/>
        </w:rPr>
        <w:t>Evidence:</w:t>
      </w:r>
      <w:r>
        <w:rPr>
          <w:rFonts w:ascii="Calibri" w:hAnsi="Calibri" w:cs="Calibri"/>
        </w:rPr>
        <w:t xml:space="preserve"> Contract/profile, source fact/provenance, generation/lifecycle, locale/navigation, protected-commerce, compiler, and 61 zero-provider Chromium checks at 375/768/1024/1440 px.</w:t>
      </w:r>
    </w:p>
    <w:p>
      <w:pPr>
        <w:pStyle w:val="Normal"/>
        <w:numPr>
          <w:ilvl w:val="0"/>
          <w:numId w:val="1"/>
        </w:numPr>
        <w:widowControl/>
      </w:pPr>
      <w:r>
        <w:rPr>
          <w:rFonts w:ascii="Calibri" w:hAnsi="Calibri" w:cs="Calibri"/>
          <w:b/>
          <w:bCs/>
        </w:rPr>
        <w:t>Non-goal:</w:t>
      </w:r>
      <w:r>
        <w:rPr>
          <w:rFonts w:ascii="Calibri" w:hAnsi="Calibri" w:cs="Calibri"/>
        </w:rPr>
        <w:t xml:space="preserve"> Unrestricted CMS, legal-content generation, a second page graph, or a provider path.</w:t>
      </w:r>
    </w:p>
    <w:p>
      <w:pPr>
        <w:pStyle w:val="Heading3"/>
        <w:keepNext/>
        <w:widowControl/>
      </w:pPr>
      <w:r>
        <w:rPr>
          <w:rFonts w:ascii="Calibri" w:hAnsi="Calibri" w:cs="Calibri"/>
        </w:rPr>
        <w:t>P10B-13 — Commerce utility presentation pages — Baseline</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Delivered:</w:t>
      </w:r>
      <w:r>
        <w:rPr>
          <w:rFonts w:ascii="Calibri" w:hAnsi="Calibri" w:cs="Calibri"/>
        </w:rPr>
        <w:t xml:space="preserve"> Six deterministic PageBlueprint profiles materialize one </w:t>
      </w:r>
      <w:r>
        <w:rPr>
          <w:rFonts w:ascii="Consolas" w:hAnsi="Consolas" w:cs="Consolas"/>
          <w:sz w:val="19"/>
          <w:szCs w:val="19"/>
        </w:rPr>
        <w:t>commerceUtility</w:t>
      </w:r>
      <w:r>
        <w:rPr>
          <w:rFonts w:ascii="Calibri" w:hAnsi="Calibri" w:cs="Calibri"/>
        </w:rPr>
        <w:t xml:space="preserve"> component through the P10B-05 family page; registered loading state renders on its pending route instead of replacing the 404 singleton. Read-only runtime state supplies canonical cart facts, checkout continuation, P10B-10 query/filter context, and bounded recovery actions while the snapshot preserves presentation only. Shared-frame/Design DNA, save/reload, publication, four- width browser evidence, and no-provider behavior are covered under </w:t>
      </w:r>
      <w:hyperlink r:id="rIdHyperlink17" w:history="1">
        <w:r>
          <w:rPr>
            <w:rFonts w:ascii="Calibri" w:hAnsi="Calibri" w:cs="Calibri"/>
            <w:color w:val="2E74B5"/>
            <w:u w:val="single"/>
          </w:rPr>
          <w:t>P10B_13_COMMERCE_UTILITY_PRESENTATION_PAGES.md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 — Baseline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Delivered:</w:t>
      </w:r>
      <w:r>
        <w:rPr>
          <w:rFonts w:ascii="Calibri" w:hAnsi="Calibri" w:cs="Calibri"/>
        </w:rPr>
        <w:t xml:space="preserve"> One approved Lumo brief, read-only two-product commerce projection and approved assets reach a 17-route canonical snapshot through the site-map, commercial PageBlueprint, whole-storefront proposal, save/reload and deterministic publication path. One Design DNA and </w:t>
      </w:r>
      <w:r>
        <w:rPr>
          <w:rFonts w:ascii="Consolas" w:hAnsi="Consolas" w:cs="Consolas"/>
          <w:sz w:val="19"/>
          <w:szCs w:val="19"/>
        </w:rPr>
        <w:t>centered-minimal</w:t>
      </w:r>
      <w:r>
        <w:rPr>
          <w:rFonts w:ascii="Calibri" w:hAnsi="Calibri" w:cs="Calibri"/>
        </w:rPr>
        <w:t xml:space="preserve"> frame span all pages; simple/configurable PDP, factual content, utility states, 15 four-width/representative screenshots and the passing 160-scenario human record are retained in </w:t>
      </w:r>
      <w:hyperlink r:id="rIdHyperlink18"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 — Baseline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Delivered:</w:t>
      </w:r>
      <w:r>
        <w:rPr>
          <w:rFonts w:ascii="Calibri" w:hAnsi="Calibri" w:cs="Calibri"/>
        </w:rPr>
        <w:t xml:space="preserve"> One versioned deterministic synthesis contract binds exact merchant, evidence, commerce, asset, Design DNA, site-map, frame, PageBlueprint/profile, component/anatomy, narrative, density, art-direction, responsive, planner, registry and recipe authority. The same approved fixture produces editorial-heavy, commerce/discovery-heavy and restrained/minimal complete 17-route stores through the existing whole-storefront proposal, snapshot, save/reload, renderer and immutable publication chain. Details are retained in </w:t>
      </w:r>
      <w:hyperlink r:id="rIdHyperlink19"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Required 25-case deterministic matrix; P10B-14 regression; three distinct complete outcomes; exact save/reload and deterministic publication; dedicated 375/768/1024/1440 browser evidence; and three passing 160-scenario retained human commercial reviews (480 scenarios).</w:t>
      </w:r>
    </w:p>
    <w:p>
      <w:pPr>
        <w:pStyle w:val="Normal"/>
        <w:numPr>
          <w:ilvl w:val="0"/>
          <w:numId w:val="1"/>
        </w:numPr>
        <w:widowControl/>
      </w:pPr>
      <w:r>
        <w:rPr>
          <w:rFonts w:ascii="Calibri" w:hAnsi="Calibri" w:cs="Calibri"/>
          <w:b/>
          <w:bCs/>
        </w:rPr>
        <w:t>Non-goal:</w:t>
      </w:r>
      <w:r>
        <w:rPr>
          <w:rFonts w:ascii="Calibri" w:hAnsi="Calibri" w:cs="Calibri"/>
        </w:rPr>
        <w:t xml:space="preserve"> Arbitrary trees/styles, a second synthesis representation, or P10B-16 duplicate/near-duplicate and direction-scale authority.</w:t>
      </w:r>
    </w:p>
    <w:p>
      <w:pPr>
        <w:pStyle w:val="Heading3"/>
        <w:keepNext/>
        <w:widowControl/>
      </w:pPr>
      <w:r>
        <w:rPr>
          <w:rFonts w:ascii="Calibri" w:hAnsi="Calibri" w:cs="Calibri"/>
        </w:rPr>
        <w:t>P10B-16 — Coordinated directions and diversity control — Baseline</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Versioned Premium Editorial, Modern Technical and Minimal Commerce narrowing packages over P10B-15 plus deterministic direction/diversity fingerprint authority.</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w:t>
      </w:r>
      <w:r>
        <w:rPr>
          <w:rFonts w:ascii="Calibri" w:hAnsi="Calibri" w:cs="Calibri"/>
        </w:rPr>
        <w:t xml:space="preserve"> Three canonical packages validate current Design DNA/profile/frame/anatomy/page/evidence references and drive the canonical proposal/snapshot lifecycle. Fingerprints cover Design DNA, page set/profiles, frame, anatomies/variants, bounded parameters, image posture, density/responsive posture and narrative composition; comparison classifies exact, palette-only, shallow, near and material outcomes; repetition control fails closed when novelty is exhausted.</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31 focused unit/integration cases; nine representative complete outcomes; exact save/reload and compiled publication; protected commerce/evidence/media parity; dedicated 375/768/1024/1440 browser coverage; three retained human commercial reviews and one exact evidence manifest. See </w:t>
      </w:r>
      <w:hyperlink r:id="rIdHyperlink20" w:history="1">
        <w:r>
          <w:rPr>
            <w:rFonts w:ascii="Calibri" w:hAnsi="Calibri" w:cs="Calibri"/>
            <w:color w:val="2E74B5"/>
            <w:u w:val="single"/>
          </w:rPr>
          <w:t>P10B_16_COORDINATED_DIRECTIONS_AND_DIVERSITY_CONTROL.md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P10B-16P-01 — Dynamic commerce route archetype authority — Baseline</w:t>
      </w:r>
    </w:p>
    <w:p>
      <w:pPr>
        <w:pStyle w:val="Normal"/>
        <w:numPr>
          <w:ilvl w:val="0"/>
          <w:numId w:val="1"/>
        </w:numPr>
        <w:widowControl/>
      </w:pPr>
      <w:r>
        <w:rPr>
          <w:rFonts w:ascii="Calibri" w:hAnsi="Calibri" w:cs="Calibri"/>
          <w:b/>
          <w:bCs/>
        </w:rPr>
        <w:t>Outcome:</w:t>
      </w:r>
      <w:r>
        <w:rPr>
          <w:rFonts w:ascii="Calibri" w:hAnsi="Calibri" w:cs="Calibri"/>
        </w:rPr>
        <w:t xml:space="preserve"> Separate genuinely static editable pages, maintained collection/search and PDP design archetypes, and concrete commerce route inventory without removing public routes.</w:t>
      </w:r>
    </w:p>
    <w:p>
      <w:pPr>
        <w:pStyle w:val="Normal"/>
        <w:numPr>
          <w:ilvl w:val="0"/>
          <w:numId w:val="1"/>
        </w:numPr>
        <w:widowControl/>
      </w:pPr>
      <w:r>
        <w:rPr>
          <w:rFonts w:ascii="Calibri" w:hAnsi="Calibri" w:cs="Calibri"/>
          <w:b/>
          <w:bCs/>
        </w:rPr>
        <w:t>Authority:</w:t>
      </w:r>
      <w:r>
        <w:rPr>
          <w:rFonts w:ascii="Calibri" w:hAnsi="Calibri" w:cs="Calibri"/>
        </w:rPr>
        <w:t xml:space="preserve"> One versioned/fingerprinted </w:t>
      </w:r>
      <w:r>
        <w:rPr>
          <w:rFonts w:ascii="Consolas" w:hAnsi="Consolas" w:cs="Consolas"/>
          <w:sz w:val="19"/>
          <w:szCs w:val="19"/>
        </w:rPr>
        <w:t>dynamicCommercePresentation</w:t>
      </w:r>
      <w:r>
        <w:rPr>
          <w:rFonts w:ascii="Calibri" w:hAnsi="Calibri" w:cs="Calibri"/>
        </w:rPr>
        <w:t xml:space="preserve"> member inside canonical </w:t>
      </w:r>
      <w:r>
        <w:rPr>
          <w:rFonts w:ascii="Consolas" w:hAnsi="Consolas" w:cs="Consolas"/>
          <w:sz w:val="19"/>
          <w:szCs w:val="19"/>
        </w:rPr>
        <w:t>StorefrontSnapshot</w:t>
      </w:r>
      <w:r>
        <w:rPr>
          <w:rFonts w:ascii="Calibri" w:hAnsi="Calibri" w:cs="Calibri"/>
        </w:rPr>
        <w:t>; existing PageBlueprint profiles, dynamic commerce components, read-only catalogue projection, renderer, persistence, history, compiler, and publication remain singular.</w:t>
      </w:r>
    </w:p>
    <w:p>
      <w:pPr>
        <w:pStyle w:val="Normal"/>
        <w:numPr>
          <w:ilvl w:val="0"/>
          <w:numId w:val="1"/>
        </w:numPr>
        <w:widowControl/>
      </w:pPr>
      <w:r>
        <w:rPr>
          <w:rFonts w:ascii="Calibri" w:hAnsi="Calibri" w:cs="Calibri"/>
          <w:b/>
          <w:bCs/>
        </w:rPr>
        <w:t>Depends on:</w:t>
      </w:r>
      <w:r>
        <w:rPr>
          <w:rFonts w:ascii="Calibri" w:hAnsi="Calibri" w:cs="Calibri"/>
        </w:rPr>
        <w:t xml:space="preserve"> P10B-16 and the implemented P10B-05, P10B-10, and P10B-11 authorities.</w:t>
      </w:r>
    </w:p>
    <w:p>
      <w:pPr>
        <w:pStyle w:val="Normal"/>
        <w:numPr>
          <w:ilvl w:val="0"/>
          <w:numId w:val="1"/>
        </w:numPr>
        <w:widowControl/>
      </w:pPr>
      <w:r>
        <w:rPr>
          <w:rFonts w:ascii="Calibri" w:hAnsi="Calibri" w:cs="Calibri"/>
          <w:b/>
          <w:bCs/>
        </w:rPr>
        <w:t>Delivered:</w:t>
      </w:r>
      <w:r>
        <w:rPr>
          <w:rFonts w:ascii="Calibri" w:hAnsi="Calibri" w:cs="Calibri"/>
        </w:rPr>
        <w:t xml:space="preserve"> A compact route inventory, four collection/search archetypes, four maintained PDP profiles plus generic fallback, exact collection and product-type mappings, bounded matching rules, transient editor/runtime projection, deterministic legacy convergence, and complete snapshot/lifecycle/publication preservation. Exact primary and related-product bindings survive convergence. A server-owned, storefront-scoped proposal transition binds legacy and reviewed canonical projections for deterministic acceptance replay. Storefront Studio lists archetypes rather than one page per commerce URL; representative context is not persisted. See </w:t>
      </w:r>
      <w:hyperlink r:id="rIdHyperlink21" w:history="1">
        <w:r>
          <w:rPr>
            <w:rFonts w:ascii="Calibri" w:hAnsi="Calibri" w:cs="Calibri"/>
            <w:color w:val="2E74B5"/>
            <w:u w:val="single"/>
          </w:rPr>
          <w:t>P10B_16P_01_DYNAMIC_COMMERCE_ROUTE_ARCHETYPES.md</w:t>
        </w:r>
      </w:hyperlink>
      <w:r>
        <w:rPr>
          <w:rFonts w:ascii="Calibri" w:hAnsi="Calibri" w:cs="Calibri"/>
        </w:rPr>
        <w:t>.</w:t>
      </w:r>
    </w:p>
    <w:p>
      <w:pPr>
        <w:pStyle w:val="Normal"/>
        <w:numPr>
          <w:ilvl w:val="0"/>
          <w:numId w:val="1"/>
        </w:numPr>
        <w:widowControl/>
      </w:pPr>
      <w:r>
        <w:rPr>
          <w:rFonts w:ascii="Calibri" w:hAnsi="Calibri" w:cs="Calibri"/>
          <w:b/>
          <w:bCs/>
        </w:rPr>
        <w:t>Search boundary:</w:t>
      </w:r>
      <w:r>
        <w:rPr>
          <w:rFonts w:ascii="Calibri" w:hAnsi="Calibri" w:cs="Calibri"/>
        </w:rPr>
        <w:t xml:space="preserve"> </w:t>
      </w:r>
      <w:r>
        <w:rPr>
          <w:rFonts w:ascii="Consolas" w:hAnsi="Consolas" w:cs="Consolas"/>
          <w:sz w:val="19"/>
          <w:szCs w:val="19"/>
        </w:rPr>
        <w:t>/search</w:t>
      </w:r>
      <w:r>
        <w:rPr>
          <w:rFonts w:ascii="Calibri" w:hAnsi="Calibri" w:cs="Calibri"/>
        </w:rPr>
        <w:t xml:space="preserve"> inventory and its archetype are registered. P10B-16P-06 now supplies exact transient query/results through the standalone canonical catalogue adapter; missing, invalid, stale, or unresolved runtime context still fails closed and never substitutes a collection. Vesko-backed search remains P11 integration work.</w:t>
      </w:r>
    </w:p>
    <w:p>
      <w:pPr>
        <w:pStyle w:val="Normal"/>
        <w:numPr>
          <w:ilvl w:val="0"/>
          <w:numId w:val="1"/>
        </w:numPr>
        <w:widowControl/>
      </w:pPr>
      <w:r>
        <w:rPr>
          <w:rFonts w:ascii="Calibri" w:hAnsi="Calibri" w:cs="Calibri"/>
          <w:b/>
          <w:bCs/>
        </w:rPr>
        <w:t>Fail closed:</w:t>
      </w:r>
      <w:r>
        <w:rPr>
          <w:rFonts w:ascii="Calibri" w:hAnsi="Calibri" w:cs="Calibri"/>
        </w:rPr>
        <w:t xml:space="preserve"> Protected commerce inside design state; duplicate/unresolved/stale routes, mappings, profiles, frames, or fingerprints; incompatible legacy per-route presentation; unsupported or provider-originated proposal migration; page/section-scoped structural transition; and partial persistence/compilation are rejected.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cardinality/mapping/migration, integration, persistence/history, compiler/publication, editor, exact preview/published route, and responsive browser evidence; zero provider calls.</w:t>
      </w:r>
    </w:p>
    <w:p>
      <w:pPr>
        <w:pStyle w:val="Normal"/>
        <w:numPr>
          <w:ilvl w:val="0"/>
          <w:numId w:val="1"/>
        </w:numPr>
        <w:widowControl/>
      </w:pPr>
      <w:r>
        <w:rPr>
          <w:rFonts w:ascii="Calibri" w:hAnsi="Calibri" w:cs="Calibri"/>
          <w:b/>
          <w:bCs/>
        </w:rPr>
        <w:t>Non-goal:</w:t>
      </w:r>
      <w:r>
        <w:rPr>
          <w:rFonts w:ascii="Calibri" w:hAnsi="Calibri" w:cs="Calibri"/>
        </w:rPr>
        <w:t xml:space="preserve"> Provider prompt/design-plan work, the final Studio generation journey, individual product/collection overrides, P10B-17/P10B-18, P10C general editing, or operational commerce.</w:t>
      </w:r>
    </w:p>
    <w:p>
      <w:pPr>
        <w:pStyle w:val="Heading3"/>
        <w:keepNext/>
        <w:widowControl/>
      </w:pPr>
      <w:r>
        <w:rPr>
          <w:rFonts w:ascii="Calibri" w:hAnsi="Calibri" w:cs="Calibri"/>
        </w:rPr>
        <w:t>P10B-16P-02 — Prompted design-plan contract</w:t>
      </w:r>
    </w:p>
    <w:p>
      <w:pPr>
        <w:pStyle w:val="Normal"/>
        <w:numPr>
          <w:ilvl w:val="0"/>
          <w:numId w:val="1"/>
        </w:numPr>
        <w:widowControl/>
      </w:pPr>
      <w:r>
        <w:rPr>
          <w:rFonts w:ascii="Calibri" w:hAnsi="Calibri" w:cs="Calibri"/>
          <w:b/>
          <w:bCs/>
        </w:rPr>
        <w:t>Outcome:</w:t>
      </w:r>
      <w:r>
        <w:rPr>
          <w:rFonts w:ascii="Calibri" w:hAnsi="Calibri" w:cs="Calibri"/>
        </w:rPr>
        <w:t xml:space="preserve"> Establish a strict transient prompted intent, then deterministically compile it against refreshed bounded synthesis, direction, archetype, and route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Part A and Part B are Baseline.</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Both Part A and Part B pass; provider intent references only advertised current capability, and deterministic refreshed-authority compilation preserves the canonical lifecycle while rejecting unknown, stale, malformed, broadening, provider-owned or partial results.</w:t>
      </w:r>
    </w:p>
    <w:p>
      <w:pPr>
        <w:pStyle w:val="Normal"/>
        <w:numPr>
          <w:ilvl w:val="0"/>
          <w:numId w:val="1"/>
        </w:numPr>
        <w:widowControl/>
      </w:pPr>
      <w:r>
        <w:rPr>
          <w:rFonts w:ascii="Calibri" w:hAnsi="Calibri" w:cs="Calibri"/>
          <w:b/>
          <w:bCs/>
        </w:rPr>
        <w:t>Non-goal:</w:t>
      </w:r>
      <w:r>
        <w:rPr>
          <w:rFonts w:ascii="Calibri" w:hAnsi="Calibri" w:cs="Calibri"/>
        </w:rPr>
        <w:t xml:space="preserve"> The final normal Storefront Studio generation journey or live V2 acceptance.</w:t>
      </w:r>
    </w:p>
    <w:p>
      <w:pPr>
        <w:pStyle w:val="Heading3"/>
        <w:keepNext/>
        <w:widowControl/>
      </w:pPr>
      <w:r>
        <w:rPr>
          <w:rFonts w:ascii="Calibri" w:hAnsi="Calibri" w:cs="Calibri"/>
        </w:rPr>
        <w:t>P10B-16P-02A — Prompted Storefront Design Intent V2 — Baseline</w:t>
      </w:r>
    </w:p>
    <w:p>
      <w:pPr>
        <w:pStyle w:val="Normal"/>
        <w:numPr>
          <w:ilvl w:val="0"/>
          <w:numId w:val="1"/>
        </w:numPr>
        <w:widowControl/>
      </w:pPr>
      <w:r>
        <w:rPr>
          <w:rFonts w:ascii="Calibri" w:hAnsi="Calibri" w:cs="Calibri"/>
          <w:b/>
          <w:bCs/>
        </w:rPr>
        <w:t>Outcome:</w:t>
      </w:r>
      <w:r>
        <w:rPr>
          <w:rFonts w:ascii="Calibri" w:hAnsi="Calibri" w:cs="Calibri"/>
        </w:rPr>
        <w:t xml:space="preserve"> Expose a compact provider-safe view of current capability and accept one strict, preference-rich, non-executable V2 intent tied to exact prompt/request/authority fingerprints.</w:t>
      </w:r>
    </w:p>
    <w:p>
      <w:pPr>
        <w:pStyle w:val="Normal"/>
        <w:numPr>
          <w:ilvl w:val="0"/>
          <w:numId w:val="1"/>
        </w:numPr>
        <w:widowControl/>
      </w:pPr>
      <w:r>
        <w:rPr>
          <w:rFonts w:ascii="Calibri" w:hAnsi="Calibri" w:cs="Calibri"/>
          <w:b/>
          <w:bCs/>
        </w:rPr>
        <w:t>Authority:</w:t>
      </w:r>
      <w:r>
        <w:rPr>
          <w:rFonts w:ascii="Calibri" w:hAnsi="Calibri" w:cs="Calibri"/>
        </w:rPr>
        <w:t xml:space="preserve"> Read-only capability projection, versioned request and intent schemas, exact reference validation, deterministic normalization/fingerprints, and server-only OpenAI adapter.</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Hard, ranked soft, optional and avoidance preferences cover Design DNA, frame, home, dynamic commerce archetypes, content/utility, components, responsive and art direction; every reference is advertised and correctly dimensioned; strict extra/unknown/unavailable/stale values fail safely; mocked transport proves </w:t>
      </w:r>
      <w:r>
        <w:rPr>
          <w:rFonts w:ascii="Consolas" w:hAnsi="Consolas" w:cs="Consolas"/>
          <w:sz w:val="19"/>
          <w:szCs w:val="19"/>
        </w:rPr>
        <w:t>store: false</w:t>
      </w:r>
      <w:r>
        <w:rPr>
          <w:rFonts w:ascii="Calibri" w:hAnsi="Calibri" w:cs="Calibri"/>
        </w:rPr>
        <w:t>, bounded timeout, zero retries, no repair/fallback, and sanitized evidence.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architecture and mocked-transport integration; zero provider and Vesko calls. No live V2 provider evidence is claimed.</w:t>
      </w:r>
    </w:p>
    <w:p>
      <w:pPr>
        <w:pStyle w:val="Normal"/>
        <w:numPr>
          <w:ilvl w:val="0"/>
          <w:numId w:val="1"/>
        </w:numPr>
        <w:widowControl/>
      </w:pPr>
      <w:r>
        <w:rPr>
          <w:rFonts w:ascii="Calibri" w:hAnsi="Calibri" w:cs="Calibri"/>
          <w:b/>
          <w:bCs/>
        </w:rPr>
        <w:t>Non-goal:</w:t>
      </w:r>
      <w:r>
        <w:rPr>
          <w:rFonts w:ascii="Calibri" w:hAnsi="Calibri" w:cs="Calibri"/>
        </w:rPr>
        <w:t xml:space="preserve"> P10B-15 execution, complete candidate materialization, deterministic intent compilation, proposal/snapshot creation, Studio wiring, search adapter, or live provider call.</w:t>
      </w:r>
    </w:p>
    <w:p>
      <w:pPr>
        <w:pStyle w:val="Normal"/>
        <w:numPr>
          <w:ilvl w:val="0"/>
          <w:numId w:val="1"/>
        </w:numPr>
        <w:widowControl/>
      </w:pPr>
      <w:r>
        <w:rPr>
          <w:rFonts w:ascii="Calibri" w:hAnsi="Calibri" w:cs="Calibri"/>
          <w:b/>
          <w:bCs/>
        </w:rPr>
        <w:t>Record:</w:t>
      </w:r>
      <w:r>
        <w:rPr>
          <w:rFonts w:ascii="Calibri" w:hAnsi="Calibri" w:cs="Calibri"/>
        </w:rPr>
        <w:t xml:space="preserve"> </w:t>
      </w:r>
      <w:hyperlink r:id="rIdHyperlink22" w:history="1">
        <w:r>
          <w:rPr>
            <w:rFonts w:ascii="Calibri" w:hAnsi="Calibri" w:cs="Calibri"/>
            <w:color w:val="2E74B5"/>
            <w:u w:val="single"/>
          </w:rPr>
          <w:t>P10B_16P_02_PROMPTED_STOREFRONT_DESIGN_PLAN_V2.md</w:t>
        </w:r>
      </w:hyperlink>
      <w:r>
        <w:rPr>
          <w:rFonts w:ascii="Calibri" w:hAnsi="Calibri" w:cs="Calibri"/>
        </w:rPr>
        <w:t>.</w:t>
      </w:r>
    </w:p>
    <w:p>
      <w:pPr>
        <w:pStyle w:val="Heading3"/>
        <w:keepNext/>
        <w:widowControl/>
      </w:pPr>
      <w:r>
        <w:rPr>
          <w:rFonts w:ascii="Calibri" w:hAnsi="Calibri" w:cs="Calibri"/>
        </w:rPr>
        <w:t>P10B-16P-02B — Deterministic design-intent compiler — Baseline</w:t>
      </w:r>
    </w:p>
    <w:p>
      <w:pPr>
        <w:pStyle w:val="Normal"/>
        <w:numPr>
          <w:ilvl w:val="0"/>
          <w:numId w:val="1"/>
        </w:numPr>
        <w:widowControl/>
      </w:pPr>
      <w:r>
        <w:rPr>
          <w:rFonts w:ascii="Calibri" w:hAnsi="Calibri" w:cs="Calibri"/>
          <w:b/>
          <w:bCs/>
        </w:rPr>
        <w:t>Outcome:</w:t>
      </w:r>
      <w:r>
        <w:rPr>
          <w:rFonts w:ascii="Calibri" w:hAnsi="Calibri" w:cs="Calibri"/>
        </w:rPr>
        <w:t xml:space="preserve"> Refresh current authority and deterministically compile validated V2 preferences into exact registered compatible selections and the canonical P10B-15/P10B-16 proposal path.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P10B-16P-02A.</w:t>
      </w:r>
    </w:p>
    <w:p>
      <w:pPr>
        <w:pStyle w:val="Normal"/>
        <w:numPr>
          <w:ilvl w:val="0"/>
          <w:numId w:val="1"/>
        </w:numPr>
        <w:widowControl/>
      </w:pPr>
      <w:r>
        <w:rPr>
          <w:rFonts w:ascii="Calibri" w:hAnsi="Calibri" w:cs="Calibri"/>
          <w:b/>
          <w:bCs/>
        </w:rPr>
        <w:t>Done:</w:t>
      </w:r>
      <w:r>
        <w:rPr>
          <w:rFonts w:ascii="Calibri" w:hAnsi="Calibri" w:cs="Calibri"/>
        </w:rPr>
        <w:t xml:space="preserve"> Exact authority is refreshed before compilation; a bounded metadata-only solver applies hard/ranked-soft/optional/avoidance semantics and a material-intent gate; the strict transient decision records exact Design DNA, frame, PageBlueprint, dynamic-commerce, component/variant/ bounded-parameter, narrative, responsive/art and evidence/asset resolution with diagnostics and deterministic fingerprints; one successful decision extends canonical synthesis and creates one isolated proposal while failures leave snapshot/history/proposal state unchanged.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across exact synthesis, PageBlueprint/profile materialization, dynamic archetypes/product-type mappings, proposal lifecycle, protected commerce and no-partial rejection; zero provider and Vesko calls.</w:t>
      </w:r>
    </w:p>
    <w:p>
      <w:pPr>
        <w:pStyle w:val="Normal"/>
        <w:numPr>
          <w:ilvl w:val="0"/>
          <w:numId w:val="1"/>
        </w:numPr>
        <w:widowControl/>
      </w:pPr>
      <w:r>
        <w:rPr>
          <w:rFonts w:ascii="Calibri" w:hAnsi="Calibri" w:cs="Calibri"/>
          <w:b/>
          <w:bCs/>
        </w:rPr>
        <w:t>Non-goal:</w:t>
      </w:r>
      <w:r>
        <w:rPr>
          <w:rFonts w:ascii="Calibri" w:hAnsi="Calibri" w:cs="Calibri"/>
        </w:rPr>
        <w:t xml:space="preserve"> Provider-owned layout, normal Studio UX, live acceptance, or search execution.</w:t>
      </w:r>
    </w:p>
    <w:p>
      <w:pPr>
        <w:pStyle w:val="Heading3"/>
        <w:keepNext/>
        <w:widowControl/>
      </w:pPr>
      <w:r>
        <w:rPr>
          <w:rFonts w:ascii="Calibri" w:hAnsi="Calibri" w:cs="Calibri"/>
        </w:rPr>
        <w:t>P10B-16P-03 — Storefront Studio generation journey</w:t>
      </w:r>
    </w:p>
    <w:p>
      <w:pPr>
        <w:pStyle w:val="Normal"/>
        <w:numPr>
          <w:ilvl w:val="0"/>
          <w:numId w:val="1"/>
        </w:numPr>
        <w:widowControl/>
      </w:pPr>
      <w:r>
        <w:rPr>
          <w:rFonts w:ascii="Calibri" w:hAnsi="Calibri" w:cs="Calibri"/>
          <w:b/>
          <w:bCs/>
        </w:rPr>
        <w:t>Outcome:</w:t>
      </w:r>
      <w:r>
        <w:rPr>
          <w:rFonts w:ascii="Calibri" w:hAnsi="Calibri" w:cs="Calibri"/>
        </w:rPr>
        <w:t xml:space="preserve"> Complete the normal merchant-language prompt-to-review generation journey through the existing proposal and canonical snapshot lifecycle.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mocked providers and zero real-provider or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P10B-16P-02B.</w:t>
      </w:r>
    </w:p>
    <w:p>
      <w:pPr>
        <w:pStyle w:val="Normal"/>
        <w:numPr>
          <w:ilvl w:val="0"/>
          <w:numId w:val="1"/>
        </w:numPr>
        <w:widowControl/>
      </w:pPr>
      <w:r>
        <w:rPr>
          <w:rFonts w:ascii="Calibri" w:hAnsi="Calibri" w:cs="Calibri"/>
          <w:b/>
          <w:bCs/>
        </w:rPr>
        <w:t>Done:</w:t>
      </w:r>
      <w:r>
        <w:rPr>
          <w:rFonts w:ascii="Calibri" w:hAnsi="Calibri" w:cs="Calibri"/>
        </w:rPr>
        <w:t xml:space="preserve"> Normal Storefront Studio opens an idempotently seeded raw Karvonen project with no request on load; an explicit Generate action sends the exact prompt and compact current identity to one server route; standalone/mock server-owned current authority invokes one mocked Design Intent V2 provider attempt and P10B-16P-02B once; one registered </w:t>
      </w:r>
      <w:r>
        <w:rPr>
          <w:rFonts w:ascii="Consolas" w:hAnsi="Consolas" w:cs="Consolas"/>
          <w:sz w:val="19"/>
          <w:szCs w:val="19"/>
        </w:rPr>
        <w:t>APPLY_CANONICAL_WHOLE_STOREFRONT_GENERATION</w:t>
      </w:r>
      <w:r>
        <w:rPr>
          <w:rFonts w:ascii="Calibri" w:hAnsi="Calibri" w:cs="Calibri"/>
        </w:rPr>
        <w:t xml:space="preserve"> operation with the target-bound </w:t>
      </w:r>
      <w:r>
        <w:rPr>
          <w:rFonts w:ascii="Consolas" w:hAnsi="Consolas" w:cs="Consolas"/>
          <w:sz w:val="19"/>
          <w:szCs w:val="19"/>
        </w:rPr>
        <w:t>compilePromptedStorefrontDesignIntentV2@2.0.0</w:t>
      </w:r>
      <w:r>
        <w:rPr>
          <w:rFonts w:ascii="Calibri" w:hAnsi="Calibri" w:cs="Calibri"/>
        </w:rPr>
        <w:t xml:space="preserve"> permission cross-binds the exact P02B source-proposal fingerprint and compiler lineage; one isolated proposal supports homepage, representative dynamic collection/PDP, content and utility review with current approved evidence references; Reject and Generate another preserve the draft; Accept commits one atomic unsaved change; Undo/Redo, Save/reload and normal dynamic-route Preview preserve the exact result. Current content/support evidence is independently resolved from trusted server authority and checked against retained snapshot provenance; snapshots never authorize themselves. Integrated requests without injected authenticated tenant/project and evidence authority fail closed before provider selection. Failures and stale/late responses cause no draft/history mutation and no retry or fallback. Search execution remains explicitly unavailable.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integration, dedicated mocked browser/E2E at 375/768/1024/1440 and focused lifecycle/persistence/preview regressions. No real-provider or human commercial-quality claim.</w:t>
      </w:r>
    </w:p>
    <w:p>
      <w:pPr>
        <w:pStyle w:val="Normal"/>
        <w:numPr>
          <w:ilvl w:val="0"/>
          <w:numId w:val="1"/>
        </w:numPr>
        <w:widowControl/>
      </w:pPr>
      <w:r>
        <w:rPr>
          <w:rFonts w:ascii="Calibri" w:hAnsi="Calibri" w:cs="Calibri"/>
          <w:b/>
          <w:bCs/>
        </w:rPr>
        <w:t>Non-goal:</w:t>
      </w:r>
      <w:r>
        <w:rPr>
          <w:rFonts w:ascii="Calibri" w:hAnsi="Calibri" w:cs="Calibri"/>
        </w:rPr>
        <w:t xml:space="preserve"> Live V2 provider evidence, P10B-16L disposition, executable search, P10C general manual/scoped editing, publication, or commercial-quality closure.</w:t>
      </w:r>
    </w:p>
    <w:p>
      <w:pPr>
        <w:pStyle w:val="Heading3"/>
        <w:keepNext/>
        <w:widowControl/>
      </w:pPr>
      <w:r>
        <w:rPr>
          <w:rFonts w:ascii="Calibri" w:hAnsi="Calibri" w:cs="Calibri"/>
        </w:rPr>
        <w:t>P10B-16P-04 — Live V2 acceptance and bridge disposition</w:t>
      </w:r>
    </w:p>
    <w:p>
      <w:pPr>
        <w:pStyle w:val="Normal"/>
        <w:numPr>
          <w:ilvl w:val="0"/>
          <w:numId w:val="1"/>
        </w:numPr>
        <w:widowControl/>
      </w:pPr>
      <w:r>
        <w:rPr>
          <w:rFonts w:ascii="Calibri" w:hAnsi="Calibri" w:cs="Calibri"/>
          <w:b/>
          <w:bCs/>
        </w:rPr>
        <w:t>Outcome:</w:t>
      </w:r>
      <w:r>
        <w:rPr>
          <w:rFonts w:ascii="Calibri" w:hAnsi="Calibri" w:cs="Calibri"/>
        </w:rPr>
        <w:t xml:space="preserve"> Prove the prompt-driven Design Intent V2 path with separately authorized real provider evidence and explicitly disposition the P10B-16L compatibility bridge.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15 August 2026; see </w:t>
      </w:r>
      <w:hyperlink r:id="rIdHyperlink5" w:history="1">
        <w:r>
          <w:rPr>
            <w:rFonts w:ascii="Calibri" w:hAnsi="Calibri" w:cs="Calibri"/>
            <w:color w:val="2E74B5"/>
            <w:u w:val="single"/>
          </w:rPr>
          <w:t>P10B_16P_04_REAL_STUDIO_DESIGN_INTENT_ACCEPTANCE.md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P10B-16P-03.</w:t>
      </w:r>
    </w:p>
    <w:p>
      <w:pPr>
        <w:pStyle w:val="Normal"/>
        <w:numPr>
          <w:ilvl w:val="0"/>
          <w:numId w:val="1"/>
        </w:numPr>
        <w:widowControl/>
      </w:pPr>
      <w:r>
        <w:rPr>
          <w:rFonts w:ascii="Calibri" w:hAnsi="Calibri" w:cs="Calibri"/>
          <w:b/>
          <w:bCs/>
        </w:rPr>
        <w:t>Done:</w:t>
      </w:r>
      <w:r>
        <w:rPr>
          <w:rFonts w:ascii="Calibri" w:hAnsi="Calibri" w:cs="Calibri"/>
        </w:rPr>
        <w:t xml:space="preserve"> A trusted server-owned, production-disabled Aurum acceptance composition loaded current project, draft, evidence, assets, catalogue, and capability authority before explicit provider selection. The cumulative P10B-16P-04 ledger records 16 authorized calls with zero retries or fallback; the final Premium Editorial, Modern Technical, and Minimal Commerce calls each returned strict semantic intent, compiled deterministically, and materialized exactly one isolated proposal through normal Storefront Studio. Prompt A and Prompt B were rejected without draft or history mutation. Prompt C passed Accept, exact Undo/Redo, Save, reload, and normal Preview with no publication. The three results were materially distinct, retained human visual acceptance, and preserved protected commerce and canonical product media. At the P10B-16P-04 acceptance point, search presentation remained registered while execution failed closed. P10B-16P-06 later supplied the current canonical transient query/results execution; that later capability does not alter the P10B-16P-04 call ledger, provider evidence, or acceptance result. P10B-16L is </w:t>
      </w:r>
      <w:r>
        <w:rPr>
          <w:rFonts w:ascii="Calibri" w:hAnsi="Calibri" w:cs="Calibri"/>
          <w:b/>
          <w:bCs/>
        </w:rPr>
        <w:t>Deprecated compatibility-only</w:t>
      </w:r>
      <w:r>
        <w:rPr>
          <w:rFonts w:ascii="Calibri" w:hAnsi="Calibri" w:cs="Calibri"/>
        </w:rPr>
        <w:t>; its active runtime is removed under P10B-16P-05A while historical evidence and required neutral migration/safety fixtures remain.</w:t>
      </w:r>
    </w:p>
    <w:p>
      <w:pPr>
        <w:pStyle w:val="Normal"/>
        <w:numPr>
          <w:ilvl w:val="0"/>
          <w:numId w:val="1"/>
        </w:numPr>
        <w:widowControl/>
      </w:pPr>
      <w:r>
        <w:rPr>
          <w:rFonts w:ascii="Calibri" w:hAnsi="Calibri" w:cs="Calibri"/>
          <w:b/>
          <w:bCs/>
        </w:rPr>
        <w:t>Evidence:</w:t>
      </w:r>
      <w:r>
        <w:rPr>
          <w:rFonts w:ascii="Calibri" w:hAnsi="Calibri" w:cs="Calibri"/>
        </w:rPr>
        <w:t xml:space="preserve"> Real-provider, contract/schema, deterministic unit, integration, browser/E2E, and retained human visual review correlated through safe provider/model, authority, semantic intent, compiled-decision, structural, candidate-snapshot, lifecycle, usage, and latency fingerprints. Raw prompts, provider responses, credentials, and authorization headers were not retained.</w:t>
      </w:r>
    </w:p>
    <w:p>
      <w:pPr>
        <w:pStyle w:val="Normal"/>
        <w:numPr>
          <w:ilvl w:val="0"/>
          <w:numId w:val="1"/>
        </w:numPr>
        <w:widowControl/>
      </w:pPr>
      <w:r>
        <w:rPr>
          <w:rFonts w:ascii="Calibri" w:hAnsi="Calibri" w:cs="Calibri"/>
          <w:b/>
          <w:bCs/>
        </w:rPr>
        <w:t>Non-goal:</w:t>
      </w:r>
      <w:r>
        <w:rPr>
          <w:rFonts w:ascii="Calibri" w:hAnsi="Calibri" w:cs="Calibri"/>
        </w:rPr>
        <w:t xml:space="preserve"> Production authentication, Vesko staging, executable search, publication, P10B-17/P10B-18 closure, automatic provider calls, or treating preset selection as V2 evidence.</w:t>
      </w:r>
    </w:p>
    <w:p>
      <w:pPr>
        <w:pStyle w:val="Heading3"/>
        <w:keepNext/>
        <w:widowControl/>
      </w:pPr>
      <w:r>
        <w:rPr>
          <w:rFonts w:ascii="Calibri" w:hAnsi="Calibri" w:cs="Calibri"/>
        </w:rPr>
        <w:t>P10B-16P-05A — Active production-path and compiler rationalisation</w:t>
      </w:r>
    </w:p>
    <w:p>
      <w:pPr>
        <w:pStyle w:val="Normal"/>
        <w:numPr>
          <w:ilvl w:val="0"/>
          <w:numId w:val="1"/>
        </w:numPr>
        <w:widowControl/>
      </w:pPr>
      <w:r>
        <w:rPr>
          <w:rFonts w:ascii="Calibri" w:hAnsi="Calibri" w:cs="Calibri"/>
          <w:b/>
          <w:bCs/>
        </w:rPr>
        <w:t>Outcome:</w:t>
      </w:r>
      <w:r>
        <w:rPr>
          <w:rFonts w:ascii="Calibri" w:hAnsi="Calibri" w:cs="Calibri"/>
        </w:rPr>
        <w:t xml:space="preserve"> Make the normal semantic initial-generation path and the sole prompted compiler/materialization ownership chain obvious while preserving P10B-16P-04 behavior.</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Vesko, or publication calls.</w:t>
      </w:r>
    </w:p>
    <w:p>
      <w:pPr>
        <w:pStyle w:val="Normal"/>
        <w:numPr>
          <w:ilvl w:val="0"/>
          <w:numId w:val="1"/>
        </w:numPr>
        <w:widowControl/>
      </w:pPr>
      <w:r>
        <w:rPr>
          <w:rFonts w:ascii="Calibri" w:hAnsi="Calibri" w:cs="Calibri"/>
          <w:b/>
          <w:bCs/>
        </w:rPr>
        <w:t>Depends on:</w:t>
      </w:r>
      <w:r>
        <w:rPr>
          <w:rFonts w:ascii="Calibri" w:hAnsi="Calibri" w:cs="Calibri"/>
        </w:rPr>
        <w:t xml:space="preserve"> P10B-16P-04.</w:t>
      </w:r>
    </w:p>
    <w:p>
      <w:pPr>
        <w:pStyle w:val="Normal"/>
        <w:numPr>
          <w:ilvl w:val="0"/>
          <w:numId w:val="1"/>
        </w:numPr>
        <w:widowControl/>
      </w:pPr>
      <w:r>
        <w:rPr>
          <w:rFonts w:ascii="Calibri" w:hAnsi="Calibri" w:cs="Calibri"/>
          <w:b/>
          <w:bCs/>
        </w:rPr>
        <w:t>Done:</w:t>
      </w:r>
      <w:r>
        <w:rPr>
          <w:rFonts w:ascii="Calibri" w:hAnsi="Calibri" w:cs="Calibri"/>
        </w:rPr>
        <w:t xml:space="preserve"> Normal Storefront Studio uses one operation-tagged proposal route, canonical prompted handler, trusted current-authority composition, semantic provider selector, compatibility resolver, exact compiled decision, coordinator, and sole executor/materialization boundary. A missing or ambiguous operation fails closed; registered follow-up remains separately tagged. P03/P04 inject into the same canonical handler only in production-disabled compositions, and normal composition imports no P9/Lumo, P10B-16L, or acceptance/demo authority. The active P10B-16L executable-intent routes/providers/runtime and obsolete P9/Lumo live-generation entry path are removed or isolated; proven migration/publication fixtures and historical evidence stay available. Public compiler exports no longer expose superseded traversal/materialization paths.</w:t>
      </w:r>
    </w:p>
    <w:p>
      <w:pPr>
        <w:pStyle w:val="Normal"/>
        <w:numPr>
          <w:ilvl w:val="0"/>
          <w:numId w:val="1"/>
        </w:numPr>
        <w:widowControl/>
      </w:pPr>
      <w:r>
        <w:rPr>
          <w:rFonts w:ascii="Calibri" w:hAnsi="Calibri" w:cs="Calibri"/>
          <w:b/>
          <w:bCs/>
        </w:rPr>
        <w:t>Evidence:</w:t>
      </w:r>
      <w:r>
        <w:rPr>
          <w:rFonts w:ascii="Calibri" w:hAnsi="Calibri" w:cs="Calibri"/>
        </w:rPr>
        <w:t xml:space="preserve"> Architecture/dependency checks, provider/security and semantic compiler/executor tests, deterministic Prompt A/B/C replay, Prompt C lifecycle, dynamic-route migration, publication separation, and protected commerce/media regressions. The P10B-16P-04 acceptance composition remains production-disabled through P10B-18C.</w:t>
      </w:r>
    </w:p>
    <w:p>
      <w:pPr>
        <w:pStyle w:val="Normal"/>
        <w:numPr>
          <w:ilvl w:val="0"/>
          <w:numId w:val="1"/>
        </w:numPr>
        <w:widowControl/>
      </w:pPr>
      <w:r>
        <w:rPr>
          <w:rFonts w:ascii="Calibri" w:hAnsi="Calibri" w:cs="Calibri"/>
          <w:b/>
          <w:bCs/>
        </w:rPr>
        <w:t>Non-goal:</w:t>
      </w:r>
      <w:r>
        <w:rPr>
          <w:rFonts w:ascii="Calibri" w:hAnsi="Calibri" w:cs="Calibri"/>
        </w:rPr>
        <w:t xml:space="preserve"> Search execution, visual redesign, new provider behavior, P10B-17/P10B-18, final historical cleanup, publication, or Vesko integration.</w:t>
      </w:r>
    </w:p>
    <w:p>
      <w:pPr>
        <w:pStyle w:val="Heading3"/>
        <w:keepNext/>
        <w:widowControl/>
      </w:pPr>
      <w:r>
        <w:rPr>
          <w:rFonts w:ascii="Calibri" w:hAnsi="Calibri" w:cs="Calibri"/>
        </w:rPr>
        <w:t>P10B-16P-06 — Canonical search query/results adapter</w:t>
      </w:r>
    </w:p>
    <w:p>
      <w:pPr>
        <w:pStyle w:val="Normal"/>
        <w:numPr>
          <w:ilvl w:val="0"/>
          <w:numId w:val="1"/>
        </w:numPr>
        <w:widowControl/>
      </w:pPr>
      <w:r>
        <w:rPr>
          <w:rFonts w:ascii="Calibri" w:hAnsi="Calibri" w:cs="Calibri"/>
          <w:b/>
          <w:bCs/>
        </w:rPr>
        <w:t>Outcome:</w:t>
      </w:r>
      <w:r>
        <w:rPr>
          <w:rFonts w:ascii="Calibri" w:hAnsi="Calibri" w:cs="Calibri"/>
        </w:rPr>
        <w:t xml:space="preserve"> Execute the one persisted </w:t>
      </w:r>
      <w:r>
        <w:rPr>
          <w:rFonts w:ascii="Consolas" w:hAnsi="Consolas" w:cs="Consolas"/>
          <w:sz w:val="19"/>
          <w:szCs w:val="19"/>
        </w:rPr>
        <w:t>/search</w:t>
      </w:r>
      <w:r>
        <w:rPr>
          <w:rFonts w:ascii="Calibri" w:hAnsi="Calibri" w:cs="Calibri"/>
        </w:rPr>
        <w:t xml:space="preserve"> route and selected registered search archetype from validated transient query, filter, sort, page, result-ID, and result-count state derived from current canonical commerce.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P10B-16P-05A and existing P10B-16P-01, P10B-10, P10B-13, frame, product-card, persistence, and publication authorities.</w:t>
      </w:r>
    </w:p>
    <w:p>
      <w:pPr>
        <w:pStyle w:val="Normal"/>
        <w:numPr>
          <w:ilvl w:val="0"/>
          <w:numId w:val="1"/>
        </w:numPr>
        <w:widowControl/>
      </w:pPr>
      <w:r>
        <w:rPr>
          <w:rFonts w:ascii="Calibri" w:hAnsi="Calibri" w:cs="Calibri"/>
          <w:b/>
          <w:bCs/>
        </w:rPr>
        <w:t>Done:</w:t>
      </w:r>
      <w:r>
        <w:rPr>
          <w:rFonts w:ascii="Calibri" w:hAnsi="Calibri" w:cs="Calibri"/>
        </w:rPr>
        <w:t xml:space="preserve"> A versioned provider-neutral read-only search contract and standalone </w:t>
      </w:r>
      <w:r>
        <w:rPr>
          <w:rFonts w:ascii="Consolas" w:hAnsi="Consolas" w:cs="Consolas"/>
          <w:sz w:val="19"/>
          <w:szCs w:val="19"/>
        </w:rPr>
        <w:t>CatalogueDisplayModel</w:t>
      </w:r>
      <w:r>
        <w:rPr>
          <w:rFonts w:ascii="Calibri" w:hAnsi="Calibri" w:cs="Calibri"/>
        </w:rPr>
        <w:t xml:space="preserve"> adapter validate and normalize EN/FI input, rank exact SKU and localized title matches deterministically, apply only supported filters/sort/pagination with bounded work, and return unique current public product-route IDs. Draft, proposal, saved/history, and published </w:t>
      </w:r>
      <w:r>
        <w:rPr>
          <w:rFonts w:ascii="Consolas" w:hAnsi="Consolas" w:cs="Consolas"/>
          <w:sz w:val="19"/>
          <w:szCs w:val="19"/>
        </w:rPr>
        <w:t>/search</w:t>
      </w:r>
      <w:r>
        <w:rPr>
          <w:rFonts w:ascii="Calibri" w:hAnsi="Calibri" w:cs="Calibri"/>
        </w:rPr>
        <w:t xml:space="preserve"> routes resolve that transient result page through the existing selected </w:t>
      </w:r>
      <w:r>
        <w:rPr>
          <w:rFonts w:ascii="Consolas" w:hAnsi="Consolas" w:cs="Consolas"/>
          <w:sz w:val="19"/>
          <w:szCs w:val="19"/>
        </w:rPr>
        <w:t>dynamicCollectionCommerce</w:t>
      </w:r>
      <w:r>
        <w:rPr>
          <w:rFonts w:ascii="Calibri" w:hAnsi="Calibri" w:cs="Calibri"/>
        </w:rPr>
        <w:t xml:space="preserve"> archetype, shared frame, product-card renderer, and governed orientation/no-results states. Exact product links resolve through current dynamic PDP authority.</w:t>
      </w:r>
    </w:p>
    <w:p>
      <w:pPr>
        <w:pStyle w:val="Normal"/>
        <w:numPr>
          <w:ilvl w:val="0"/>
          <w:numId w:val="1"/>
        </w:numPr>
        <w:widowControl/>
      </w:pPr>
      <w:r>
        <w:rPr>
          <w:rFonts w:ascii="Calibri" w:hAnsi="Calibri" w:cs="Calibri"/>
          <w:b/>
          <w:bCs/>
        </w:rPr>
        <w:t>Authority boundary:</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persists only one </w:t>
      </w:r>
      <w:r>
        <w:rPr>
          <w:rFonts w:ascii="Consolas" w:hAnsi="Consolas" w:cs="Consolas"/>
          <w:sz w:val="19"/>
          <w:szCs w:val="19"/>
        </w:rPr>
        <w:t>/search</w:t>
      </w:r>
      <w:r>
        <w:rPr>
          <w:rFonts w:ascii="Calibri" w:hAnsi="Calibri" w:cs="Calibri"/>
        </w:rPr>
        <w:t xml:space="preserve"> route identity and selected presentation archetype. Query text, filters, sort, page, result IDs, and result count remain runtime-only; they never enter </w:t>
      </w:r>
      <w:r>
        <w:rPr>
          <w:rFonts w:ascii="Consolas" w:hAnsi="Consolas" w:cs="Consolas"/>
          <w:sz w:val="19"/>
          <w:szCs w:val="19"/>
        </w:rPr>
        <w:t>PageModel</w:t>
      </w:r>
      <w:r>
        <w:rPr>
          <w:rFonts w:ascii="Calibri" w:hAnsi="Calibri" w:cs="Calibri"/>
        </w:rPr>
        <w:t>, snapshot/history, compiler decisions, publication artifacts as editable design state, provider evidence, or fingerprints.</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bounded 1,000-product work, EN/FI normalization/ranking, dynamic renderer/routes, proposal/save/history/publication non-persistence, browser/E2E, and protected commerce/media regressions.</w:t>
      </w:r>
    </w:p>
    <w:p>
      <w:pPr>
        <w:pStyle w:val="Normal"/>
        <w:numPr>
          <w:ilvl w:val="0"/>
          <w:numId w:val="1"/>
        </w:numPr>
        <w:widowControl/>
      </w:pPr>
      <w:r>
        <w:rPr>
          <w:rFonts w:ascii="Calibri" w:hAnsi="Calibri" w:cs="Calibri"/>
          <w:b/>
          <w:bCs/>
        </w:rPr>
        <w:t>Non-goal:</w:t>
      </w:r>
      <w:r>
        <w:rPr>
          <w:rFonts w:ascii="Calibri" w:hAnsi="Calibri" w:cs="Calibri"/>
        </w:rPr>
        <w:t xml:space="preserve"> Vesko search integration, OpenAI or other provider calls, semantic/vector/fuzzy search, typo correction, recommendations, personalization, analytics, commerce writes, a second search/page graph, or a duplicate collection/product-card renderer.</w:t>
      </w:r>
    </w:p>
    <w:p>
      <w:pPr>
        <w:pStyle w:val="Heading3"/>
        <w:keepNext/>
        <w:widowControl/>
      </w:pPr>
      <w:r>
        <w:rPr>
          <w:rFonts w:ascii="Calibri" w:hAnsi="Calibri" w:cs="Calibri"/>
        </w:rPr>
        <w:t>P10B-16P-05B — Major repository and historical-authority cleanup</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P10B-16P-05A and accepted P10B-18C.</w:t>
      </w:r>
    </w:p>
    <w:p>
      <w:pPr>
        <w:pStyle w:val="Normal"/>
        <w:numPr>
          <w:ilvl w:val="0"/>
          <w:numId w:val="1"/>
        </w:numPr>
        <w:widowControl/>
      </w:pPr>
      <w:r>
        <w:rPr>
          <w:rFonts w:ascii="Calibri" w:hAnsi="Calibri" w:cs="Calibri"/>
          <w:b/>
          <w:bCs/>
        </w:rPr>
        <w:t>Outcome:</w:t>
      </w:r>
      <w:r>
        <w:rPr>
          <w:rFonts w:ascii="Calibri" w:hAnsi="Calibri" w:cs="Calibri"/>
        </w:rPr>
        <w:t xml:space="preserve"> Consumer-proven removal/consolidation of one-time acceptance infrastructure while retaining the active generation path, P03 lifecycle, one lean P04 mock/live P10B-18D seam, governed P9 follow-up, stable migration/publication identities and durable 126/72 quality gates.</w:t>
      </w:r>
    </w:p>
    <w:p>
      <w:pPr>
        <w:pStyle w:val="Normal"/>
        <w:numPr>
          <w:ilvl w:val="0"/>
          <w:numId w:val="1"/>
        </w:numPr>
        <w:widowControl/>
      </w:pPr>
      <w:r>
        <w:rPr>
          <w:rFonts w:ascii="Calibri" w:hAnsi="Calibri" w:cs="Calibri"/>
          <w:b/>
          <w:bCs/>
        </w:rPr>
        <w:t>Security:</w:t>
      </w:r>
      <w:r>
        <w:rPr>
          <w:rFonts w:ascii="Calibri" w:hAnsi="Calibri" w:cs="Calibri"/>
        </w:rPr>
        <w:t xml:space="preserve"> P04 acceptance is unavailable in production; tokens remain server/test-process authority; mock and live transports remain explicit and cannot silently substitute.</w:t>
      </w:r>
    </w:p>
    <w:p>
      <w:pPr>
        <w:pStyle w:val="Normal"/>
        <w:numPr>
          <w:ilvl w:val="0"/>
          <w:numId w:val="1"/>
        </w:numPr>
        <w:widowControl/>
      </w:pPr>
      <w:r>
        <w:rPr>
          <w:rFonts w:ascii="Calibri" w:hAnsi="Calibri" w:cs="Calibri"/>
          <w:b/>
          <w:bCs/>
        </w:rPr>
        <w:t>Non-goal:</w:t>
      </w:r>
      <w:r>
        <w:rPr>
          <w:rFonts w:ascii="Calibri" w:hAnsi="Calibri" w:cs="Calibri"/>
        </w:rPr>
        <w:t xml:space="preserve"> Storefront output, generation semantics, P10B-18D execution, P10B-19 implementation, commerce/media changes or migration breakage.</w:t>
      </w:r>
    </w:p>
    <w:p>
      <w:pPr>
        <w:pStyle w:val="Normal"/>
        <w:widowControl/>
      </w:pPr>
      <w:r>
        <w:rPr>
          <w:rFonts w:ascii="Calibri" w:hAnsi="Calibri" w:cs="Calibri"/>
        </w:rPr>
        <w:t>P10B-18C and P10B-16P-05B are Baseline. P10B-18D is a Baseline diagnostic with live commercial quality rejected. P10B-18 and P10B remain Partial. P10B-19 PRE is Baseline. P10B-19A-01 through P10B-19A-07 and P10B-19A-08A through P10B-19A-08C are Baseline; parent P10B-19A-08 is Baseline / closed. P10B-19A-09A, P10B-19A-09B and P10B-19A-09C are Baseline; parent P10B-19A-09 is Baseline / closed. P10B-19A-10A, P10B-19A-10B1 and P10B-19A-10B2 are Baseline; parent P10B-19A-10B is Baseline / closed. P10B-19A-10 and P10B-19A remain Partial; A-10C is the exact next implementation task and P10B-19B-01 follows it; P10B-19B through P10B-19J remain Planned.</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16 August 2026 with zero provider or Vesko calls.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P10B-16P-06 and implemented commercial families/profiles/directions.</w:t>
      </w:r>
    </w:p>
    <w:p>
      <w:pPr>
        <w:pStyle w:val="Normal"/>
        <w:numPr>
          <w:ilvl w:val="0"/>
          <w:numId w:val="1"/>
        </w:numPr>
        <w:widowControl/>
      </w:pPr>
      <w:r>
        <w:rPr>
          <w:rFonts w:ascii="Calibri" w:hAnsi="Calibri" w:cs="Calibri"/>
          <w:b/>
          <w:bCs/>
        </w:rPr>
        <w:t>Done:</w:t>
      </w:r>
      <w:r>
        <w:rPr>
          <w:rFonts w:ascii="Calibri" w:hAnsi="Calibri" w:cs="Calibri"/>
        </w:rPr>
        <w:t xml:space="preserve"> Retained Premium Editorial, Modern Technical, Minimal Commerce, neutral, and commerce- integrity authority executes through the existing renderers at 375/768/1024/1440 and EN/FI. Registered navigation, disclosure, stack/reflow, media, merchandising, purchase-flow, content, utility, search, and footer transformations preserve content, protected commerce, and canonical product media. Keyboard/focus, landmark/heading/form/control semantics, announcements, contrast, touch targets, reduced motion, and locale expansion pass the bounded acceptance matrix.</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 accessibility, performance, build-budget, lifecycle-renderer, and browser matrices plus retained representative four-width human visual review correlated to current authority and protected commerce/media fingerprints.</w:t>
      </w:r>
    </w:p>
    <w:p>
      <w:pPr>
        <w:pStyle w:val="Normal"/>
        <w:numPr>
          <w:ilvl w:val="0"/>
          <w:numId w:val="1"/>
        </w:numPr>
        <w:widowControl/>
      </w:pPr>
      <w:r>
        <w:rPr>
          <w:rFonts w:ascii="Calibri" w:hAnsi="Calibri" w:cs="Calibri"/>
          <w:b/>
          <w:bCs/>
        </w:rPr>
        <w:t>Non-goal:</w:t>
      </w:r>
      <w:r>
        <w:rPr>
          <w:rFonts w:ascii="Calibri" w:hAnsi="Calibri" w:cs="Calibri"/>
        </w:rPr>
        <w:t xml:space="preserve"> P10B-18B source-authority improvement, P10B-18C designer-grade commercial quality or 100+ scale, Vesko integration/staging, production authentication/performance/readiness, or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Partial</w:t>
      </w:r>
      <w:r>
        <w:rPr>
          <w:rFonts w:ascii="Calibri" w:hAnsi="Calibri" w:cs="Calibri"/>
        </w:rPr>
        <w:t>. P10B-18A, P10B-18B-01, P10B-18B-06, P10B-18B-02, P10B-18B-03, P10B-18B-04, P10B-18B-05, parent P10B-18B and P10B-18C are Baseline; P10B-18D is a rejected-quality diagnostic Baseline.</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3"/>
        <w:keepNext/>
        <w:widowControl/>
      </w:pPr>
      <w:r>
        <w:rPr>
          <w:rFonts w:ascii="Calibri" w:hAnsi="Calibri" w:cs="Calibri"/>
        </w:rPr>
        <w:t>P10B-18A — Commercial authority audit and quality-ceiling diagnosis</w:t>
      </w:r>
    </w:p>
    <w:p>
      <w:pPr>
        <w:pStyle w:val="Normal"/>
        <w:numPr>
          <w:ilvl w:val="0"/>
          <w:numId w:val="1"/>
        </w:numPr>
        <w:widowControl/>
      </w:pPr>
      <w:r>
        <w:rPr>
          <w:rFonts w:ascii="Calibri" w:hAnsi="Calibri" w:cs="Calibri"/>
          <w:b/>
          <w:bCs/>
        </w:rPr>
        <w:t>Outcome:</w:t>
      </w:r>
      <w:r>
        <w:rPr>
          <w:rFonts w:ascii="Calibri" w:hAnsi="Calibri" w:cs="Calibri"/>
        </w:rPr>
        <w:t xml:space="preserve"> Establish the exact commercial ceiling of current registered source authority and assign each observed defect to fixture/source evidence, compatibility, materializer/renderer consumption or missing evaluation authority before any redesign.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16 August 2026 under </w:t>
      </w:r>
      <w:hyperlink r:id="rIdHyperlink2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P10B-17 and current registered synthesis, profile, renderer, asset and commerce authority.</w:t>
      </w:r>
    </w:p>
    <w:p>
      <w:pPr>
        <w:pStyle w:val="Normal"/>
        <w:numPr>
          <w:ilvl w:val="0"/>
          <w:numId w:val="1"/>
        </w:numPr>
        <w:widowControl/>
      </w:pPr>
      <w:r>
        <w:rPr>
          <w:rFonts w:ascii="Calibri" w:hAnsi="Calibri" w:cs="Calibri"/>
          <w:b/>
          <w:bCs/>
        </w:rPr>
        <w:t>Done:</w:t>
      </w:r>
      <w:r>
        <w:rPr>
          <w:rFonts w:ascii="Calibri" w:hAnsi="Calibri" w:cs="Calibri"/>
        </w:rPr>
        <w:t xml:space="preserve"> A deterministic 72-case matrix, 18-store/108-capture retained human review and exact authority/fingerprint evidence diagnose the current ceiling, preserve canonical commerce/media, and freeze six conditional P10B-18B packages with zero OpenAI/provider, Vesko or publication traffic.</w:t>
      </w:r>
    </w:p>
    <w:p>
      <w:pPr>
        <w:pStyle w:val="Normal"/>
        <w:numPr>
          <w:ilvl w:val="0"/>
          <w:numId w:val="1"/>
        </w:numPr>
        <w:widowControl/>
      </w:pPr>
      <w:r>
        <w:rPr>
          <w:rFonts w:ascii="Calibri" w:hAnsi="Calibri" w:cs="Calibri"/>
          <w:b/>
          <w:bCs/>
        </w:rPr>
        <w:t>Evidence:</w:t>
      </w:r>
      <w:r>
        <w:rPr>
          <w:rFonts w:ascii="Calibri" w:hAnsi="Calibri" w:cs="Calibri"/>
        </w:rPr>
        <w:t xml:space="preserve"> Current authority inventory and reachability, compatibility funnels, fixed-backbone semantic-influence proof, exact collapse witnesses, strongest/typical/weak store review, frozen issue denominators, protected-state parity and accepted checkpoint crosswalk.</w:t>
      </w:r>
    </w:p>
    <w:p>
      <w:pPr>
        <w:pStyle w:val="Normal"/>
        <w:numPr>
          <w:ilvl w:val="0"/>
          <w:numId w:val="1"/>
        </w:numPr>
        <w:widowControl/>
      </w:pPr>
      <w:r>
        <w:rPr>
          <w:rFonts w:ascii="Calibri" w:hAnsi="Calibri" w:cs="Calibri"/>
          <w:b/>
          <w:bCs/>
        </w:rPr>
        <w:t>Non-goal:</w:t>
      </w:r>
      <w:r>
        <w:rPr>
          <w:rFonts w:ascii="Calibri" w:hAnsi="Calibri" w:cs="Calibri"/>
        </w:rPr>
        <w:t xml:space="preserve"> Implementing P10B-18B, proving those packages improve quality, satisfying P10B-18C, or closing parent P10B-18/P10B.</w:t>
      </w:r>
    </w:p>
    <w:p>
      <w:pPr>
        <w:pStyle w:val="Heading3"/>
        <w:keepNext/>
        <w:widowControl/>
      </w:pPr>
      <w:r>
        <w:rPr>
          <w:rFonts w:ascii="Calibri" w:hAnsi="Calibri" w:cs="Calibri"/>
        </w:rPr>
        <w:t>P10B-18B — Commercial source-authority quality upgrade</w:t>
      </w:r>
    </w:p>
    <w:p>
      <w:pPr>
        <w:pStyle w:val="Normal"/>
        <w:numPr>
          <w:ilvl w:val="0"/>
          <w:numId w:val="1"/>
        </w:numPr>
        <w:widowControl/>
      </w:pPr>
      <w:r>
        <w:rPr>
          <w:rFonts w:ascii="Calibri" w:hAnsi="Calibri" w:cs="Calibri"/>
          <w:b/>
          <w:bCs/>
        </w:rPr>
        <w:t>Outcome:</w:t>
      </w:r>
      <w:r>
        <w:rPr>
          <w:rFonts w:ascii="Calibri" w:hAnsi="Calibri" w:cs="Calibri"/>
        </w:rPr>
        <w:t xml:space="preserve"> Implement the accepted coherent improvements to current Design DNA, compatibility, profiles, component consumers, asset-role selection and evaluation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 complete. P10B-18B-01, P10B-18B-06, P10B-18B-02, P10B-18B-03, P10B-18B-04 and P10B-18B-05 are Baseline.</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its frozen package order/ownership.</w:t>
      </w:r>
    </w:p>
    <w:p>
      <w:pPr>
        <w:pStyle w:val="Normal"/>
        <w:numPr>
          <w:ilvl w:val="0"/>
          <w:numId w:val="1"/>
        </w:numPr>
        <w:widowControl/>
      </w:pPr>
      <w:r>
        <w:rPr>
          <w:rFonts w:ascii="Calibri" w:hAnsi="Calibri" w:cs="Calibri"/>
          <w:b/>
          <w:bCs/>
        </w:rPr>
        <w:t>Done when:</w:t>
      </w:r>
      <w:r>
        <w:rPr>
          <w:rFonts w:ascii="Calibri" w:hAnsi="Calibri" w:cs="Calibri"/>
        </w:rPr>
        <w:t xml:space="preserve"> Every implemented package has focused positive/fail-closed evidence and the integrated authority produces improved multi-surface output against the frozen P10B-18A baseline without protected commerce/media drift.</w:t>
      </w:r>
    </w:p>
    <w:p>
      <w:pPr>
        <w:pStyle w:val="Normal"/>
        <w:numPr>
          <w:ilvl w:val="0"/>
          <w:numId w:val="1"/>
        </w:numPr>
        <w:widowControl/>
      </w:pPr>
      <w:r>
        <w:rPr>
          <w:rFonts w:ascii="Calibri" w:hAnsi="Calibri" w:cs="Calibri"/>
          <w:b/>
          <w:bCs/>
        </w:rPr>
        <w:t>Required evidence:</w:t>
      </w:r>
      <w:r>
        <w:rPr>
          <w:rFonts w:ascii="Calibri" w:hAnsi="Calibri" w:cs="Calibri"/>
        </w:rPr>
        <w:t xml:space="preserve"> Contract/deterministic/integration evidence as applicable plus exact multi-width browser captures and retained human comparison for the changed authority.</w:t>
      </w:r>
    </w:p>
    <w:p>
      <w:pPr>
        <w:pStyle w:val="Normal"/>
        <w:numPr>
          <w:ilvl w:val="0"/>
          <w:numId w:val="1"/>
        </w:numPr>
        <w:widowControl/>
      </w:pPr>
      <w:r>
        <w:rPr>
          <w:rFonts w:ascii="Calibri" w:hAnsi="Calibri" w:cs="Calibri"/>
          <w:b/>
          <w:bCs/>
        </w:rPr>
        <w:t>Non-goal:</w:t>
      </w:r>
      <w:r>
        <w:rPr>
          <w:rFonts w:ascii="Calibri" w:hAnsi="Calibri" w:cs="Calibri"/>
        </w:rPr>
        <w:t xml:space="preserve"> A second canonical model, page graph, component platform, renderer, commerce model, generated imagery, or an automatic claim that P10B-18C passed.</w:t>
      </w:r>
    </w:p>
    <w:p>
      <w:pPr>
        <w:pStyle w:val="Heading3"/>
        <w:keepNext/>
        <w:widowControl/>
      </w:pPr>
      <w:r>
        <w:rPr>
          <w:rFonts w:ascii="Calibri" w:hAnsi="Calibri" w:cs="Calibri"/>
        </w:rPr>
        <w:t>P10B-18B-01 — Design DNA and shared-frames quality upgrade</w:t>
      </w:r>
    </w:p>
    <w:p>
      <w:pPr>
        <w:pStyle w:val="Normal"/>
        <w:numPr>
          <w:ilvl w:val="0"/>
          <w:numId w:val="1"/>
        </w:numPr>
        <w:widowControl/>
      </w:pPr>
      <w:r>
        <w:rPr>
          <w:rFonts w:ascii="Calibri" w:hAnsi="Calibri" w:cs="Calibri"/>
          <w:b/>
          <w:bCs/>
        </w:rPr>
        <w:t>Outcome:</w:t>
      </w:r>
      <w:r>
        <w:rPr>
          <w:rFonts w:ascii="Calibri" w:hAnsi="Calibri" w:cs="Calibri"/>
        </w:rPr>
        <w:t xml:space="preserve"> Materialize bounded within-direction density, report exact semantic dependencies, make the existing compact frame truthfully complete-store reachable, and refine the four shared frames without adding canonical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17 August 2026 under </w:t>
      </w:r>
      <w:hyperlink r:id="rIdHyperlink2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current Design DNA/direction/frame authority.</w:t>
      </w:r>
    </w:p>
    <w:p>
      <w:pPr>
        <w:pStyle w:val="Normal"/>
        <w:numPr>
          <w:ilvl w:val="0"/>
          <w:numId w:val="1"/>
        </w:numPr>
        <w:widowControl/>
      </w:pPr>
      <w:r>
        <w:rPr>
          <w:rFonts w:ascii="Calibri" w:hAnsi="Calibri" w:cs="Calibri"/>
          <w:b/>
          <w:bCs/>
        </w:rPr>
        <w:t>Done:</w:t>
      </w:r>
      <w:r>
        <w:rPr>
          <w:rFonts w:ascii="Calibri" w:hAnsi="Calibri" w:cs="Calibri"/>
        </w:rPr>
        <w:t xml:space="preserve"> Design DNA remains </w:t>
      </w:r>
      <w:r>
        <w:rPr>
          <w:rFonts w:ascii="Consolas" w:hAnsi="Consolas" w:cs="Consolas"/>
          <w:sz w:val="19"/>
          <w:szCs w:val="19"/>
        </w:rPr>
        <w:t>1.0.0</w:t>
      </w:r>
      <w:r>
        <w:rPr>
          <w:rFonts w:ascii="Calibri" w:hAnsi="Calibri" w:cs="Calibri"/>
        </w:rPr>
        <w:t xml:space="preserve"> with two exact density outcomes per direction; semantic density and mobile hierarchy are truthfully compound; all nine audit strata have non-zero compact complete-store candidates; the same 72 cases improve from 3 to 6 non-colour DNA bundles and 25 to 36 normalized material topologies; 17 focused captures pass accepted review.</w:t>
      </w:r>
    </w:p>
    <w:p>
      <w:pPr>
        <w:pStyle w:val="Normal"/>
        <w:numPr>
          <w:ilvl w:val="0"/>
          <w:numId w:val="1"/>
        </w:numPr>
        <w:widowControl/>
      </w:pPr>
      <w:r>
        <w:rPr>
          <w:rFonts w:ascii="Calibri" w:hAnsi="Calibri" w:cs="Calibri"/>
          <w:b/>
          <w:bCs/>
        </w:rPr>
        <w:t>Evidence:</w:t>
      </w:r>
      <w:r>
        <w:rPr>
          <w:rFonts w:ascii="Calibri" w:hAnsi="Calibri" w:cs="Calibri"/>
        </w:rPr>
        <w:t xml:space="preserve"> Fixed-backbone DNA/CSS proof, complete-site compatibility and former-blocker direct rendering, exact semantic/factorized authority, persistence/compiler/protected-state regression, final P10B-17 browser gate, production build/budgets, and accepted 17-capture manifest.</w:t>
      </w:r>
    </w:p>
    <w:p>
      <w:pPr>
        <w:pStyle w:val="Normal"/>
        <w:numPr>
          <w:ilvl w:val="0"/>
          <w:numId w:val="1"/>
        </w:numPr>
        <w:widowControl/>
      </w:pPr>
      <w:r>
        <w:rPr>
          <w:rFonts w:ascii="Calibri" w:hAnsi="Calibri" w:cs="Calibri"/>
          <w:b/>
          <w:bCs/>
        </w:rPr>
        <w:t>Non-goal:</w:t>
      </w:r>
      <w:r>
        <w:rPr>
          <w:rFonts w:ascii="Calibri" w:hAnsi="Calibri" w:cs="Calibri"/>
        </w:rPr>
        <w:t xml:space="preserve"> Homepage, collection/search/card, PDP, content/utility or asset/art-direction redesign; a fifth frame; schema migration; P10B-18C quality/scale closure.</w:t>
      </w:r>
    </w:p>
    <w:p>
      <w:pPr>
        <w:pStyle w:val="Normal"/>
        <w:numPr>
          <w:ilvl w:val="0"/>
          <w:numId w:val="1"/>
        </w:numPr>
        <w:widowControl/>
      </w:pPr>
      <w:r>
        <w:rPr>
          <w:rFonts w:ascii="Calibri" w:hAnsi="Calibri" w:cs="Calibri"/>
          <w:b/>
          <w:bCs/>
        </w:rPr>
        <w:t>Historical handoff:</w:t>
      </w:r>
      <w:r>
        <w:rPr>
          <w:rFonts w:ascii="Calibri" w:hAnsi="Calibri" w:cs="Calibri"/>
        </w:rPr>
        <w:t xml:space="preserve"> P10B-18B-06 — Asset Composition and Art Direction Quality Upgrade, subsequently accepted on 17 August 2026.</w:t>
      </w:r>
    </w:p>
    <w:p>
      <w:pPr>
        <w:pStyle w:val="Heading3"/>
        <w:keepNext/>
        <w:widowControl/>
      </w:pPr>
      <w:r>
        <w:rPr>
          <w:rFonts w:ascii="Calibri" w:hAnsi="Calibri" w:cs="Calibri"/>
        </w:rPr>
        <w:t>P10B-18B-06 — Asset Composition and Art Direction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17 August 2026 for the bounded shared asset-selection, purpose-affinity, reuse, responsive-source/crop, logo-consumer and art-direction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w:t>
      </w:r>
    </w:p>
    <w:p>
      <w:pPr>
        <w:pStyle w:val="Normal"/>
        <w:numPr>
          <w:ilvl w:val="0"/>
          <w:numId w:val="1"/>
        </w:numPr>
        <w:widowControl/>
      </w:pPr>
      <w:r>
        <w:rPr>
          <w:rFonts w:ascii="Calibri" w:hAnsi="Calibri" w:cs="Calibri"/>
          <w:b/>
          <w:bCs/>
        </w:rPr>
        <w:t>Done:</w:t>
      </w:r>
      <w:r>
        <w:rPr>
          <w:rFonts w:ascii="Calibri" w:hAnsi="Calibri" w:cs="Calibri"/>
        </w:rPr>
        <w:t xml:space="preserve"> Exact purpose-affine asset selection, explicit reuse limits, paired responsive hero sources and crops, one registered shared-header logo consumer, same-72-case regression and 13 retained captures preserve snapshot, compiler, renderer and protected product-media truth.</w:t>
      </w:r>
    </w:p>
    <w:p>
      <w:pPr>
        <w:pStyle w:val="Normal"/>
        <w:numPr>
          <w:ilvl w:val="0"/>
          <w:numId w:val="1"/>
        </w:numPr>
        <w:widowControl/>
      </w:pPr>
      <w:r>
        <w:rPr>
          <w:rFonts w:ascii="Calibri" w:hAnsi="Calibri" w:cs="Calibri"/>
          <w:b/>
          <w:bCs/>
        </w:rPr>
        <w:t>Review closure:</w:t>
      </w:r>
      <w:r>
        <w:rPr>
          <w:rFonts w:ascii="Calibri" w:hAnsi="Calibri" w:cs="Calibri"/>
        </w:rPr>
        <w:t xml:space="preserve"> The one automatic review was resolved in one focused pass: follow-up reuse ignores replaced homepage/header placements; paired sources enforce independent reuse and exact current provenance; primaries require complete viewport coverage; art direction is keyed by exact placement, upgrades existing authority, preserves approved crop identity/ratio and safe areas; source/treatment fallback stays independent; collection campaign affinity honors collection IDs.</w:t>
      </w:r>
    </w:p>
    <w:p>
      <w:pPr>
        <w:pStyle w:val="Normal"/>
        <w:numPr>
          <w:ilvl w:val="0"/>
          <w:numId w:val="1"/>
        </w:numPr>
        <w:widowControl/>
      </w:pPr>
      <w:r>
        <w:rPr>
          <w:rFonts w:ascii="Calibri" w:hAnsi="Calibri" w:cs="Calibri"/>
          <w:b/>
          <w:bCs/>
        </w:rPr>
        <w:t>Boundary:</w:t>
      </w:r>
      <w:r>
        <w:rPr>
          <w:rFonts w:ascii="Calibri" w:hAnsi="Calibri" w:cs="Calibri"/>
        </w:rPr>
        <w:t xml:space="preserve"> This is not complete-storefront commercial visual acceptance. Excessive whitespace, generic homepage composition, weak merchandising rhythm and insufficient section hierarchy remain owned by P10B-18B-02/03/04/05.</w:t>
      </w:r>
    </w:p>
    <w:p>
      <w:pPr>
        <w:pStyle w:val="Normal"/>
        <w:numPr>
          <w:ilvl w:val="0"/>
          <w:numId w:val="1"/>
        </w:numPr>
        <w:widowControl/>
      </w:pPr>
      <w:r>
        <w:rPr>
          <w:rFonts w:ascii="Calibri" w:hAnsi="Calibri" w:cs="Calibri"/>
          <w:b/>
          <w:bCs/>
        </w:rPr>
        <w:t>Historical handoff:</w:t>
      </w:r>
      <w:r>
        <w:rPr>
          <w:rFonts w:ascii="Calibri" w:hAnsi="Calibri" w:cs="Calibri"/>
        </w:rPr>
        <w:t xml:space="preserve"> P10B-18B-02 — Homepage / Editorial / Campaign Quality Upgrade, subsequently accepted on 18 August 2026.</w:t>
      </w:r>
    </w:p>
    <w:p>
      <w:pPr>
        <w:pStyle w:val="Heading3"/>
        <w:keepNext/>
        <w:widowControl/>
      </w:pPr>
      <w:r>
        <w:rPr>
          <w:rFonts w:ascii="Calibri" w:hAnsi="Calibri" w:cs="Calibri"/>
        </w:rPr>
        <w:t>P10B-18B-02 — Homepage / Editorial / Campaign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homepage, editorial and campaign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 and P10B-18B-06.</w:t>
      </w:r>
    </w:p>
    <w:p>
      <w:pPr>
        <w:pStyle w:val="Normal"/>
        <w:numPr>
          <w:ilvl w:val="0"/>
          <w:numId w:val="1"/>
        </w:numPr>
        <w:widowControl/>
      </w:pPr>
      <w:r>
        <w:rPr>
          <w:rFonts w:ascii="Calibri" w:hAnsi="Calibri" w:cs="Calibri"/>
          <w:b/>
          <w:bCs/>
        </w:rPr>
        <w:t>Done:</w:t>
      </w:r>
      <w:r>
        <w:rPr>
          <w:rFonts w:ascii="Calibri" w:hAnsi="Calibri" w:cs="Calibri"/>
        </w:rPr>
        <w:t xml:space="preserve"> The six existing homepage profiles now carry explicit transition intent, truthful story/catalogue semantic causality, asset-aware rich/sparse progression and distinct hierarchy; the renderer consumes observable hero, promotion, editorial and proof structures without a second page graph or renderer.</w:t>
      </w:r>
    </w:p>
    <w:p>
      <w:pPr>
        <w:pStyle w:val="Normal"/>
        <w:numPr>
          <w:ilvl w:val="0"/>
          <w:numId w:val="1"/>
        </w:numPr>
        <w:widowControl/>
      </w:pPr>
      <w:r>
        <w:rPr>
          <w:rFonts w:ascii="Calibri" w:hAnsi="Calibri" w:cs="Calibri"/>
          <w:b/>
          <w:bCs/>
        </w:rPr>
        <w:t>Evidence:</w:t>
      </w:r>
      <w:r>
        <w:rPr>
          <w:rFonts w:ascii="Calibri" w:hAnsi="Calibri" w:cs="Calibri"/>
        </w:rPr>
        <w:t xml:space="preserve"> The unchanged nine-by-eight strata produce 38 normalized topologies, 55/72 repeated material memberships, a largest cluster of seven and 17 singletons. Fourteen retained captures prove rich/sparse, three same-direction profile/frame contrasts, compact mobile merchandising, internal overflow bounds, persistence and protected commerce/media parity.</w:t>
      </w:r>
    </w:p>
    <w:p>
      <w:pPr>
        <w:pStyle w:val="Normal"/>
        <w:numPr>
          <w:ilvl w:val="0"/>
          <w:numId w:val="1"/>
        </w:numPr>
        <w:widowControl/>
      </w:pPr>
      <w:r>
        <w:rPr>
          <w:rFonts w:ascii="Calibri" w:hAnsi="Calibri" w:cs="Calibri"/>
          <w:b/>
          <w:bCs/>
        </w:rPr>
        <w:t>Boundary:</w:t>
      </w:r>
      <w:r>
        <w:rPr>
          <w:rFonts w:ascii="Calibri" w:hAnsi="Calibri" w:cs="Calibri"/>
        </w:rPr>
        <w:t xml:space="preserve"> This does not accept collection/search/product-card, PDP or content/utility visual quality and does not satisfy the P10B-18C designer-grade/100+ gate.</w:t>
      </w:r>
    </w:p>
    <w:p>
      <w:pPr>
        <w:pStyle w:val="Normal"/>
        <w:numPr>
          <w:ilvl w:val="0"/>
          <w:numId w:val="1"/>
        </w:numPr>
        <w:widowControl/>
      </w:pPr>
      <w:r>
        <w:rPr>
          <w:rFonts w:ascii="Calibri" w:hAnsi="Calibri" w:cs="Calibri"/>
          <w:b/>
          <w:bCs/>
        </w:rPr>
        <w:t>Historical handoff:</w:t>
      </w:r>
      <w:r>
        <w:rPr>
          <w:rFonts w:ascii="Calibri" w:hAnsi="Calibri" w:cs="Calibri"/>
        </w:rPr>
        <w:t xml:space="preserve"> P10B-18B-03 — Collection / Search / Product-card Quality Upgrade.</w:t>
      </w:r>
    </w:p>
    <w:p>
      <w:pPr>
        <w:pStyle w:val="Heading3"/>
        <w:keepNext/>
        <w:widowControl/>
      </w:pPr>
      <w:r>
        <w:rPr>
          <w:rFonts w:ascii="Calibri" w:hAnsi="Calibri" w:cs="Calibri"/>
        </w:rPr>
        <w:t>P10B-18B-03 — Collection / Search / Product-card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collection, search-results and canonical product-card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P10B-18B-02.</w:t>
      </w:r>
    </w:p>
    <w:p>
      <w:pPr>
        <w:pStyle w:val="Normal"/>
        <w:numPr>
          <w:ilvl w:val="0"/>
          <w:numId w:val="1"/>
        </w:numPr>
        <w:widowControl/>
      </w:pPr>
      <w:r>
        <w:rPr>
          <w:rFonts w:ascii="Calibri" w:hAnsi="Calibri" w:cs="Calibri"/>
          <w:b/>
          <w:bCs/>
        </w:rPr>
        <w:t>Delivered:</w:t>
      </w:r>
      <w:r>
        <w:rPr>
          <w:rFonts w:ascii="Calibri" w:hAnsi="Calibri" w:cs="Calibri"/>
        </w:rPr>
        <w:t xml:space="preserve"> Retains the four collection/search profile identities and one renderer while adding deterministic micro/small/medium/dense presentation classification; facet usefulness and profile-specific filter hierarchy; proportional orientation/grid composition; five strengthened canonical card anatomies; comparison and dense executable search presentations; and exact provider-facing transient canonical-search capability truth without changing the provider schema.</w:t>
      </w:r>
    </w:p>
    <w:p>
      <w:pPr>
        <w:pStyle w:val="Normal"/>
        <w:numPr>
          <w:ilvl w:val="0"/>
          <w:numId w:val="1"/>
        </w:numPr>
        <w:widowControl/>
      </w:pPr>
      <w:r>
        <w:rPr>
          <w:rFonts w:ascii="Calibri" w:hAnsi="Calibri" w:cs="Calibri"/>
          <w:b/>
          <w:bCs/>
        </w:rPr>
        <w:t>Evidence:</w:t>
      </w:r>
      <w:r>
        <w:rPr>
          <w:rFonts w:ascii="Calibri" w:hAnsi="Calibri" w:cs="Calibri"/>
        </w:rPr>
        <w:t xml:space="preserve"> The unchanged 72 semantic/catalogue strata produce 39 normalized topologies, 53/72 repeated-cluster memberships, largest cluster 7, collection distribution editorial 35 / dense 27 / comparison 9 / campaign 1 and search distribution dense 63 / comparison 9. Twenty-one retained captures cover all four profile purposes, five card anatomies, Premium/Modern/Minimal outcomes, 375/768/1024/1440 geometry, zero/one/multiple-result search, exact save/reload/render authority and zero external/provider/Vesko/browser generation-endpoint/ publication calls.</w:t>
      </w:r>
    </w:p>
    <w:p>
      <w:pPr>
        <w:pStyle w:val="Normal"/>
        <w:numPr>
          <w:ilvl w:val="0"/>
          <w:numId w:val="1"/>
        </w:numPr>
        <w:widowControl/>
      </w:pPr>
      <w:r>
        <w:rPr>
          <w:rFonts w:ascii="Calibri" w:hAnsi="Calibri" w:cs="Calibri"/>
          <w:b/>
          <w:bCs/>
        </w:rPr>
        <w:t>Boundaries:</w:t>
      </w:r>
      <w:r>
        <w:rPr>
          <w:rFonts w:ascii="Calibri" w:hAnsi="Calibri" w:cs="Calibri"/>
        </w:rPr>
        <w:t xml:space="preserve"> No PDP, content/support/utility redesign, new product/search/filter/card authority, commerce mutation, provider call, Vesko call, generated media or real publication. Parent P10B-18B/P10B-18/P10B remain Partial and P10B-18C designer-grade/100+ acceptance is unproved.</w:t>
      </w:r>
    </w:p>
    <w:p>
      <w:pPr>
        <w:pStyle w:val="Normal"/>
        <w:numPr>
          <w:ilvl w:val="0"/>
          <w:numId w:val="1"/>
        </w:numPr>
        <w:widowControl/>
      </w:pPr>
      <w:r>
        <w:rPr>
          <w:rFonts w:ascii="Calibri" w:hAnsi="Calibri" w:cs="Calibri"/>
          <w:b/>
          <w:bCs/>
        </w:rPr>
        <w:t>Historical handoff:</w:t>
      </w:r>
      <w:r>
        <w:rPr>
          <w:rFonts w:ascii="Calibri" w:hAnsi="Calibri" w:cs="Calibri"/>
        </w:rPr>
        <w:t xml:space="preserve"> P10B-18B-04 — PDP Quality Upgrade, subsequently accepted on 19 August 2026.</w:t>
      </w:r>
    </w:p>
    <w:p>
      <w:pPr>
        <w:pStyle w:val="Heading3"/>
        <w:keepNext/>
        <w:widowControl/>
      </w:pPr>
      <w:r>
        <w:rPr>
          <w:rFonts w:ascii="Calibri" w:hAnsi="Calibri" w:cs="Calibri"/>
        </w:rPr>
        <w:t>P10B-18B-04 — PDP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19 August 2026 for bounded PDP quality.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P10B-18B-03.</w:t>
      </w:r>
    </w:p>
    <w:p>
      <w:pPr>
        <w:pStyle w:val="Normal"/>
        <w:numPr>
          <w:ilvl w:val="0"/>
          <w:numId w:val="1"/>
        </w:numPr>
        <w:widowControl/>
      </w:pPr>
      <w:r>
        <w:rPr>
          <w:rFonts w:ascii="Calibri" w:hAnsi="Calibri" w:cs="Calibri"/>
          <w:b/>
          <w:bCs/>
        </w:rPr>
        <w:t>Delivered:</w:t>
      </w:r>
      <w:r>
        <w:rPr>
          <w:rFonts w:ascii="Calibri" w:hAnsi="Calibri" w:cs="Calibri"/>
        </w:rPr>
        <w:t xml:space="preserve"> Retains the four stable PDP profiles and one canonical renderer/resolver while adding exact-product configuration, media-depth and decision-support matching; bounded content-driven media stages; stronger gallery, purchase, configuration-summary and related- merchandising hierarchy; failure-disabled purchase; and profile-authorized mobile sticky action.</w:t>
      </w:r>
    </w:p>
    <w:p>
      <w:pPr>
        <w:pStyle w:val="Normal"/>
        <w:numPr>
          <w:ilvl w:val="0"/>
          <w:numId w:val="1"/>
        </w:numPr>
        <w:widowControl/>
      </w:pPr>
      <w:r>
        <w:rPr>
          <w:rFonts w:ascii="Calibri" w:hAnsi="Calibri" w:cs="Calibri"/>
          <w:b/>
          <w:bCs/>
        </w:rPr>
        <w:t>Evidence:</w:t>
      </w:r>
      <w:r>
        <w:rPr>
          <w:rFonts w:ascii="Calibri" w:hAnsi="Calibri" w:cs="Calibri"/>
        </w:rPr>
        <w:t xml:space="preserve"> Focused deterministic context and renderer matrices plus 20 retained captures at 375/768/1024/1440 cover standard simple, light configurable, complex variant-led, rich gallery- led, high consideration with and without optional approved evidence, sparse media and zero/one/three related products. The unchanged 72 strata retain 39 normalized material topologies, 53/72 repeated memberships and the prior profile/frame/DNA distributions while preserving exact canonical variants, options, prices and media.</w:t>
      </w:r>
    </w:p>
    <w:p>
      <w:pPr>
        <w:pStyle w:val="Normal"/>
        <w:numPr>
          <w:ilvl w:val="0"/>
          <w:numId w:val="1"/>
        </w:numPr>
        <w:widowControl/>
      </w:pPr>
      <w:r>
        <w:rPr>
          <w:rFonts w:ascii="Calibri" w:hAnsi="Calibri" w:cs="Calibri"/>
          <w:b/>
          <w:bCs/>
        </w:rPr>
        <w:t>Boundaries:</w:t>
      </w:r>
      <w:r>
        <w:rPr>
          <w:rFonts w:ascii="Calibri" w:hAnsi="Calibri" w:cs="Calibri"/>
        </w:rPr>
        <w:t xml:space="preserve"> No content/support/utility redesign, new commerce authority, product-type-name matching, provider call, Vesko call, generated media or real publication. This does not accept complete-store commercial visual quality or P10B-18C designer-grade/100+ quality.</w:t>
      </w:r>
    </w:p>
    <w:p>
      <w:pPr>
        <w:pStyle w:val="Normal"/>
        <w:numPr>
          <w:ilvl w:val="0"/>
          <w:numId w:val="1"/>
        </w:numPr>
        <w:widowControl/>
      </w:pPr>
      <w:r>
        <w:rPr>
          <w:rFonts w:ascii="Calibri" w:hAnsi="Calibri" w:cs="Calibri"/>
          <w:b/>
          <w:bCs/>
        </w:rPr>
        <w:t>Historical handoff:</w:t>
      </w:r>
      <w:r>
        <w:rPr>
          <w:rFonts w:ascii="Calibri" w:hAnsi="Calibri" w:cs="Calibri"/>
        </w:rPr>
        <w:t xml:space="preserve"> P10B-18B-05 — Content / Support / Utilities Quality Upgrade, subsequently accepted on 20 August 2026. P10B-18C is now the exact next task; P10B-16P-05B remains after it.</w:t>
      </w:r>
    </w:p>
    <w:p>
      <w:pPr>
        <w:pStyle w:val="Heading3"/>
        <w:keepNext/>
        <w:widowControl/>
      </w:pPr>
      <w:r>
        <w:rPr>
          <w:rFonts w:ascii="Calibri" w:hAnsi="Calibri" w:cs="Calibri"/>
        </w:rPr>
        <w:t>P10B-18C — 100+ commercial quality and diversity gate</w:t>
      </w:r>
    </w:p>
    <w:p>
      <w:pPr>
        <w:pStyle w:val="Normal"/>
        <w:numPr>
          <w:ilvl w:val="0"/>
          <w:numId w:val="1"/>
        </w:numPr>
        <w:widowControl/>
      </w:pPr>
      <w:r>
        <w:rPr>
          <w:rFonts w:ascii="Calibri" w:hAnsi="Calibri" w:cs="Calibri"/>
          <w:b/>
          <w:bCs/>
        </w:rPr>
        <w:t>Outcome:</w:t>
      </w:r>
      <w:r>
        <w:rPr>
          <w:rFonts w:ascii="Calibri" w:hAnsi="Calibri" w:cs="Calibri"/>
        </w:rPr>
        <w:t xml:space="preserve"> Prove final breadth, meaningful diversity and designer-grade commercial quality on the integrated P10B-18B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on 22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and integrated P10B-18B packages.</w:t>
      </w:r>
    </w:p>
    <w:p>
      <w:pPr>
        <w:pStyle w:val="Normal"/>
        <w:numPr>
          <w:ilvl w:val="0"/>
          <w:numId w:val="1"/>
        </w:numPr>
        <w:widowControl/>
      </w:pPr>
      <w:r>
        <w:rPr>
          <w:rFonts w:ascii="Calibri" w:hAnsi="Calibri" w:cs="Calibri"/>
          <w:b/>
          <w:bCs/>
        </w:rPr>
        <w:t>Done:</w:t>
      </w:r>
      <w:r>
        <w:rPr>
          <w:rFonts w:ascii="Calibri" w:hAnsi="Calibri" w:cs="Calibri"/>
        </w:rPr>
        <w:t xml:space="preserve"> 126/126 exact complete-store compiles and deterministic replays, zero protected-state mutation or fabrication, 54 normalized topologies, explicit duplicate/causality accounting, a deterministic 28-store selector and final hash-bound 280-entry EN/FI four-width review with zero primary visual FAIL.</w:t>
      </w:r>
    </w:p>
    <w:p>
      <w:pPr>
        <w:pStyle w:val="Normal"/>
        <w:numPr>
          <w:ilvl w:val="0"/>
          <w:numId w:val="1"/>
        </w:numPr>
        <w:widowControl/>
      </w:pPr>
      <w:r>
        <w:rPr>
          <w:rFonts w:ascii="Calibri" w:hAnsi="Calibri" w:cs="Calibri"/>
          <w:b/>
          <w:bCs/>
        </w:rPr>
        <w:t>Required evidence:</w:t>
      </w:r>
      <w:r>
        <w:rPr>
          <w:rFonts w:ascii="Calibri" w:hAnsi="Calibri" w:cs="Calibri"/>
        </w:rPr>
        <w:t xml:space="preserve"> Retained Stage A reports, complete browser manifest, request/runtime and geometry/accessibility ledgers, final human review, lifecycle/publication regressions and unchanged protected commerce/media.</w:t>
      </w:r>
    </w:p>
    <w:p>
      <w:pPr>
        <w:pStyle w:val="Normal"/>
        <w:numPr>
          <w:ilvl w:val="0"/>
          <w:numId w:val="1"/>
        </w:numPr>
        <w:widowControl/>
      </w:pPr>
      <w:r>
        <w:rPr>
          <w:rFonts w:ascii="Calibri" w:hAnsi="Calibri" w:cs="Calibri"/>
          <w:b/>
          <w:bCs/>
        </w:rPr>
        <w:t>Non-goal:</w:t>
      </w:r>
      <w:r>
        <w:rPr>
          <w:rFonts w:ascii="Calibri" w:hAnsi="Calibri" w:cs="Calibri"/>
        </w:rPr>
        <w:t xml:space="preserve"> Treating P10B-18A evidence, registry counts, configuration count, automated checks, or one polished store as final commercial acceptance.</w:t>
      </w:r>
    </w:p>
    <w:p>
      <w:pPr>
        <w:pStyle w:val="Heading3"/>
        <w:keepNext/>
        <w:widowControl/>
      </w:pPr>
      <w:r>
        <w:rPr>
          <w:rFonts w:ascii="Calibri" w:hAnsi="Calibri" w:cs="Calibri"/>
        </w:rPr>
        <w:t>P10B-18D — Live AI commercial storefront acceptance</w:t>
      </w:r>
    </w:p>
    <w:p>
      <w:pPr>
        <w:pStyle w:val="Normal"/>
        <w:numPr>
          <w:ilvl w:val="0"/>
          <w:numId w:val="1"/>
        </w:numPr>
        <w:widowControl/>
      </w:pPr>
      <w:r>
        <w:rPr>
          <w:rFonts w:ascii="Calibri" w:hAnsi="Calibri" w:cs="Calibri"/>
          <w:b/>
          <w:bCs/>
        </w:rPr>
        <w:t>Outcome:</w:t>
      </w:r>
      <w:r>
        <w:rPr>
          <w:rFonts w:ascii="Calibri" w:hAnsi="Calibri" w:cs="Calibri"/>
        </w:rPr>
        <w:t xml:space="preserve"> Diagnose freshly authorized live-AI generation against the final integrated post-18B authority without weakening deterministic compiler/materializer or protected-state boundaries.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 diagnostic / live commercial quality rejected</w:t>
      </w:r>
      <w:r>
        <w:rPr>
          <w:rFonts w:ascii="Calibri" w:hAnsi="Calibri" w:cs="Calibri"/>
        </w:rPr>
        <w:t>, 24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P10B-18C.</w:t>
      </w:r>
    </w:p>
    <w:p>
      <w:pPr>
        <w:pStyle w:val="Normal"/>
        <w:numPr>
          <w:ilvl w:val="0"/>
          <w:numId w:val="1"/>
        </w:numPr>
        <w:widowControl/>
      </w:pPr>
      <w:r>
        <w:rPr>
          <w:rFonts w:ascii="Calibri" w:hAnsi="Calibri" w:cs="Calibri"/>
          <w:b/>
          <w:bCs/>
        </w:rPr>
        <w:t>Result:</w:t>
      </w:r>
      <w:r>
        <w:rPr>
          <w:rFonts w:ascii="Calibri" w:hAnsi="Calibri" w:cs="Calibri"/>
        </w:rPr>
        <w:t xml:space="preserve"> Six bounded calls preserve exact technical lineage and protected commerce/media, but only Concepts 3, 4 and 5 pass prompt fidelity. Concepts 2 and 6 resolve to the same exact authority. Concept 6 does not complete reload and full Preview proof.</w:t>
      </w:r>
    </w:p>
    <w:p>
      <w:pPr>
        <w:pStyle w:val="Normal"/>
        <w:numPr>
          <w:ilvl w:val="0"/>
          <w:numId w:val="1"/>
        </w:numPr>
        <w:widowControl/>
      </w:pPr>
      <w:r>
        <w:rPr>
          <w:rFonts w:ascii="Calibri" w:hAnsi="Calibri" w:cs="Calibri"/>
          <w:b/>
          <w:bCs/>
        </w:rPr>
        <w:t>Evidence limits:</w:t>
      </w:r>
      <w:r>
        <w:rPr>
          <w:rFonts w:ascii="Calibri" w:hAnsi="Calibri" w:cs="Calibri"/>
        </w:rPr>
        <w:t xml:space="preserve"> Concept 1 safe/Reject evidence is partial; Concept 4 lacks two expired cart captures; Concept 5 lacks explicit Reject proof; Concept 6 is complete only through Save.</w:t>
      </w:r>
    </w:p>
    <w:p>
      <w:pPr>
        <w:pStyle w:val="Normal"/>
        <w:numPr>
          <w:ilvl w:val="0"/>
          <w:numId w:val="1"/>
        </w:numPr>
        <w:widowControl/>
      </w:pPr>
      <w:r>
        <w:rPr>
          <w:rFonts w:ascii="Calibri" w:hAnsi="Calibri" w:cs="Calibri"/>
          <w:b/>
          <w:bCs/>
        </w:rPr>
        <w:t>Non-goal:</w:t>
      </w:r>
      <w:r>
        <w:rPr>
          <w:rFonts w:ascii="Calibri" w:hAnsi="Calibri" w:cs="Calibri"/>
        </w:rPr>
        <w:t xml:space="preserve"> Vesko calls, real publication, production-readiness claims or a second provider/ compiler/materializer authority.</w:t>
      </w:r>
    </w:p>
    <w:p>
      <w:pPr>
        <w:pStyle w:val="Normal"/>
        <w:widowControl/>
      </w:pPr>
      <w:r>
        <w:rPr>
          <w:rFonts w:ascii="Calibri" w:hAnsi="Calibri" w:cs="Calibri"/>
        </w:rPr>
        <w:t xml:space="preserve">P10B-18 and P10B remain Partial. </w:t>
      </w:r>
      <w:r>
        <w:rPr>
          <w:rFonts w:ascii="Consolas" w:hAnsi="Consolas" w:cs="Consolas"/>
          <w:sz w:val="19"/>
          <w:szCs w:val="19"/>
        </w:rPr>
        <w:t>P10B-19 PRE - Structural Design Intelligence Architecture Lock</w:t>
      </w:r>
      <w:r>
        <w:rPr>
          <w:rFonts w:ascii="Calibri" w:hAnsi="Calibri" w:cs="Calibri"/>
        </w:rPr>
        <w:t xml:space="preserve"> is Baseline. P10B-19A-01 through P10B-19A-07 and P10B-19A-08A through P10B-19A-08C are Baseline; parent P10B-19A-08 is Baseline / closed. P10B-19A-09A, P10B-19A-09B and P10B-19A-09C are Baseline; </w:t>
      </w:r>
      <w:r>
        <w:rPr>
          <w:rFonts w:ascii="Consolas" w:hAnsi="Consolas" w:cs="Consolas"/>
          <w:sz w:val="19"/>
          <w:szCs w:val="19"/>
        </w:rPr>
        <w:t>P10B-19A-09 - v1 read/render/migration/publication compatibility</w:t>
      </w:r>
      <w:r>
        <w:rPr>
          <w:rFonts w:ascii="Calibri" w:hAnsi="Calibri" w:cs="Calibri"/>
        </w:rPr>
        <w:t xml:space="preserve"> is Baseline / closed, while </w:t>
      </w:r>
      <w:r>
        <w:rPr>
          <w:rFonts w:ascii="Consolas" w:hAnsi="Consolas" w:cs="Consolas"/>
          <w:sz w:val="19"/>
          <w:szCs w:val="19"/>
        </w:rPr>
        <w:t>P10B-19A - Structural Storefront Family Contract</w:t>
      </w:r>
      <w:r>
        <w:rPr>
          <w:rFonts w:ascii="Calibri" w:hAnsi="Calibri" w:cs="Calibri"/>
        </w:rPr>
        <w:t xml:space="preserve"> remains Partial. P10B-19A-10A and P10B-19A-10B1 and P10B-19A-10B2 are Baseline; parent P10B-19A-10B is Baseline / closed; P10B-19A-10 remains Partial. A-10C is the exact next implementation task, P10B-19B-01 follows it, and P10B-19B through P10B-19J remain Planned.</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24" w:history="1">
        <w:r>
          <w:rPr>
            <w:rFonts w:ascii="Calibri" w:hAnsi="Calibri" w:cs="Calibri"/>
            <w:color w:val="2E74B5"/>
            <w:u w:val="single"/>
          </w:rPr>
          <w:t>VESKO_OPENAPI_CONTRACT_AUDIT.md</w:t>
        </w:r>
      </w:hyperlink>
      <w:r>
        <w:rPr>
          <w:rFonts w:ascii="Calibri" w:hAnsi="Calibri" w:cs="Calibri"/>
        </w:rPr>
        <w:t xml:space="preserve"> and </w:t>
      </w:r>
      <w:hyperlink r:id="rIdHyperlink25"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w:t>
      </w:r>
    </w:p>
    <w:p>
      <w:pPr>
        <w:pStyle w:val="Normal"/>
        <w:numPr>
          <w:ilvl w:val="0"/>
          <w:numId w:val="1"/>
        </w:numPr>
        <w:widowControl/>
      </w:pPr>
      <w:r>
        <w:rPr>
          <w:rFonts w:ascii="Calibri" w:hAnsi="Calibri" w:cs="Calibri"/>
          <w:b/>
          <w:bCs/>
        </w:rPr>
        <w:t>Non-goal:</w:t>
      </w:r>
      <w:r>
        <w:rPr>
          <w:rFonts w:ascii="Calibri" w:hAnsi="Calibri" w:cs="Calibri"/>
        </w:rPr>
        <w:t xml:space="preserve"> New design, editor, advanced-media, or commerce scope.</w:t>
      </w:r>
    </w:p>
    <w:p>
      <w:pPr>
        <w:pStyle w:val="Heading2"/>
        <w:keepNext/>
        <w:widowControl/>
      </w:pPr>
      <w:r>
        <w:rPr>
          <w:rFonts w:ascii="Calibri" w:hAnsi="Calibri" w:cs="Calibri"/>
        </w:rPr>
        <w:t>P10B-18B-05 accepted Baseline (20 August 2026)</w:t>
      </w:r>
    </w:p>
    <w:p>
      <w:pPr>
        <w:pStyle w:val="Normal"/>
        <w:widowControl/>
      </w:pPr>
      <w:r>
        <w:rPr>
          <w:rFonts w:ascii="Calibri" w:hAnsi="Calibri" w:cs="Calibri"/>
        </w:rPr>
        <w:t xml:space="preserve">The accepted package preserves one </w:t>
      </w:r>
      <w:r>
        <w:rPr>
          <w:rFonts w:ascii="Consolas" w:hAnsi="Consolas" w:cs="Consolas"/>
          <w:sz w:val="19"/>
          <w:szCs w:val="19"/>
        </w:rPr>
        <w:t>StorefrontSnapshot</w:t>
      </w:r>
      <w:r>
        <w:rPr>
          <w:rFonts w:ascii="Calibri" w:hAnsi="Calibri" w:cs="Calibri"/>
        </w:rPr>
        <w:t xml:space="preserve">, one </w:t>
      </w:r>
      <w:r>
        <w:rPr>
          <w:rFonts w:ascii="Consolas" w:hAnsi="Consolas" w:cs="Consolas"/>
          <w:sz w:val="19"/>
          <w:szCs w:val="19"/>
        </w:rPr>
        <w:t>PageBlueprint</w:t>
      </w:r>
      <w:r>
        <w:rPr>
          <w:rFonts w:ascii="Calibri" w:hAnsi="Calibri" w:cs="Calibri"/>
        </w:rPr>
        <w:t xml:space="preserve">, one fact/asset/navigation authority,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and transient utility runtime projection. Focused evidence is 31/31 final unit tests, 78/78 retained P10B-12/13 browser tests, 70/70 focused authority/lifecycle tests, 2/2 dedicated matrix tests with 30 captures, and the unchanged 72/72 frozen compilation strata. The product owner accepted the exact checkpoint on 20 August 2026. P10B-18B-05 and the completed P10B-18B parent are Baseline; P10B-18/P10B remain Partial and P10B-18C is the exact next task. The mandated complete one-worker Vitest ran exactly once: 2,925 tests passed, three retained assertions failed and one live-gated test was skipped. The three findings were corrected through focused authority/test updates, all affected focused reruns are green, and the final retained browser/lifecycle/compiler regressions are green. PR review, CI and merge remain.</w:t>
      </w:r>
    </w:p>
    <w:p>
      <w:pPr>
        <w:pageBreakBefore/>
        <w:pStyle w:val="Heading2"/>
        <w:keepNext/>
        <w:widowControl/>
      </w:pPr>
      <w:r>
        <w:rPr>
          <w:rFonts w:ascii="Calibri" w:hAnsi="Calibri" w:cs="Calibri"/>
        </w:rPr>
        <w:t>P10B-18C accepted Baseline (22 August 2026)</w:t>
      </w:r>
    </w:p>
    <w:p>
      <w:pPr>
        <w:pStyle w:val="Normal"/>
        <w:widowControl/>
      </w:pPr>
      <w:r>
        <w:rPr>
          <w:rFonts w:ascii="Calibri" w:hAnsi="Calibri" w:cs="Calibri"/>
        </w:rPr>
        <w:t xml:space="preserve">The accepted deterministic gate uses nine catalogue/evidence shapes by fourteen semantic strata. All 126 cases compile and replay, the frozen 72 remains 39 topologies / 53 repeated memberships / largest seven / 19 singletons, protected commerce/media and external activity are zero, and the expanded matrix contains 54 normalized topologies. The deterministic selector retains 28 stores and the final complete manifest binds 280 captures across 375/768/1024/1440 and EN/FI. The final human verdict is </w:t>
      </w:r>
      <w:r>
        <w:rPr>
          <w:rFonts w:ascii="Calibri" w:hAnsi="Calibri" w:cs="Calibri"/>
          <w:b/>
          <w:bCs/>
        </w:rPr>
        <w:t>PASS WITH MINOR LIMITATION</w:t>
      </w:r>
      <w:r>
        <w:rPr>
          <w:rFonts w:ascii="Calibri" w:hAnsi="Calibri" w:cs="Calibri"/>
        </w:rPr>
        <w:t xml:space="preserve"> with zero primary FAIL. P10B-16P-05B subsequently removed the one-time capture platform while retaining the bounded quality gate. P10B-18D subsequently completed as a rejected-quality diagnostic. P10B-19 PRE is Baseline. P10B-19A-01 through P10B-19A-07 and P10B-19A-08A through P10B-19A-08C are Baseline; parent P10B-19A-08 is Baseline / closed. P10B-19A-09A, P10B-19A-09B and P10B-19A-09C are Baseline; parent P10B-19A-09 is Baseline / closed. P10B-19A-10A, P10B-19A-10B1 and P10B-19A-10B2 are Baseline; parent P10B-19A-10B is Baseline / closed. P10B-19A-10 and P10B-19A remain Partial; A-10C is the exact next implementation task.</w:t>
      </w:r>
    </w:p>
    <w:p>
      <w:pPr>
        <w:pageBreakBefore/>
        <w:pStyle w:val="Heading1"/>
        <w:keepNext/>
        <w:widowControl/>
      </w:pPr>
      <w:r>
        <w:rPr>
          <w:rFonts w:ascii="Calibri" w:hAnsi="Calibri" w:cs="Calibri"/>
        </w:rPr>
        <w:t>P10B-19 accepted architecture delivery state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8460"/>
      </w:tblGrid>
      <w:tr>
        <w:trPr>
          <w:tblHeader/>
          <w:cantSplit/>
        </w:trPr>
        <w:tc>
          <w:tcPr>
            <w:tcW w:w="100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Task</w:t>
            </w:r>
          </w:p>
        </w:tc>
        <w:tc>
          <w:tcPr>
            <w:tcW w:w="2000" w:type="dxa"/>
            <w:vAlign w:val="center"/>
            <w:shd w:val="clear" w:fill="E8EEF5"/>
          </w:tcPr>
          <w:p>
            <w:pPr>
              <w:pStyle w:val="TableHeader"/>
              <w:jc w:val="center"/>
              <w:widowControl/>
            </w:pPr>
            <w:r>
              <w:rPr>
                <w:rFonts w:ascii="Calibri" w:hAnsi="Calibri" w:cs="Calibri"/>
              </w:rPr>
              <w:t>State</w:t>
            </w:r>
          </w:p>
        </w:tc>
        <w:tc>
          <w:tcPr>
            <w:tcW w:w="8460" w:type="dxa"/>
            <w:vAlign w:val="center"/>
            <w:shd w:val="clear" w:fill="E8EEF5"/>
          </w:tcPr>
          <w:p>
            <w:pPr>
              <w:pStyle w:val="TableHeader"/>
              <w:jc w:val="center"/>
              <w:widowControl/>
            </w:pPr>
            <w:r>
              <w:rPr>
                <w:rFonts w:ascii="Calibri" w:hAnsi="Calibri" w:cs="Calibri"/>
              </w:rPr>
              <w:t>Evidence / next boundary</w:t>
            </w:r>
          </w:p>
        </w:tc>
      </w:tr>
      <w:tr>
        <w:trPr>
          <w:cantSplit/>
        </w:trPr>
        <w:tc>
          <w:tcPr>
            <w:tcW w:w="1000" w:type="dxa"/>
            <w:vAlign w:val="center"/>
          </w:tcPr>
          <w:p>
            <w:pPr>
              <w:pStyle w:val="TableText"/>
              <w:jc w:val="center"/>
              <w:widowControl/>
            </w:pPr>
            <w:r>
              <w:rPr>
                <w:rFonts w:ascii="Calibri" w:hAnsi="Calibri" w:cs="Calibri"/>
              </w:rPr>
              <w:t>Complete</w:t>
            </w:r>
          </w:p>
        </w:tc>
        <w:tc>
          <w:tcPr>
            <w:tcW w:w="1500" w:type="dxa"/>
            <w:vAlign w:val="center"/>
          </w:tcPr>
          <w:p>
            <w:pPr>
              <w:pStyle w:val="TableText"/>
              <w:widowControl/>
            </w:pPr>
            <w:r>
              <w:rPr>
                <w:rFonts w:ascii="Calibri" w:hAnsi="Calibri" w:cs="Calibri"/>
              </w:rPr>
              <w:t>P10B-19 PRE</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 owner accepted the structural design intelligence architecture; no production implementation was included</w:t>
            </w:r>
          </w:p>
        </w:tc>
      </w:tr>
      <w:tr>
        <w:trPr>
          <w:cantSplit/>
        </w:trPr>
        <w:tc>
          <w:tcPr>
            <w:tcW w:w="1000" w:type="dxa"/>
            <w:vAlign w:val="center"/>
          </w:tcPr>
          <w:p>
            <w:pPr>
              <w:pStyle w:val="TableText"/>
              <w:jc w:val="center"/>
              <w:widowControl/>
            </w:pPr>
            <w:r>
              <w:rPr>
                <w:rFonts w:ascii="Calibri" w:hAnsi="Calibri" w:cs="Calibri"/>
              </w:rPr>
              <w:t>Current</w:t>
            </w:r>
          </w:p>
        </w:tc>
        <w:tc>
          <w:tcPr>
            <w:tcW w:w="1500" w:type="dxa"/>
            <w:vAlign w:val="center"/>
          </w:tcPr>
          <w:p>
            <w:pPr>
              <w:pStyle w:val="TableText"/>
              <w:widowControl/>
            </w:pPr>
            <w:r>
              <w:rPr>
                <w:rFonts w:ascii="Calibri" w:hAnsi="Calibri" w:cs="Calibri"/>
              </w:rPr>
              <w:t>P10B-19A</w:t>
            </w:r>
          </w:p>
        </w:tc>
        <w:tc>
          <w:tcPr>
            <w:tcW w:w="2000" w:type="dxa"/>
            <w:vAlign w:val="center"/>
          </w:tcPr>
          <w:p>
            <w:pPr>
              <w:pStyle w:val="TableText"/>
              <w:widowControl/>
            </w:pPr>
            <w:r>
              <w:rPr>
                <w:rFonts w:ascii="Calibri" w:hAnsi="Calibri" w:cs="Calibri"/>
                <w:b/>
                <w:bCs/>
              </w:rPr>
              <w:t>Partial</w:t>
            </w:r>
          </w:p>
        </w:tc>
        <w:tc>
          <w:tcPr>
            <w:tcW w:w="8460" w:type="dxa"/>
            <w:vAlign w:val="center"/>
          </w:tcPr>
          <w:p>
            <w:pPr>
              <w:pStyle w:val="TableText"/>
              <w:widowControl/>
            </w:pPr>
            <w:r>
              <w:rPr>
                <w:rFonts w:ascii="Calibri" w:hAnsi="Calibri" w:cs="Calibri"/>
              </w:rPr>
              <w:t>Structural Storefront Family and PageBlueprint v2 contracts, registry, A-08 delivery, and v1 compatibility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A-08A normalized topology, A-08B compatibility and A-08C deterministic selection complete the accepted parent outcome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P10B-19A-01</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Structural family identity, version and lifecycle authority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P10B-19A-02</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Cross-page Structural Storefront Family relationship contract</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P10B-19A-03</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Required page structures, region graph and explicit PageBlueprint v1/v2 dispatch; zero v2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P10B-19A-04</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Asset-role compatibility contract bound to exact PageBlueprint v2 identity and regions;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P10B-19A-05</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Responsive-rule contract bound to four breakpoints and complete structural coverage;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P10B-19A-06</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Omission, substitution and fallback contract bound to required asset-role regions;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P10B-19A-07</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candidate fingerprints and six-profile inactive family registry authority; sole production registry value remains exactly empty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Normalized PageBlueprint v2/family topology identity and pure duplicate index; all production record counts remain zero</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P10B-19A-08B</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Candidate compatibility contracts and deterministic evaluation; empty production profile catalogue and zero runtime reach</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Scoring-free deterministic selection, identity-free complete topology, immutable replay receipt and zero runtime reach</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A-09A identity, A-09B historical read/render replay and A-09C publication replay complete the accepted v1 compatibility outcome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three legacy-v1 aliases and strict stale-checked v1 selection replay reference; no snapshot/render/publication execution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P10B-19A-09B</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Strict read-only current-canonical validation, exact-bound or readable-unattributed receipt, and 36/36 current-renderer replay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A-09B/compiler binding, manual-source replay, three atomic confirmations, active-version integrity and 36/36 published/parity proof</w:t>
            </w:r>
          </w:p>
        </w:tc>
      </w:tr>
      <w:tr>
        <w:trPr>
          <w:cantSplit/>
        </w:trPr>
        <w:tc>
          <w:tcPr>
            <w:tcW w:w="1000" w:type="dxa"/>
            <w:vAlign w:val="center"/>
          </w:tcPr>
          <w:p>
            <w:pPr>
              <w:pStyle w:val="TableText"/>
              <w:jc w:val="center"/>
              <w:widowControl/>
            </w:pPr>
            <w:r>
              <w:rPr>
                <w:rFonts w:ascii="Calibri" w:hAnsi="Calibri" w:cs="Calibri"/>
              </w:rPr>
              <w:t>Current</w:t>
            </w:r>
          </w:p>
        </w:tc>
        <w:tc>
          <w:tcPr>
            <w:tcW w:w="1500" w:type="dxa"/>
            <w:vAlign w:val="center"/>
          </w:tcPr>
          <w:p>
            <w:pPr>
              <w:pStyle w:val="TableText"/>
              <w:widowControl/>
            </w:pPr>
            <w:r>
              <w:rPr>
                <w:rFonts w:ascii="Calibri" w:hAnsi="Calibri" w:cs="Calibri"/>
              </w:rPr>
              <w:t>P10B-19A-10</w:t>
            </w:r>
          </w:p>
        </w:tc>
        <w:tc>
          <w:tcPr>
            <w:tcW w:w="2000" w:type="dxa"/>
            <w:vAlign w:val="center"/>
          </w:tcPr>
          <w:p>
            <w:pPr>
              <w:pStyle w:val="TableText"/>
              <w:widowControl/>
            </w:pPr>
            <w:r>
              <w:rPr>
                <w:rFonts w:ascii="Calibri" w:hAnsi="Calibri" w:cs="Calibri"/>
                <w:b/>
                <w:bCs/>
              </w:rPr>
              <w:t>Partial</w:t>
            </w:r>
          </w:p>
        </w:tc>
        <w:tc>
          <w:tcPr>
            <w:tcW w:w="8460" w:type="dxa"/>
            <w:vAlign w:val="center"/>
          </w:tcPr>
          <w:p>
            <w:pPr>
              <w:pStyle w:val="TableText"/>
              <w:widowControl/>
            </w:pPr>
            <w:r>
              <w:rPr>
                <w:rFonts w:ascii="Calibri" w:hAnsi="Calibri" w:cs="Calibri"/>
              </w:rPr>
              <w:t>A-10A and A-10B complete; A-10C remains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Checked 24-entry inventory; exact 126/72 and A-09 metrics; 76 hashes; nine inactivity zeroes; dynamic CI discovery; zero production diff</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Positive B1 and exact 36-case fail-closed B2 complete; zero production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P10B-19A-10B1</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fixed-count positive matrix; A-09/A-10A unchanged; zero production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P10B-19A-10B2</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36-case owner/phase matrix; no downstream work, partial output, source mutation or production change</w:t>
            </w:r>
          </w:p>
        </w:tc>
      </w:tr>
      <w:tr>
        <w:trPr>
          <w:cantSplit/>
        </w:trPr>
        <w:tc>
          <w:tcPr>
            <w:tcW w:w="1000" w:type="dxa"/>
            <w:vAlign w:val="center"/>
          </w:tcPr>
          <w:p>
            <w:pPr>
              <w:pStyle w:val="TableText"/>
              <w:jc w:val="center"/>
              <w:widowControl/>
            </w:pPr>
            <w:r>
              <w:rPr>
                <w:rFonts w:ascii="Calibri" w:hAnsi="Calibri" w:cs="Calibri"/>
              </w:rPr>
              <w:t>Next</w:t>
            </w:r>
          </w:p>
        </w:tc>
        <w:tc>
          <w:tcPr>
            <w:tcW w:w="1500" w:type="dxa"/>
            <w:vAlign w:val="center"/>
          </w:tcPr>
          <w:p>
            <w:pPr>
              <w:pStyle w:val="TableText"/>
              <w:widowControl/>
            </w:pPr>
            <w:r>
              <w:rPr>
                <w:rFonts w:ascii="Calibri" w:hAnsi="Calibri" w:cs="Calibri"/>
              </w:rPr>
              <w:t>P10B-19A-10C</w:t>
            </w:r>
          </w:p>
        </w:tc>
        <w:tc>
          <w:tcPr>
            <w:tcW w:w="2000" w:type="dxa"/>
            <w:vAlign w:val="center"/>
          </w:tcPr>
          <w:p>
            <w:pPr>
              <w:pStyle w:val="TableText"/>
              <w:widowControl/>
            </w:pPr>
            <w:r>
              <w:rPr>
                <w:rFonts w:ascii="Calibri" w:hAnsi="Calibri" w:cs="Calibri"/>
                <w:b/>
                <w:bCs/>
              </w:rPr>
              <w:t>Planned / exact next</w:t>
            </w:r>
          </w:p>
        </w:tc>
        <w:tc>
          <w:tcPr>
            <w:tcW w:w="8460" w:type="dxa"/>
            <w:vAlign w:val="center"/>
          </w:tcPr>
          <w:p>
            <w:pPr>
              <w:pStyle w:val="TableText"/>
              <w:widowControl/>
            </w:pPr>
            <w:r>
              <w:rPr>
                <w:rFonts w:ascii="Calibri" w:hAnsi="Calibri" w:cs="Calibri"/>
              </w:rPr>
              <w:t>Complete retained execution, closure report and product-owner architecture gate</w:t>
            </w:r>
          </w:p>
        </w:tc>
      </w:tr>
      <w:tr>
        <w:trPr>
          <w:cantSplit/>
        </w:trPr>
        <w:tc>
          <w:tcPr>
            <w:tcW w:w="1000" w:type="dxa"/>
            <w:vAlign w:val="center"/>
          </w:tcPr>
          <w:p>
            <w:pPr>
              <w:pStyle w:val="TableText"/>
              <w:jc w:val="center"/>
              <w:widowControl/>
            </w:pPr>
            <w:r>
              <w:rPr>
                <w:rFonts w:ascii="Calibri" w:hAnsi="Calibri" w:cs="Calibri"/>
              </w:rPr>
              <w:t>Planned</w:t>
            </w:r>
          </w:p>
        </w:tc>
        <w:tc>
          <w:tcPr>
            <w:tcW w:w="1500" w:type="dxa"/>
            <w:vAlign w:val="center"/>
          </w:tcPr>
          <w:p>
            <w:pPr>
              <w:pStyle w:val="TableText"/>
              <w:widowControl/>
            </w:pPr>
            <w:r>
              <w:rPr>
                <w:rFonts w:ascii="Calibri" w:hAnsi="Calibri" w:cs="Calibri"/>
              </w:rPr>
              <w:t>P10B-19B-01</w:t>
            </w:r>
          </w:p>
        </w:tc>
        <w:tc>
          <w:tcPr>
            <w:tcW w:w="2000" w:type="dxa"/>
            <w:vAlign w:val="center"/>
          </w:tcPr>
          <w:p>
            <w:pPr>
              <w:pStyle w:val="TableText"/>
              <w:widowControl/>
            </w:pPr>
            <w:r>
              <w:rPr>
                <w:rFonts w:ascii="Calibri" w:hAnsi="Calibri" w:cs="Calibri"/>
                <w:b/>
                <w:bCs/>
              </w:rPr>
              <w:t>Planned</w:t>
            </w:r>
          </w:p>
        </w:tc>
        <w:tc>
          <w:tcPr>
            <w:tcW w:w="8460" w:type="dxa"/>
            <w:vAlign w:val="center"/>
          </w:tcPr>
          <w:p>
            <w:pPr>
              <w:pStyle w:val="TableText"/>
              <w:widowControl/>
            </w:pPr>
            <w:r>
              <w:rPr>
                <w:rFonts w:ascii="Calibri" w:hAnsi="Calibri" w:cs="Calibri"/>
              </w:rPr>
              <w:t>First next-package child only after A-10C</w:t>
            </w:r>
          </w:p>
        </w:tc>
      </w:tr>
      <w:tr>
        <w:trPr>
          <w:cantSplit/>
        </w:trPr>
        <w:tc>
          <w:tcPr>
            <w:tcW w:w="1000" w:type="dxa"/>
            <w:vAlign w:val="center"/>
          </w:tcPr>
          <w:p>
            <w:pPr>
              <w:pStyle w:val="TableText"/>
              <w:jc w:val="center"/>
              <w:widowControl/>
            </w:pPr>
            <w:r>
              <w:rPr>
                <w:rFonts w:ascii="Calibri" w:hAnsi="Calibri" w:cs="Calibri"/>
              </w:rPr>
              <w:t>Planned</w:t>
            </w:r>
          </w:p>
        </w:tc>
        <w:tc>
          <w:tcPr>
            <w:tcW w:w="1500" w:type="dxa"/>
            <w:vAlign w:val="center"/>
          </w:tcPr>
          <w:p>
            <w:pPr>
              <w:pStyle w:val="TableText"/>
              <w:widowControl/>
            </w:pPr>
            <w:r>
              <w:rPr>
                <w:rFonts w:ascii="Calibri" w:hAnsi="Calibri" w:cs="Calibri"/>
              </w:rPr>
              <w:t>P10B-19B through P10B-19J</w:t>
            </w:r>
          </w:p>
        </w:tc>
        <w:tc>
          <w:tcPr>
            <w:tcW w:w="2000" w:type="dxa"/>
            <w:vAlign w:val="center"/>
          </w:tcPr>
          <w:p>
            <w:pPr>
              <w:pStyle w:val="TableText"/>
              <w:widowControl/>
            </w:pPr>
            <w:r>
              <w:rPr>
                <w:rFonts w:ascii="Calibri" w:hAnsi="Calibri" w:cs="Calibri"/>
                <w:b/>
                <w:bCs/>
              </w:rPr>
              <w:t>Planned</w:t>
            </w:r>
          </w:p>
        </w:tc>
        <w:tc>
          <w:tcPr>
            <w:tcW w:w="8460" w:type="dxa"/>
            <w:vAlign w:val="center"/>
          </w:tcPr>
          <w:p>
            <w:pPr>
              <w:pStyle w:val="TableText"/>
              <w:widowControl/>
            </w:pPr>
            <w:r>
              <w:rPr>
                <w:rFonts w:ascii="Calibri" w:hAnsi="Calibri" w:cs="Calibri"/>
              </w:rPr>
              <w:t>Granular Visual Recipe, frame, homepage, discovery, PDP, content/utility, multi-concept, critic, and final live-acceptance packages</w:t>
            </w:r>
          </w:p>
        </w:tc>
      </w:tr>
    </w:tbl>
    <w:p>
      <w:pPr>
        <w:pStyle w:val="Normal"/>
        <w:widowControl/>
      </w:pPr>
    </w:p>
    <w:p>
      <w:pPr>
        <w:pStyle w:val="Normal"/>
        <w:widowControl/>
      </w:pPr>
      <w:r>
        <w:rPr>
          <w:rFonts w:ascii="Calibri" w:hAnsi="Calibri" w:cs="Calibri"/>
        </w:rPr>
        <w:t>The accepted architecture remains the 73-child granular plan. The A-10A/A-10B/A-10C rows, including A-10B1/A-10B2 beneath A-10B, are nested delivery micro-PRs within accepted parent A-10 and do not renumber or expand that architecture count. Each meaningful visual family requires a focused product-owner screenshot checkpoint before merge. P10B remains Partial.</w:t>
      </w:r>
    </w:p>
    <w:p>
      <w:pPr>
        <w:pStyle w:val="Heading1"/>
        <w:keepNext/>
        <w:widowControl/>
      </w:pPr>
      <w:r>
        <w:rPr>
          <w:rFonts w:ascii="Calibri" w:hAnsi="Calibri" w:cs="Calibri"/>
        </w:rPr>
        <w:t>DEVX-01 CI matrix authority</w:t>
      </w:r>
    </w:p>
    <w:p>
      <w:pPr>
        <w:pStyle w:val="Normal"/>
        <w:numPr>
          <w:ilvl w:val="0"/>
          <w:numId w:val="1"/>
        </w:numPr>
        <w:widowControl/>
      </w:pPr>
      <w:r>
        <w:rPr>
          <w:rFonts w:ascii="Calibri" w:hAnsi="Calibri" w:cs="Calibri"/>
        </w:rPr>
        <w:t>DEVX-01A = Baseline</w:t>
      </w:r>
    </w:p>
    <w:p>
      <w:pPr>
        <w:pStyle w:val="Normal"/>
        <w:numPr>
          <w:ilvl w:val="0"/>
          <w:numId w:val="1"/>
        </w:numPr>
        <w:widowControl/>
      </w:pPr>
      <w:r>
        <w:rPr>
          <w:rFonts w:ascii="Calibri" w:hAnsi="Calibri" w:cs="Calibri"/>
        </w:rPr>
        <w:t>DEVX-01B = Baseline</w:t>
      </w:r>
    </w:p>
    <w:p>
      <w:pPr>
        <w:pStyle w:val="Normal"/>
        <w:numPr>
          <w:ilvl w:val="0"/>
          <w:numId w:val="1"/>
        </w:numPr>
        <w:widowControl/>
      </w:pPr>
      <w:r>
        <w:rPr>
          <w:rFonts w:ascii="Calibri" w:hAnsi="Calibri" w:cs="Calibri"/>
        </w:rPr>
        <w:t>DEVX-01C = Baseline</w:t>
      </w:r>
    </w:p>
    <w:p>
      <w:pPr>
        <w:pStyle w:val="Normal"/>
        <w:numPr>
          <w:ilvl w:val="0"/>
          <w:numId w:val="1"/>
        </w:numPr>
        <w:widowControl/>
      </w:pPr>
      <w:r>
        <w:rPr>
          <w:rFonts w:ascii="Calibri" w:hAnsi="Calibri" w:cs="Calibri"/>
        </w:rPr>
        <w:t>DEVX-01D = Baseline</w:t>
      </w:r>
    </w:p>
    <w:p>
      <w:pPr>
        <w:pStyle w:val="Normal"/>
        <w:numPr>
          <w:ilvl w:val="0"/>
          <w:numId w:val="1"/>
        </w:numPr>
        <w:widowControl/>
      </w:pPr>
      <w:r>
        <w:rPr>
          <w:rFonts w:ascii="Calibri" w:hAnsi="Calibri" w:cs="Calibri"/>
        </w:rPr>
        <w:t>DEVX-01E = Baseline</w:t>
      </w:r>
    </w:p>
    <w:p>
      <w:pPr>
        <w:pStyle w:val="Normal"/>
        <w:numPr>
          <w:ilvl w:val="0"/>
          <w:numId w:val="1"/>
        </w:numPr>
        <w:widowControl/>
      </w:pPr>
      <w:r>
        <w:rPr>
          <w:rFonts w:ascii="Calibri" w:hAnsi="Calibri" w:cs="Calibri"/>
        </w:rPr>
        <w:t>DEVX-01F = Baseline</w:t>
      </w:r>
    </w:p>
    <w:p>
      <w:pPr>
        <w:pStyle w:val="Normal"/>
        <w:numPr>
          <w:ilvl w:val="0"/>
          <w:numId w:val="1"/>
        </w:numPr>
        <w:widowControl/>
      </w:pPr>
      <w:r>
        <w:rPr>
          <w:rFonts w:ascii="Calibri" w:hAnsi="Calibri" w:cs="Calibri"/>
        </w:rPr>
        <w:t>DEVX-01F2 = Baseline</w:t>
      </w:r>
    </w:p>
    <w:p>
      <w:pPr>
        <w:pStyle w:val="Normal"/>
        <w:numPr>
          <w:ilvl w:val="0"/>
          <w:numId w:val="1"/>
        </w:numPr>
        <w:widowControl/>
      </w:pPr>
      <w:r>
        <w:rPr>
          <w:rFonts w:ascii="Calibri" w:hAnsi="Calibri" w:cs="Calibri"/>
        </w:rPr>
        <w:t>DEVX-01G = Baseline</w:t>
      </w:r>
    </w:p>
    <w:p>
      <w:pPr>
        <w:pStyle w:val="Normal"/>
        <w:numPr>
          <w:ilvl w:val="0"/>
          <w:numId w:val="1"/>
        </w:numPr>
        <w:widowControl/>
      </w:pPr>
      <w:r>
        <w:rPr>
          <w:rFonts w:ascii="Calibri" w:hAnsi="Calibri" w:cs="Calibri"/>
        </w:rPr>
        <w:t>DEVX-01 = Baseline / closed</w:t>
      </w:r>
    </w:p>
    <w:p>
      <w:pPr>
        <w:pStyle w:val="Normal"/>
        <w:numPr>
          <w:ilvl w:val="0"/>
          <w:numId w:val="1"/>
        </w:numPr>
        <w:widowControl/>
      </w:pPr>
      <w:r>
        <w:rPr>
          <w:rFonts w:ascii="Calibri" w:hAnsi="Calibri" w:cs="Calibri"/>
        </w:rPr>
        <w:t>P10B-19A-01 = Baseline</w:t>
      </w:r>
    </w:p>
    <w:p>
      <w:pPr>
        <w:pStyle w:val="Normal"/>
        <w:numPr>
          <w:ilvl w:val="0"/>
          <w:numId w:val="1"/>
        </w:numPr>
        <w:widowControl/>
      </w:pPr>
      <w:r>
        <w:rPr>
          <w:rFonts w:ascii="Calibri" w:hAnsi="Calibri" w:cs="Calibri"/>
        </w:rPr>
        <w:t>P10B-19A-02 = Baseline</w:t>
      </w:r>
    </w:p>
    <w:p>
      <w:pPr>
        <w:pStyle w:val="Normal"/>
        <w:numPr>
          <w:ilvl w:val="0"/>
          <w:numId w:val="1"/>
        </w:numPr>
        <w:widowControl/>
      </w:pPr>
      <w:r>
        <w:rPr>
          <w:rFonts w:ascii="Calibri" w:hAnsi="Calibri" w:cs="Calibri"/>
        </w:rPr>
        <w:t>P10B-19A-03 = Baseline</w:t>
      </w:r>
    </w:p>
    <w:p>
      <w:pPr>
        <w:pStyle w:val="Normal"/>
        <w:numPr>
          <w:ilvl w:val="0"/>
          <w:numId w:val="1"/>
        </w:numPr>
        <w:widowControl/>
      </w:pPr>
      <w:r>
        <w:rPr>
          <w:rFonts w:ascii="Calibri" w:hAnsi="Calibri" w:cs="Calibri"/>
        </w:rPr>
        <w:t>P10B-19A-04 = Baseline</w:t>
      </w:r>
    </w:p>
    <w:p>
      <w:pPr>
        <w:pStyle w:val="Normal"/>
        <w:numPr>
          <w:ilvl w:val="0"/>
          <w:numId w:val="1"/>
        </w:numPr>
        <w:widowControl/>
      </w:pPr>
      <w:r>
        <w:rPr>
          <w:rFonts w:ascii="Calibri" w:hAnsi="Calibri" w:cs="Calibri"/>
        </w:rPr>
        <w:t>P10B-19A-05 = Baseline</w:t>
      </w:r>
    </w:p>
    <w:p>
      <w:pPr>
        <w:pStyle w:val="Normal"/>
        <w:numPr>
          <w:ilvl w:val="0"/>
          <w:numId w:val="1"/>
        </w:numPr>
        <w:widowControl/>
      </w:pPr>
      <w:r>
        <w:rPr>
          <w:rFonts w:ascii="Calibri" w:hAnsi="Calibri" w:cs="Calibri"/>
        </w:rPr>
        <w:t>P10B-19A-06 = Baseline</w:t>
      </w:r>
    </w:p>
    <w:p>
      <w:pPr>
        <w:pStyle w:val="Normal"/>
        <w:numPr>
          <w:ilvl w:val="0"/>
          <w:numId w:val="1"/>
        </w:numPr>
        <w:widowControl/>
      </w:pPr>
      <w:r>
        <w:rPr>
          <w:rFonts w:ascii="Calibri" w:hAnsi="Calibri" w:cs="Calibri"/>
        </w:rPr>
        <w:t>P10B-19A-07 = Baseline</w:t>
      </w:r>
    </w:p>
    <w:p>
      <w:pPr>
        <w:pStyle w:val="Normal"/>
        <w:numPr>
          <w:ilvl w:val="0"/>
          <w:numId w:val="1"/>
        </w:numPr>
        <w:widowControl/>
      </w:pPr>
      <w:r>
        <w:rPr>
          <w:rFonts w:ascii="Calibri" w:hAnsi="Calibri" w:cs="Calibri"/>
        </w:rPr>
        <w:t>P10B-19A-08A = Baseline</w:t>
      </w:r>
    </w:p>
    <w:p>
      <w:pPr>
        <w:pStyle w:val="Normal"/>
        <w:numPr>
          <w:ilvl w:val="0"/>
          <w:numId w:val="1"/>
        </w:numPr>
        <w:widowControl/>
      </w:pPr>
      <w:r>
        <w:rPr>
          <w:rFonts w:ascii="Calibri" w:hAnsi="Calibri" w:cs="Calibri"/>
        </w:rPr>
        <w:t>P10B-19A-08B = Baseline</w:t>
      </w:r>
    </w:p>
    <w:p>
      <w:pPr>
        <w:pStyle w:val="Normal"/>
        <w:numPr>
          <w:ilvl w:val="0"/>
          <w:numId w:val="1"/>
        </w:numPr>
        <w:widowControl/>
      </w:pPr>
      <w:r>
        <w:rPr>
          <w:rFonts w:ascii="Calibri" w:hAnsi="Calibri" w:cs="Calibri"/>
        </w:rPr>
        <w:t>P10B-19A-08C = Baseline</w:t>
      </w:r>
    </w:p>
    <w:p>
      <w:pPr>
        <w:pStyle w:val="Normal"/>
        <w:numPr>
          <w:ilvl w:val="0"/>
          <w:numId w:val="1"/>
        </w:numPr>
        <w:widowControl/>
      </w:pPr>
      <w:r>
        <w:rPr>
          <w:rFonts w:ascii="Calibri" w:hAnsi="Calibri" w:cs="Calibri"/>
        </w:rPr>
        <w:t>P10B-19A-08 = Baseline / closed</w:t>
      </w:r>
    </w:p>
    <w:p>
      <w:pPr>
        <w:pStyle w:val="Normal"/>
        <w:numPr>
          <w:ilvl w:val="0"/>
          <w:numId w:val="1"/>
        </w:numPr>
        <w:widowControl/>
      </w:pPr>
      <w:r>
        <w:rPr>
          <w:rFonts w:ascii="Calibri" w:hAnsi="Calibri" w:cs="Calibri"/>
        </w:rPr>
        <w:t>P10B-19A-09A = Baseline</w:t>
      </w:r>
    </w:p>
    <w:p>
      <w:pPr>
        <w:pStyle w:val="Normal"/>
        <w:numPr>
          <w:ilvl w:val="0"/>
          <w:numId w:val="1"/>
        </w:numPr>
        <w:widowControl/>
      </w:pPr>
      <w:r>
        <w:rPr>
          <w:rFonts w:ascii="Calibri" w:hAnsi="Calibri" w:cs="Calibri"/>
        </w:rPr>
        <w:t>P10B-19A-09B = Baseline</w:t>
      </w:r>
    </w:p>
    <w:p>
      <w:pPr>
        <w:pStyle w:val="Normal"/>
        <w:numPr>
          <w:ilvl w:val="0"/>
          <w:numId w:val="1"/>
        </w:numPr>
        <w:widowControl/>
      </w:pPr>
      <w:r>
        <w:rPr>
          <w:rFonts w:ascii="Calibri" w:hAnsi="Calibri" w:cs="Calibri"/>
        </w:rPr>
        <w:t>P10B-19A-09C = Baseline</w:t>
      </w:r>
    </w:p>
    <w:p>
      <w:pPr>
        <w:pStyle w:val="Normal"/>
        <w:numPr>
          <w:ilvl w:val="0"/>
          <w:numId w:val="1"/>
        </w:numPr>
        <w:widowControl/>
      </w:pPr>
      <w:r>
        <w:rPr>
          <w:rFonts w:ascii="Calibri" w:hAnsi="Calibri" w:cs="Calibri"/>
        </w:rPr>
        <w:t>P10B-19A-09 = Baseline / closed</w:t>
      </w:r>
    </w:p>
    <w:p>
      <w:pPr>
        <w:pStyle w:val="Normal"/>
        <w:numPr>
          <w:ilvl w:val="0"/>
          <w:numId w:val="1"/>
        </w:numPr>
        <w:widowControl/>
      </w:pPr>
      <w:r>
        <w:rPr>
          <w:rFonts w:ascii="Calibri" w:hAnsi="Calibri" w:cs="Calibri"/>
        </w:rPr>
        <w:t>P10B-19A-10A = Baseline</w:t>
      </w:r>
    </w:p>
    <w:p>
      <w:pPr>
        <w:pStyle w:val="Normal"/>
        <w:numPr>
          <w:ilvl w:val="0"/>
          <w:numId w:val="1"/>
        </w:numPr>
        <w:widowControl/>
      </w:pPr>
      <w:r>
        <w:rPr>
          <w:rFonts w:ascii="Calibri" w:hAnsi="Calibri" w:cs="Calibri"/>
        </w:rPr>
        <w:t>P10B-19A-10B1 = Baseline</w:t>
      </w:r>
    </w:p>
    <w:p>
      <w:pPr>
        <w:pStyle w:val="Normal"/>
        <w:numPr>
          <w:ilvl w:val="0"/>
          <w:numId w:val="1"/>
        </w:numPr>
        <w:widowControl/>
      </w:pPr>
      <w:r>
        <w:rPr>
          <w:rFonts w:ascii="Calibri" w:hAnsi="Calibri" w:cs="Calibri"/>
        </w:rPr>
        <w:t>P10B-19A-10B = Baseline / closed</w:t>
      </w:r>
    </w:p>
    <w:p>
      <w:pPr>
        <w:pStyle w:val="Normal"/>
        <w:numPr>
          <w:ilvl w:val="0"/>
          <w:numId w:val="1"/>
        </w:numPr>
        <w:widowControl/>
      </w:pPr>
      <w:r>
        <w:rPr>
          <w:rFonts w:ascii="Calibri" w:hAnsi="Calibri" w:cs="Calibri"/>
        </w:rPr>
        <w:t>P10B-19A-10 = Partial</w:t>
      </w:r>
    </w:p>
    <w:p>
      <w:pPr>
        <w:pStyle w:val="Normal"/>
        <w:numPr>
          <w:ilvl w:val="0"/>
          <w:numId w:val="1"/>
        </w:numPr>
        <w:widowControl/>
      </w:pPr>
      <w:r>
        <w:rPr>
          <w:rFonts w:ascii="Calibri" w:hAnsi="Calibri" w:cs="Calibri"/>
        </w:rPr>
        <w:t>P10B-19A-10B2 = Baseline</w:t>
      </w:r>
    </w:p>
    <w:p>
      <w:pPr>
        <w:pStyle w:val="Normal"/>
        <w:numPr>
          <w:ilvl w:val="0"/>
          <w:numId w:val="1"/>
        </w:numPr>
        <w:widowControl/>
      </w:pPr>
      <w:r>
        <w:rPr>
          <w:rFonts w:ascii="Calibri" w:hAnsi="Calibri" w:cs="Calibri"/>
        </w:rPr>
        <w:t>P10B-19A-10C = exact next implementation task</w:t>
      </w:r>
    </w:p>
    <w:p>
      <w:pPr>
        <w:pStyle w:val="Normal"/>
        <w:numPr>
          <w:ilvl w:val="0"/>
          <w:numId w:val="1"/>
        </w:numPr>
        <w:widowControl/>
      </w:pPr>
      <w:r>
        <w:rPr>
          <w:rFonts w:ascii="Calibri" w:hAnsi="Calibri" w:cs="Calibri"/>
        </w:rPr>
        <w:t>P10B-19B-01 = Planned after P10B-19A-10C</w:t>
      </w:r>
    </w:p>
    <w:p>
      <w:pPr>
        <w:pStyle w:val="Normal"/>
        <w:numPr>
          <w:ilvl w:val="0"/>
          <w:numId w:val="1"/>
        </w:numPr>
        <w:widowControl/>
      </w:pPr>
      <w:r>
        <w:rPr>
          <w:rFonts w:ascii="Calibri" w:hAnsi="Calibri" w:cs="Calibri"/>
        </w:rPr>
        <w:t>P10B-19A = Partial</w:t>
      </w:r>
    </w:p>
    <w:p>
      <w:pPr>
        <w:pStyle w:val="Normal"/>
        <w:numPr>
          <w:ilvl w:val="0"/>
          <w:numId w:val="1"/>
        </w:numPr>
        <w:widowControl/>
      </w:pPr>
      <w:r>
        <w:rPr>
          <w:rFonts w:ascii="Calibri" w:hAnsi="Calibri" w:cs="Calibri"/>
        </w:rPr>
        <w:t>P10B = Partial</w:t>
      </w:r>
    </w:p>
    <w:p>
      <w:pPr>
        <w:pStyle w:val="Normal"/>
        <w:widowControl/>
      </w:pPr>
      <w:r>
        <w:rPr>
          <w:rFonts w:ascii="Calibri" w:hAnsi="Calibri" w:cs="Calibri"/>
        </w:rPr>
        <w:t xml:space="preserve">The canonical serial browser command now reads the versioned 12-suite inventory in </w:t>
      </w:r>
      <w:r>
        <w:rPr>
          <w:rFonts w:ascii="Consolas" w:hAnsi="Consolas" w:cs="Consolas"/>
          <w:sz w:val="19"/>
          <w:szCs w:val="19"/>
        </w:rPr>
        <w:t>scripts/playwright-ci-suites.v1.json</w:t>
      </w:r>
      <w:r>
        <w:rPr>
          <w:rFonts w:ascii="Calibri" w:hAnsi="Calibri" w:cs="Calibri"/>
        </w:rPr>
        <w:t xml:space="preserve"> through </w:t>
      </w:r>
      <w:r>
        <w:rPr>
          <w:rFonts w:ascii="Consolas" w:hAnsi="Consolas" w:cs="Consolas"/>
          <w:sz w:val="19"/>
          <w:szCs w:val="19"/>
        </w:rPr>
        <w:t>scripts/playwright-ci.mjs</w:t>
      </w:r>
      <w:r>
        <w:rPr>
          <w:rFonts w:ascii="Calibri" w:hAnsi="Calibri" w:cs="Calibri"/>
        </w:rPr>
        <w:t xml:space="preserve">. CI still runs one serial </w:t>
      </w:r>
      <w:r>
        <w:rPr>
          <w:rFonts w:ascii="Consolas" w:hAnsi="Consolas" w:cs="Consolas"/>
          <w:sz w:val="19"/>
          <w:szCs w:val="19"/>
        </w:rPr>
        <w:t>browser-regression</w:t>
      </w:r>
      <w:r>
        <w:rPr>
          <w:rFonts w:ascii="Calibri" w:hAnsi="Calibri" w:cs="Calibri"/>
        </w:rPr>
        <w:t xml:space="preserve"> job and stops at the first failing suite. Per-suite records contain bounded timing/status metadata only; the deterministic 2–6 group plans are advisory inputs for DEVX-01F locks the two-group whole-suite matrix in </w:t>
      </w:r>
      <w:r>
        <w:rPr>
          <w:rFonts w:ascii="Consolas" w:hAnsi="Consolas" w:cs="Consolas"/>
          <w:sz w:val="19"/>
          <w:szCs w:val="19"/>
        </w:rPr>
        <w:t>scripts/playwright-ci-execution-plan.v1.json</w:t>
      </w:r>
      <w:r>
        <w:rPr>
          <w:rFonts w:ascii="Calibri" w:hAnsi="Calibri" w:cs="Calibri"/>
        </w:rPr>
        <w:t xml:space="preserve"> and executes it through the canonical </w:t>
      </w:r>
      <w:r>
        <w:rPr>
          <w:rFonts w:ascii="Consolas" w:hAnsi="Consolas" w:cs="Consolas"/>
          <w:sz w:val="19"/>
          <w:szCs w:val="19"/>
        </w:rPr>
        <w:t>scripts/playwright-ci.mjs</w:t>
      </w:r>
      <w:r>
        <w:rPr>
          <w:rFonts w:ascii="Calibri" w:hAnsi="Calibri" w:cs="Calibri"/>
        </w:rPr>
        <w:t xml:space="preserve"> authority. The workflow emits only bounded group IDs, runs every canonical suite exactly once, retains per-group timing and blob evidence, rejects missing, duplicate, unexpected or hash-mismatched artifacts before merge, and produces one merged HTML report plus one matrix timing summary behind the stable </w:t>
      </w:r>
      <w:r>
        <w:rPr>
          <w:rFonts w:ascii="Consolas" w:hAnsi="Consolas" w:cs="Consolas"/>
          <w:sz w:val="19"/>
          <w:szCs w:val="19"/>
        </w:rPr>
        <w:t>validate</w:t>
      </w:r>
      <w:r>
        <w:rPr>
          <w:rFonts w:ascii="Calibri" w:hAnsi="Calibri" w:cs="Calibri"/>
        </w:rPr>
        <w:t xml:space="preserve"> check. The measured whole-suite plan already meets the bounded makespan and balance targets, so no suite sharding is activated. Audit the plan with </w:t>
      </w:r>
      <w:r>
        <w:rPr>
          <w:rFonts w:ascii="Consolas" w:hAnsi="Consolas" w:cs="Consolas"/>
          <w:sz w:val="19"/>
          <w:szCs w:val="19"/>
        </w:rPr>
        <w:t>node scripts/playwright-ci.mjs audit-plan</w:t>
      </w:r>
      <w:r>
        <w:rPr>
          <w:rFonts w:ascii="Calibri" w:hAnsi="Calibri" w:cs="Calibri"/>
        </w:rPr>
        <w:t xml:space="preserve">; matrix rows use </w:t>
      </w:r>
      <w:r>
        <w:rPr>
          <w:rFonts w:ascii="Consolas" w:hAnsi="Consolas" w:cs="Consolas"/>
          <w:sz w:val="19"/>
          <w:szCs w:val="19"/>
        </w:rPr>
        <w:t>node scripts/playwright-ci.mjs run-group</w:t>
      </w:r>
      <w:r>
        <w:rPr>
          <w:rFonts w:ascii="Calibri" w:hAnsi="Calibri" w:cs="Calibri"/>
        </w:rPr>
        <w:t xml:space="preserve">; the report job runs </w:t>
      </w:r>
      <w:r>
        <w:rPr>
          <w:rFonts w:ascii="Consolas" w:hAnsi="Consolas" w:cs="Consolas"/>
          <w:sz w:val="19"/>
          <w:szCs w:val="19"/>
        </w:rPr>
        <w:t>node scripts/playwright-ci.mjs validate-group-artifacts</w:t>
      </w:r>
      <w:r>
        <w:rPr>
          <w:rFonts w:ascii="Calibri" w:hAnsi="Calibri" w:cs="Calibri"/>
        </w:rPr>
        <w:t xml:space="preserve"> before </w:t>
      </w:r>
      <w:r>
        <w:rPr>
          <w:rFonts w:ascii="Consolas" w:hAnsi="Consolas" w:cs="Consolas"/>
          <w:sz w:val="19"/>
          <w:szCs w:val="19"/>
        </w:rPr>
        <w:t>pnpm exec playwright merge-reports</w:t>
      </w:r>
      <w:r>
        <w:rPr>
          <w:rFonts w:ascii="Calibri" w:hAnsi="Calibri" w:cs="Calibri"/>
        </w:rPr>
        <w:t xml:space="preserve">. DEVX-01F2 locks the three-shard source plan in </w:t>
      </w:r>
      <w:r>
        <w:rPr>
          <w:rFonts w:ascii="Consolas" w:hAnsi="Consolas" w:cs="Consolas"/>
          <w:sz w:val="19"/>
          <w:szCs w:val="19"/>
        </w:rPr>
        <w:t>scripts/vitest-ci-plan.v1.json</w:t>
      </w:r>
      <w:r>
        <w:rPr>
          <w:rFonts w:ascii="Calibri" w:hAnsi="Calibri" w:cs="Calibri"/>
        </w:rPr>
        <w:t xml:space="preserve">; runtime discovery binds all current files to official Vitest shards, every row remains one-worker and serial, and </w:t>
      </w:r>
      <w:r>
        <w:rPr>
          <w:rFonts w:ascii="Consolas" w:hAnsi="Consolas" w:cs="Consolas"/>
          <w:sz w:val="19"/>
          <w:szCs w:val="19"/>
        </w:rPr>
        <w:t>scripts/vitest-ci.mjs</w:t>
      </w:r>
      <w:r>
        <w:rPr>
          <w:rFonts w:ascii="Calibri" w:hAnsi="Calibri" w:cs="Calibri"/>
        </w:rPr>
        <w:t xml:space="preserve"> rejects incomplete or identity-mismatched manifests and blobs before validating one merged machine-readable result. DEVX-01G closes the sprint through two comparable clean runs; final Run B remains the merge gate and no CI execution authority changes in this closure task.</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12960"/>
      </w:tabs>
    </w:pPr>
    <w:r>
      <w:rPr>
        <w:rFonts w:ascii="Calibri" w:hAnsi="Calibri" w:cs="Calibri"/>
      </w:rPr>
      <w:t>Veskify Delivery Tracker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P10A_PHASE_CLOSURE.md" TargetMode="External"/><Relationship Id="rIdHyperlink4" Type="http://schemas.openxmlformats.org/officeDocument/2006/relationships/hyperlink" Target="P10B_COMMERCIAL_STOREFRONT_GENERATION_ARCHITECTURE.md" TargetMode="External"/><Relationship Id="rIdHyperlink5" Type="http://schemas.openxmlformats.org/officeDocument/2006/relationships/hyperlink" Target="P10B_16P_04_REAL_STUDIO_DESIGN_INTENT_ACCEPTANCE.md" TargetMode="External"/><Relationship Id="rIdHyperlink6" Type="http://schemas.openxmlformats.org/officeDocument/2006/relationships/hyperlink" Target="P10B_01_COMMERCIAL_DESIGN_GRAMMAR.md" TargetMode="External"/><Relationship Id="rIdHyperlink7" Type="http://schemas.openxmlformats.org/officeDocument/2006/relationships/hyperlink" Target="P10B_02_PARAMETRIC_BRAND_SYSTEM.md" TargetMode="External"/><Relationship Id="rIdHyperlink8" Type="http://schemas.openxmlformats.org/officeDocument/2006/relationships/hyperlink" Target="P10B_03_COMPONENT_ANATOMY_AND_MEANINGFUL_VARIANTS.md" TargetMode="External"/><Relationship Id="rIdHyperlink9" Type="http://schemas.openxmlformats.org/officeDocument/2006/relationships/hyperlink" Target="P10B_04_RESPONSIVE_IMAGE_ART_DIRECTION.md" TargetMode="External"/><Relationship Id="rIdHyperlink10" Type="http://schemas.openxmlformats.org/officeDocument/2006/relationships/hyperlink" Target="P10B_05_SITE_MAP_AND_PAGE_FAMILY_AUTHORITY.md" TargetMode="External"/><Relationship Id="rIdHyperlink11" Type="http://schemas.openxmlformats.org/officeDocument/2006/relationships/hyperlink" Target="P10B_06_COMMERCIAL_SHARED_FRAME_FAMILIES.md" TargetMode="External"/><Relationship Id="rIdHyperlink12" Type="http://schemas.openxmlformats.org/officeDocument/2006/relationships/hyperlink" Target="P10B_07_HERO_EDITORIAL_CAMPAIGN_PROOF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9_COMMERCIAL_HOMEPAGE_PROFILE_LIBRARY.md" TargetMode="External"/><Relationship Id="rIdHyperlink15" Type="http://schemas.openxmlformats.org/officeDocument/2006/relationships/hyperlink" Target="P10B_10_COMMERCIAL_COLLECTION_SEARCH_PROFILES.md" TargetMode="External"/><Relationship Id="rIdHyperlink16" Type="http://schemas.openxmlformats.org/officeDocument/2006/relationships/hyperlink" Target="P10B_12_CONTENT_AND_SUPPORT_PAGE_FAMILIES.md" TargetMode="External"/><Relationship Id="rIdHyperlink17" Type="http://schemas.openxmlformats.org/officeDocument/2006/relationships/hyperlink" Target="P10B_13_COMMERCE_UTILITY_PRESENTATION_PAGES.md" TargetMode="External"/><Relationship Id="rIdHyperlink18" Type="http://schemas.openxmlformats.org/officeDocument/2006/relationships/hyperlink" Target="P10B_14_PREMIUM_EDITORIAL_COMPLETE_STOREFRONT_VERTICAL_SLICE.md" TargetMode="External"/><Relationship Id="rIdHyperlink19" Type="http://schemas.openxmlformats.org/officeDocument/2006/relationships/hyperlink" Target="P10B_15_BOUNDED_STOREFRONT_SYNTHESIS_AND_NARRATIVE_ENGINE.md" TargetMode="External"/><Relationship Id="rIdHyperlink20" Type="http://schemas.openxmlformats.org/officeDocument/2006/relationships/hyperlink" Target="P10B_16_COORDINATED_DIRECTIONS_AND_DIVERSITY_CONTROL.md" TargetMode="External"/><Relationship Id="rIdHyperlink21" Type="http://schemas.openxmlformats.org/officeDocument/2006/relationships/hyperlink" Target="P10B_16P_01_DYNAMIC_COMMERCE_ROUTE_ARCHETYPES.md" TargetMode="External"/><Relationship Id="rIdHyperlink22" Type="http://schemas.openxmlformats.org/officeDocument/2006/relationships/hyperlink" Target="P10B_16P_02_PROMPTED_STOREFRONT_DESIGN_PLAN_V2.md" TargetMode="External"/><Relationship Id="rIdHyperlink23" Type="http://schemas.openxmlformats.org/officeDocument/2006/relationships/hyperlink" Target="P10B_18_COMMERCIAL_QUALITY_AUDIT.md" TargetMode="External"/><Relationship Id="rIdHyperlink24" Type="http://schemas.openxmlformats.org/officeDocument/2006/relationships/hyperlink" Target="VESKO_OPENAPI_CONTRACT_AUDIT.md" TargetMode="External"/><Relationship Id="rIdHyperlink25"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7262afb70e6457779913d5111bb53d65139b7cd742eff459a2e479d6089780a1</vt:lpwstr>
  </property>
  <property fmtid="{D5CDD505-2E9C-101B-9397-08002B2CF9AE}" pid="4" name="ExporterVersion">
    <vt:lpwstr>1.1.2</vt:lpwstr>
  </property>
  <property fmtid="{D5CDD505-2E9C-101B-9397-08002B2CF9AE}" pid="5" name="DesignPreset">
    <vt:lpwstr>compact_reference_guide_landscape_checklist_override</vt:lpwstr>
  </property>
</Properties>
</file>