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17 August 2026, accepted P10B-18B-06 bounded asset-composition and art-direction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17 August 2026, accepted P10B-18B-01 Design DNA/shared-frame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coherent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Intentional rich/sparse homepage progression, stronger section hierarchy and merchandising rhythm, four-width retained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100+ complete configurations, protected-state/diversity gates and fingerprint-stratified four-width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P10B-18C</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accepted P10B-18B-01 and accepted P10B-18B-06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Parent P10B-18B, P10B-18, and P10B remain </w:t>
      </w:r>
      <w:r>
        <w:rPr>
          <w:rFonts w:ascii="Calibri" w:hAnsi="Calibri" w:cs="Calibri"/>
          <w:b/>
          <w:bCs/>
        </w:rPr>
        <w:t>Partial</w:t>
      </w:r>
      <w:r>
        <w:rPr>
          <w:rFonts w:ascii="Calibri" w:hAnsi="Calibri" w:cs="Calibri"/>
        </w:rPr>
        <w:t xml:space="preserve">; P10B-18C remains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P10B-18C as the final consumer-verified historical cleanup. P10B-18B-02 is the next focused product task after accepted P10B-18B-06.</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P10B-18C.</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P10B-18C.</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accepted P10B-18A, accepted P10B-18B-01, and accepted P10B-18B-06 are Baseline. Parent P10B-18B, P10B-18 and P10B remain Partial; P10B-18B-02 is next, P10B-18C remains Planned, and P10B-16P-05B remains Planned after P10B-18C.</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and P10B-18B-01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P10B-18B-01 is Baseline; the remaining packages are incomplete.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Next:</w:t>
      </w:r>
      <w:r>
        <w:rPr>
          <w:rFonts w:ascii="Calibri" w:hAnsi="Calibri" w:cs="Calibri"/>
        </w:rPr>
        <w:t xml:space="preserve"> P10B-18B-02 — Homepage / Editorial / Campaign Quality Upgrade.</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 when:</w:t>
      </w:r>
      <w:r>
        <w:rPr>
          <w:rFonts w:ascii="Calibri" w:hAnsi="Calibri" w:cs="Calibri"/>
        </w:rPr>
        <w:t xml:space="preserve"> At least 100 complete bounded configurations pass snapshot validity, protected- state parity, exact/near-duplicate and structural-distribution gates, and a fingerprint- stratified representative subset passes retained four-width human commercial review.</w:t>
      </w:r>
    </w:p>
    <w:p>
      <w:pPr>
        <w:pStyle w:val="Normal"/>
        <w:numPr>
          <w:ilvl w:val="0"/>
          <w:numId w:val="1"/>
        </w:numPr>
        <w:widowControl/>
      </w:pPr>
      <w:r>
        <w:rPr>
          <w:rFonts w:ascii="Calibri" w:hAnsi="Calibri" w:cs="Calibri"/>
          <w:b/>
          <w:bCs/>
        </w:rPr>
        <w:t>Required evidence:</w:t>
      </w:r>
      <w:r>
        <w:rPr>
          <w:rFonts w:ascii="Calibri" w:hAnsi="Calibri" w:cs="Calibri"/>
        </w:rPr>
        <w:t xml:space="preserve"> Reproducible scale ledger, exact authority/fingerprints, complete-surface captures, explicit product-owner acceptance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acf190be012ecafde867c6c78e1e03cae304991f681c6aab917bb0db54737251</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