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17 August 2026</w:t>
      </w:r>
    </w:p>
    <w:p>
      <w:pPr>
        <w:pStyle w:val="CoverMeta"/>
        <w:jc w:val="center"/>
        <w:widowControl/>
      </w:pPr>
      <w:r>
        <w:rPr>
          <w:rFonts w:ascii="Calibri" w:hAnsi="Calibri" w:cs="Calibri"/>
        </w:rPr>
        <w:t>Accepted P10B-18B-06 bounded asset-composition and art-direction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17 August 2026, accepted P10B-18B-06 asset-composition/art-direction upgrade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and accepted P10B-18B-06 asset-composition/art-direction upgrade are Baseline. P10B-16P-02 is Baseline; parent P10B-18B, P10B-18, and P10B remain Partial. P10B-18B-02 is the next focused product task; P10B-18C 100+ quality/diversity acceptance remains Planned. P10B-16P-05B final historical cleanup remains Planned after P10B-18C.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P10B-16P-04 proves separately authorized real OpenAI A/B/C proposals plus the C accept/undo/redo/save/reload/preview lifecycle; P10B-16P-05A makes that semantic route and one coordinator/resolver/decision/executor chain the sole active initial-generation authority; P10B-16P-06 supplies standalone canonical transient search query/results authority; P10B-17 closes bounded responsive, accessibility, media-loading, layout-stability and renderer-performance evidence across current registered families; accepted P10B-18A freezes a 72-case deterministic and 18-store/108-capture human-reviewed diagnosis of the commercial ceiling; accepted P10B-18B-01 adds two material Design DNA density outcomes per direction, truthful semantic dependency reporting, complete-store compact-frame reachability, and focused shared-frame refinement; and accepted P10B-18B-06 adds bounded shared purpose-affine asset selection, explicit reuse, paired responsive-source/crop execution, approved-logo frame consumption and material art-direction causality. Parent P10B-18B, P10B-18 and P10B remain Partial; page-level commercial visual quality remains owned by P10B-18B-02/03/04/05 and P10B-18C designer-grade/100+ quality-scale acceptance remains incomplete.</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and accepted P10B-18B-06 closes bounded asset-composition authority. Parent P10B-18B remains Partial with P10B-18B-02 next; the P10B-18C repeated quality-and-scale gate remains Planned.</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P10B-18C. At this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P10B-18C for deterministic A/B/C replay and acceptance evidence. P10B-16P-05B is Planned after P10B-18C for consumer-verified final historical cleanup.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and accepted P10B-18B-06 closes bounded asset-composition authority. Parent P10B-18B, P10B-18 and P10B remain Partial; P10B-18B-02 is next, P10B-18C remains Planned, and P10B-16P-05B remains Planned after P10B-18C.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and accepted P10B-18B-06 closes bounded asset-composition authority. Parent P10B-18B, P10B-18 and P10B remain Partial; P10B-18B-02 is next, P10B-18C remains Planned, and P10B-16P-05B remains Planned after P10B-18C.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Partial</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while the remaining packages are incomplete. P10B-18B-02 is next. P10B-18C is </w:t>
      </w:r>
      <w:r>
        <w:rPr>
          <w:rFonts w:ascii="Calibri" w:hAnsi="Calibri" w:cs="Calibri"/>
          <w:b/>
          <w:bCs/>
        </w:rPr>
        <w:t>Planned</w:t>
      </w:r>
      <w:r>
        <w:rPr>
          <w:rFonts w:ascii="Calibri" w:hAnsi="Calibri" w:cs="Calibri"/>
        </w:rPr>
        <w:t xml:space="preserve"> to run the final 100+ quality/diversity gate after the accepted P10B-18B packages integrate. Acceptance of P10B-18B-06 proves only its bounded asset selection, reuse, responsive source/crop, logo-consumer and art-direction authority, not parent P10B-18B/P10B-18 or complete-storefront designer-grade quality.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until P10B-18C completes this gate. P10B-16P-05B remains Planned after P10B-18C so historical acceptance scaffolding is retained while any audit, replay, migration or final quality evidence still consumes it.</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P10B-18B-01 and P10B-18B-06 are Baseline; parent P10B-18B, P10B-18 and P10B remain Partial. P10B-18B-02 is the next focused product task, P10B-18C remains Planned, and P10B-16P-05B remains Planned after P10B-18C.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P10B-18B-01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Planned after P10B-18C;</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implements the six conditional P10B-18B source-authority packages, or that accepted P10B-18B-01 implements later homepage, collection/search/card, PDP, content/utility, asset/art- direction, evaluation packages, or satisfies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The exact next task is </w:t>
      </w:r>
      <w:r>
        <w:rPr>
          <w:rFonts w:ascii="Calibri" w:hAnsi="Calibri" w:cs="Calibri"/>
          <w:b/>
          <w:bCs/>
        </w:rPr>
        <w:t>P10B-18B-02 — Homepage / Editorial / Campaign Quality Upgrade</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0c27ada2b177c73e38273f5fd2f752ab1513ed842bdf3be54e218f1d15fde9ed</vt:lpwstr>
  </property>
  <property fmtid="{D5CDD505-2E9C-101B-9397-08002B2CF9AE}" pid="4" name="ExporterVersion">
    <vt:lpwstr>1.1.2</vt:lpwstr>
  </property>
  <property fmtid="{D5CDD505-2E9C-101B-9397-08002B2CF9AE}" pid="5" name="DesignPreset">
    <vt:lpwstr>compact_reference_guide</vt:lpwstr>
  </property>
</Properties>
</file>