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6"/>
      </w:tblGrid>
      <w:tr w14:paraId="06F1BAB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38" w:hRule="exac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62235"/>
          </w:tcPr>
          <w:p w14:paraId="6064E8DF">
            <w:pPr>
              <w:spacing w:before="4092"/>
            </w:pPr>
          </w:p>
          <w:p w14:paraId="1CA45A71"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黑体"/>
                <w:color w:val="37DCF2"/>
                <w:spacing w:val="40"/>
                <w:sz w:val="18"/>
                <w:szCs w:val="18"/>
              </w:rPr>
              <w:t>P  R  O  D  U  C  T     D  O  C  U  M  E  N  T  A  T  I  O  N</w:t>
            </w:r>
          </w:p>
          <w:p w14:paraId="40F5049F">
            <w:pPr>
              <w:spacing w:after="1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>CyberNWT</w:t>
            </w:r>
          </w:p>
          <w:p w14:paraId="47C23E58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FFFFFF"/>
                <w:sz w:val="80"/>
                <w:szCs w:val="80"/>
              </w:rPr>
              <w:t>网络运维智能助手</w:t>
            </w:r>
          </w:p>
          <w:p w14:paraId="388F6F1F">
            <w:pPr>
              <w:spacing w:after="800"/>
              <w:ind w:left="1200"/>
            </w:pPr>
            <w:r>
              <w:rPr>
                <w:rFonts w:ascii="Arial" w:eastAsia="微软雅黑"/>
                <w:color w:val="B0B8C0"/>
                <w:sz w:val="24"/>
                <w:szCs w:val="24"/>
              </w:rPr>
              <w:t>面向深信服交付场景的一站式智能运维演示平台 · 产品文档</w:t>
            </w:r>
          </w:p>
          <w:p w14:paraId="6A953DC8">
            <w:pPr>
              <w:pBdr>
                <w:left w:val="single" w:color="37DCF2" w:sz="8" w:space="12"/>
              </w:pBdr>
              <w:spacing w:after="80"/>
              <w:ind w:left="1400"/>
              <w:rPr>
                <w:rFonts w:hint="eastAsia" w:eastAsia="微软雅黑"/>
                <w:lang w:eastAsia="zh-CN"/>
              </w:rPr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 xml:space="preserve">产品名称：CyberNWT </w:t>
            </w:r>
            <w:r>
              <w:rPr>
                <w:rFonts w:hint="eastAsia" w:ascii="Arial"/>
                <w:color w:val="90989F"/>
                <w:sz w:val="24"/>
                <w:szCs w:val="24"/>
                <w:lang w:eastAsia="zh-CN"/>
              </w:rPr>
              <w:t>赛博网络工具</w:t>
            </w:r>
          </w:p>
          <w:p w14:paraId="4208C39F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文档版本：V1.0</w:t>
            </w:r>
          </w:p>
          <w:p w14:paraId="34F11ADA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发布日期：2026 年 9 月</w:t>
            </w:r>
          </w:p>
          <w:p w14:paraId="04D74D1A"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90989F"/>
                <w:sz w:val="24"/>
                <w:szCs w:val="24"/>
              </w:rPr>
              <w:t>出品团队：CyberNWT 团队</w:t>
            </w:r>
          </w:p>
          <w:p w14:paraId="08950971">
            <w:pPr>
              <w:spacing w:before="4092"/>
            </w:pPr>
          </w:p>
          <w:p w14:paraId="2D75A8B3"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>CyberNWT Team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>2026</w:t>
            </w:r>
          </w:p>
        </w:tc>
      </w:tr>
    </w:tbl>
    <w:p w14:paraId="297BEFE8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23F8CA45">
      <w:pPr>
        <w:spacing w:before="480" w:after="360"/>
        <w:jc w:val="center"/>
      </w:pPr>
      <w:r>
        <w:rPr>
          <w:rFonts w:ascii="Times New Roman" w:eastAsia="黑体"/>
          <w:b/>
          <w:bCs/>
          <w:color w:val="162235"/>
          <w:sz w:val="32"/>
          <w:szCs w:val="32"/>
        </w:rPr>
        <w:t>目  录</w:t>
      </w:r>
    </w:p>
    <w:sdt>
      <w:sdtPr>
        <w:alias w:val="Table of Contents"/>
        <w:id w:val="147473104"/>
      </w:sdtPr>
      <w:sdtContent>
        <w:p w14:paraId="48DABCF9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0FA65963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17"/>
            </w:rPr>
            <w:t>第一章  产品概述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1D829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17"/>
            </w:rPr>
            <w:t>1.1  项目背景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69ACA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"_Toc100002" </w:instrText>
          </w:r>
          <w:r>
            <w:fldChar w:fldCharType="separate"/>
          </w:r>
          <w:r>
            <w:rPr>
              <w:rStyle w:val="17"/>
            </w:rPr>
            <w:t>1.2  产品定位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881D16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"_Toc100003" </w:instrText>
          </w:r>
          <w:r>
            <w:fldChar w:fldCharType="separate"/>
          </w:r>
          <w:r>
            <w:rPr>
              <w:rStyle w:val="17"/>
            </w:rPr>
            <w:t>1.3  核心价值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1EE8C15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"_Toc100004" </w:instrText>
          </w:r>
          <w:r>
            <w:fldChar w:fldCharType="separate"/>
          </w:r>
          <w:r>
            <w:rPr>
              <w:rStyle w:val="17"/>
            </w:rPr>
            <w:t>第二章  功能模块详解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DA487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17"/>
            </w:rPr>
            <w:t>2.1  登录与会话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F9820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17"/>
            </w:rPr>
            <w:t>2.2  灵犀测速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1611AB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17"/>
            </w:rPr>
            <w:t>2.3  内网感知 NetSense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D7CC9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17"/>
            </w:rPr>
            <w:t>2.4  案例复盘（AI 智能体）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C583FE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17"/>
            </w:rPr>
            <w:t>2.5  故障诊断助手（AI 智能体）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9666A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"_Toc100010" </w:instrText>
          </w:r>
          <w:r>
            <w:fldChar w:fldCharType="separate"/>
          </w:r>
          <w:r>
            <w:rPr>
              <w:rStyle w:val="17"/>
            </w:rPr>
            <w:t>2.6  随心记录白板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325160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"_Toc100011" </w:instrText>
          </w:r>
          <w:r>
            <w:fldChar w:fldCharType="separate"/>
          </w:r>
          <w:r>
            <w:rPr>
              <w:rStyle w:val="17"/>
            </w:rPr>
            <w:t>第三章  系统架构与技术实现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970FF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"_Toc100012" </w:instrText>
          </w:r>
          <w:r>
            <w:fldChar w:fldCharType="separate"/>
          </w:r>
          <w:r>
            <w:rPr>
              <w:rStyle w:val="17"/>
            </w:rPr>
            <w:t>3.1  总体架构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7728E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"_Toc100013" </w:instrText>
          </w:r>
          <w:r>
            <w:fldChar w:fldCharType="separate"/>
          </w:r>
          <w:r>
            <w:rPr>
              <w:rStyle w:val="17"/>
            </w:rPr>
            <w:t>3.2  技术栈与代码规模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6E44E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"_Toc100014" </w:instrText>
          </w:r>
          <w:r>
            <w:fldChar w:fldCharType="separate"/>
          </w:r>
          <w:r>
            <w:rPr>
              <w:rStyle w:val="17"/>
            </w:rPr>
            <w:t>3.3  API 接口一览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84E1A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"_Toc100015" </w:instrText>
          </w:r>
          <w:r>
            <w:fldChar w:fldCharType="separate"/>
          </w:r>
          <w:r>
            <w:rPr>
              <w:rStyle w:val="17"/>
            </w:rPr>
            <w:t>3.4  关键技术点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47F7321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"_Toc100016" </w:instrText>
          </w:r>
          <w:r>
            <w:fldChar w:fldCharType="separate"/>
          </w:r>
          <w:r>
            <w:rPr>
              <w:rStyle w:val="17"/>
            </w:rPr>
            <w:t>第四章  AI 智能体工作流</w:t>
          </w:r>
          <w:r>
            <w:tab/>
          </w:r>
          <w:r>
            <w:fldChar w:fldCharType="begin"/>
          </w:r>
          <w:r>
            <w:instrText xml:space="preserve"> PAGEREF _Toc100016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DAAFBE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"_Toc100017" </w:instrText>
          </w:r>
          <w:r>
            <w:fldChar w:fldCharType="separate"/>
          </w:r>
          <w:r>
            <w:rPr>
              <w:rStyle w:val="17"/>
            </w:rPr>
            <w:t>4.1  设计思路</w:t>
          </w:r>
          <w:r>
            <w:tab/>
          </w:r>
          <w:r>
            <w:fldChar w:fldCharType="begin"/>
          </w:r>
          <w:r>
            <w:instrText xml:space="preserve"> PAGEREF _Toc100017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586A8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"_Toc100018" </w:instrText>
          </w:r>
          <w:r>
            <w:fldChar w:fldCharType="separate"/>
          </w:r>
          <w:r>
            <w:rPr>
              <w:rStyle w:val="17"/>
            </w:rPr>
            <w:t>4.2  工作流结构</w:t>
          </w:r>
          <w:r>
            <w:tab/>
          </w:r>
          <w:r>
            <w:fldChar w:fldCharType="begin"/>
          </w:r>
          <w:r>
            <w:instrText xml:space="preserve"> PAGEREF _Toc100018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26067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"_Toc100019" </w:instrText>
          </w:r>
          <w:r>
            <w:fldChar w:fldCharType="separate"/>
          </w:r>
          <w:r>
            <w:rPr>
              <w:rStyle w:val="17"/>
            </w:rPr>
            <w:t>4.3  系统提示词设计</w:t>
          </w:r>
          <w:r>
            <w:tab/>
          </w:r>
          <w:r>
            <w:fldChar w:fldCharType="begin"/>
          </w:r>
          <w:r>
            <w:instrText xml:space="preserve"> PAGEREF _Toc100019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801B67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"_Toc100020" </w:instrText>
          </w:r>
          <w:r>
            <w:fldChar w:fldCharType="separate"/>
          </w:r>
          <w:r>
            <w:rPr>
              <w:rStyle w:val="17"/>
            </w:rPr>
            <w:t>4.4  平台接入机制</w:t>
          </w:r>
          <w:r>
            <w:tab/>
          </w:r>
          <w:r>
            <w:fldChar w:fldCharType="begin"/>
          </w:r>
          <w:r>
            <w:instrText xml:space="preserve"> PAGEREF _Toc100020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2835935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"_Toc100021" </w:instrText>
          </w:r>
          <w:r>
            <w:fldChar w:fldCharType="separate"/>
          </w:r>
          <w:r>
            <w:rPr>
              <w:rStyle w:val="17"/>
            </w:rPr>
            <w:t>第五章  使用指南</w:t>
          </w:r>
          <w:r>
            <w:tab/>
          </w:r>
          <w:r>
            <w:fldChar w:fldCharType="begin"/>
          </w:r>
          <w:r>
            <w:instrText xml:space="preserve"> PAGEREF _Toc100021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3FB726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"_Toc100022" </w:instrText>
          </w:r>
          <w:r>
            <w:fldChar w:fldCharType="separate"/>
          </w:r>
          <w:r>
            <w:rPr>
              <w:rStyle w:val="17"/>
            </w:rPr>
            <w:t>5.1  启动与部署</w:t>
          </w:r>
          <w:r>
            <w:tab/>
          </w:r>
          <w:r>
            <w:fldChar w:fldCharType="begin"/>
          </w:r>
          <w:r>
            <w:instrText xml:space="preserve"> PAGEREF _Toc100022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504AB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"_Toc100023" </w:instrText>
          </w:r>
          <w:r>
            <w:fldChar w:fldCharType="separate"/>
          </w:r>
          <w:r>
            <w:rPr>
              <w:rStyle w:val="17"/>
            </w:rPr>
            <w:t>5.2  接入 FastGPT 工作流</w:t>
          </w:r>
          <w:r>
            <w:tab/>
          </w:r>
          <w:r>
            <w:fldChar w:fldCharType="begin"/>
          </w:r>
          <w:r>
            <w:instrText xml:space="preserve"> PAGEREF _Toc100023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9AF2A1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"_Toc100024" </w:instrText>
          </w:r>
          <w:r>
            <w:fldChar w:fldCharType="separate"/>
          </w:r>
          <w:r>
            <w:rPr>
              <w:rStyle w:val="17"/>
            </w:rPr>
            <w:t>5.3  推荐演示动线</w:t>
          </w:r>
          <w:r>
            <w:tab/>
          </w:r>
          <w:r>
            <w:fldChar w:fldCharType="begin"/>
          </w:r>
          <w:r>
            <w:instrText xml:space="preserve"> PAGEREF _Toc100024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5ED3AD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"_Toc100025" </w:instrText>
          </w:r>
          <w:r>
            <w:fldChar w:fldCharType="separate"/>
          </w:r>
          <w:r>
            <w:rPr>
              <w:rStyle w:val="17"/>
            </w:rPr>
            <w:t>第六章  安全设计</w:t>
          </w:r>
          <w:r>
            <w:tab/>
          </w:r>
          <w:r>
            <w:fldChar w:fldCharType="begin"/>
          </w:r>
          <w:r>
            <w:instrText xml:space="preserve"> PAGEREF _Toc100025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4969479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"_Toc100026" </w:instrText>
          </w:r>
          <w:r>
            <w:fldChar w:fldCharType="separate"/>
          </w:r>
          <w:r>
            <w:rPr>
              <w:rStyle w:val="17"/>
            </w:rPr>
            <w:t>第七章  质量保障</w:t>
          </w:r>
          <w:r>
            <w:tab/>
          </w:r>
          <w:r>
            <w:fldChar w:fldCharType="begin"/>
          </w:r>
          <w:r>
            <w:instrText xml:space="preserve"> PAGEREF _Toc100026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CF353D5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"_Toc100027" </w:instrText>
          </w:r>
          <w:r>
            <w:fldChar w:fldCharType="separate"/>
          </w:r>
          <w:r>
            <w:rPr>
              <w:rStyle w:val="17"/>
            </w:rPr>
            <w:t>第八章  总结与展望</w:t>
          </w:r>
          <w:r>
            <w:tab/>
          </w:r>
          <w:r>
            <w:fldChar w:fldCharType="begin"/>
          </w:r>
          <w:r>
            <w:instrText xml:space="preserve"> PAGEREF _Toc100027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ED38CE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"_Toc100028" </w:instrText>
          </w:r>
          <w:r>
            <w:fldChar w:fldCharType="separate"/>
          </w:r>
          <w:r>
            <w:rPr>
              <w:rStyle w:val="17"/>
            </w:rPr>
            <w:t>8.1  总结</w:t>
          </w:r>
          <w:r>
            <w:tab/>
          </w:r>
          <w:r>
            <w:fldChar w:fldCharType="begin"/>
          </w:r>
          <w:r>
            <w:instrText xml:space="preserve"> PAGEREF _Toc100028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0746B9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"_Toc100029" </w:instrText>
          </w:r>
          <w:r>
            <w:fldChar w:fldCharType="separate"/>
          </w:r>
          <w:r>
            <w:rPr>
              <w:rStyle w:val="17"/>
            </w:rPr>
            <w:t>8.2  展望</w:t>
          </w:r>
          <w:r>
            <w:tab/>
          </w:r>
          <w:r>
            <w:fldChar w:fldCharType="begin"/>
          </w:r>
          <w:r>
            <w:instrText xml:space="preserve"> PAGEREF _Toc100029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684E9E8">
          <w:r>
            <w:fldChar w:fldCharType="end"/>
          </w:r>
        </w:p>
      </w:sdtContent>
    </w:sdt>
    <w:p w14:paraId="4C40B85B">
      <w:r>
        <w:br w:type="page"/>
      </w:r>
    </w:p>
    <w:p w14:paraId="38EFD0AE">
      <w:pPr>
        <w:sectPr>
          <w:footerReference r:id="rId3" w:type="default"/>
          <w:pgSz w:w="11906" w:h="16838"/>
          <w:pgMar w:top="1440" w:right="1417" w:bottom="1440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18C1DD29">
      <w:pPr>
        <w:pStyle w:val="2"/>
        <w:spacing w:before="360" w:after="160" w:line="312" w:lineRule="auto"/>
      </w:pPr>
      <w:bookmarkStart w:id="0" w:name="_Toc100000"/>
      <w:r>
        <w:rPr>
          <w:rFonts w:ascii="Calibri" w:eastAsia="黑体"/>
          <w:b/>
          <w:bCs/>
          <w:color w:val="162235"/>
          <w:sz w:val="32"/>
          <w:szCs w:val="32"/>
        </w:rPr>
        <w:t>第一章  产品概述</w:t>
      </w:r>
      <w:bookmarkEnd w:id="0"/>
    </w:p>
    <w:p w14:paraId="3D64B11B">
      <w:pPr>
        <w:pStyle w:val="3"/>
        <w:spacing w:before="240" w:after="120" w:line="312" w:lineRule="auto"/>
      </w:pPr>
      <w:bookmarkStart w:id="1" w:name="_Toc100001"/>
      <w:r>
        <w:rPr>
          <w:rFonts w:ascii="Calibri" w:eastAsia="黑体"/>
          <w:b/>
          <w:bCs/>
          <w:color w:val="162235"/>
          <w:sz w:val="28"/>
          <w:szCs w:val="28"/>
        </w:rPr>
        <w:t>1.1  项目背景</w:t>
      </w:r>
      <w:bookmarkEnd w:id="1"/>
    </w:p>
    <w:p w14:paraId="63F35215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在网络交付与运维一线，工程师常年面对高频且碎片化的现场工作：割接前需要反复确认链路质量，排障时需要逐段定位问题，交付完成后还要投入大量精力整理复盘材料。这些工作高度依赖个人经验，工具分散、知识难以沉淀，团队经验无法高效复用。与此同时，AI 大模型技术的成熟，为把专家经验固化为可复用的数字化工具提供了全新的可能。</w:t>
      </w:r>
    </w:p>
    <w:p w14:paraId="1855B77A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CyberNWT 正是在这一背景下诞生的：面向深信服网络交付场景，把测速验证、内网感知、案例复盘、故障诊断等高频工作整合进一个开箱即用的本地平台，并用 AI 智能体把资深工程师的经验方法沉淀为标准化输出。</w:t>
      </w:r>
    </w:p>
    <w:p w14:paraId="1366FDF2">
      <w:pPr>
        <w:pStyle w:val="3"/>
        <w:spacing w:before="240" w:after="120" w:line="312" w:lineRule="auto"/>
      </w:pPr>
      <w:bookmarkStart w:id="2" w:name="_Toc100002"/>
      <w:r>
        <w:rPr>
          <w:rFonts w:ascii="Calibri" w:eastAsia="黑体"/>
          <w:b/>
          <w:bCs/>
          <w:color w:val="162235"/>
          <w:sz w:val="28"/>
          <w:szCs w:val="28"/>
        </w:rPr>
        <w:t>1.2  产品定位</w:t>
      </w:r>
      <w:bookmarkEnd w:id="2"/>
    </w:p>
    <w:p w14:paraId="134A0F0E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CyberNWT 是一个面向网络交付工程师的一站式智能运维演示平台。它以本地 Web 应用的形态运行：一条命令启动，浏览器打开即用，全程无需安装任何第三方依赖。产品围绕交付工程师真实工作动线设计五大功能模块，并以 FastGPT 工作流智能体作为 AI 能力底座，实现从工具到助手的升级。</w:t>
      </w:r>
    </w:p>
    <w:p w14:paraId="422F3039">
      <w:pPr>
        <w:pStyle w:val="3"/>
        <w:spacing w:before="240" w:after="120" w:line="312" w:lineRule="auto"/>
      </w:pPr>
      <w:bookmarkStart w:id="3" w:name="_Toc100003"/>
      <w:r>
        <w:rPr>
          <w:rFonts w:ascii="Calibri" w:eastAsia="黑体"/>
          <w:b/>
          <w:bCs/>
          <w:color w:val="162235"/>
          <w:sz w:val="28"/>
          <w:szCs w:val="28"/>
        </w:rPr>
        <w:t>1.3  核心价值</w:t>
      </w:r>
      <w:bookmarkEnd w:id="3"/>
    </w:p>
    <w:p w14:paraId="4824C39B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效率提升 —— </w:t>
      </w:r>
      <w:r>
        <w:rPr>
          <w:rFonts w:ascii="Calibri" w:eastAsia="微软雅黑"/>
          <w:color w:val="000000"/>
          <w:sz w:val="24"/>
          <w:szCs w:val="24"/>
        </w:rPr>
        <w:t>全过程约 4 秒完成延迟、抖动、上下行带宽测量，并同步给出评分与智能诊断结论，替代传统多工具手工测速。</w:t>
      </w:r>
    </w:p>
    <w:p w14:paraId="05BF4D6A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现场感知 —— </w:t>
      </w:r>
      <w:r>
        <w:rPr>
          <w:rFonts w:ascii="Calibri" w:eastAsia="微软雅黑"/>
          <w:color w:val="000000"/>
          <w:sz w:val="24"/>
          <w:szCs w:val="24"/>
        </w:rPr>
        <w:t>实测本机接入方式与网关信息，建模生成客户内网拓扑与部署模式建议，把上百页实施方案压缩为一屏决策依据。</w:t>
      </w:r>
    </w:p>
    <w:p w14:paraId="7DB577A0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经验沉淀 —— </w:t>
      </w:r>
      <w:r>
        <w:rPr>
          <w:rFonts w:ascii="Calibri" w:eastAsia="微软雅黑"/>
          <w:color w:val="000000"/>
          <w:sz w:val="24"/>
          <w:szCs w:val="24"/>
        </w:rPr>
        <w:t>工程师简单描述项目过程，AI 即生成简历模板式的结构化复盘报告，实施参数留白待填，杜绝编造，让团队经验真正可沉淀、可复用。</w:t>
      </w:r>
    </w:p>
    <w:p w14:paraId="45ADE44F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零门槛部署 —— </w:t>
      </w:r>
      <w:r>
        <w:rPr>
          <w:rFonts w:ascii="Calibri" w:eastAsia="微软雅黑"/>
          <w:color w:val="000000"/>
          <w:sz w:val="24"/>
          <w:szCs w:val="24"/>
        </w:rPr>
        <w:t>纯 Python 标准库实现，零第三方依赖，删除一个文件即可重置环境，最适合演示、教学与快速验证场景。</w:t>
      </w:r>
    </w:p>
    <w:p w14:paraId="029ACE80">
      <w:pPr>
        <w:spacing w:before="140" w:after="60"/>
        <w:jc w:val="center"/>
      </w:pPr>
      <w:r>
        <w:drawing>
          <wp:inline distT="0" distB="0" distL="0" distR="0">
            <wp:extent cx="5143500" cy="2895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8B48">
      <w:pPr>
        <w:spacing w:after="160" w:line="276" w:lineRule="auto"/>
        <w:jc w:val="center"/>
      </w:pPr>
      <w:r>
        <w:rPr>
          <w:rFonts w:ascii="Calibri" w:eastAsia="微软雅黑"/>
          <w:color w:val="5A6478"/>
          <w:sz w:val="18"/>
          <w:szCs w:val="18"/>
        </w:rPr>
        <w:t>图 1  登录页：液态金属流背景 + 粒子 Logo + 玻璃质感登录卡片</w:t>
      </w:r>
    </w:p>
    <w:p w14:paraId="0D17B17A">
      <w:pPr>
        <w:pStyle w:val="2"/>
        <w:spacing w:before="360" w:after="160" w:line="312" w:lineRule="auto"/>
      </w:pPr>
      <w:bookmarkStart w:id="4" w:name="_Toc100004"/>
      <w:r>
        <w:rPr>
          <w:rFonts w:ascii="Calibri" w:eastAsia="黑体"/>
          <w:b/>
          <w:bCs/>
          <w:color w:val="162235"/>
          <w:sz w:val="32"/>
          <w:szCs w:val="32"/>
        </w:rPr>
        <w:t>第二章  功能模块详解</w:t>
      </w:r>
      <w:bookmarkEnd w:id="4"/>
      <w:bookmarkStart w:id="30" w:name="_GoBack"/>
      <w:bookmarkEnd w:id="30"/>
    </w:p>
    <w:p w14:paraId="15B3D61A">
      <w:pPr>
        <w:pStyle w:val="3"/>
        <w:spacing w:before="240" w:after="120" w:line="312" w:lineRule="auto"/>
      </w:pPr>
      <w:bookmarkStart w:id="5" w:name="_Toc100005"/>
      <w:r>
        <w:rPr>
          <w:rFonts w:ascii="Calibri" w:eastAsia="黑体"/>
          <w:b/>
          <w:bCs/>
          <w:color w:val="162235"/>
          <w:sz w:val="28"/>
          <w:szCs w:val="28"/>
        </w:rPr>
        <w:t>2.1  登录与会话</w:t>
      </w:r>
      <w:bookmarkEnd w:id="5"/>
    </w:p>
    <w:p w14:paraId="54ED66EF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系统内置完整的注册 / 登录 / 会话管理能力。密码采用 PBKDF2-SHA256 算法（12 万次迭代加随机盐）加密存储；会话通过 HttpOnly Cookie 承载，有效期 7 天；未登录访问受保护页面时由服务端 302 重定向回登录页，双重保障演示环境的数据隔离。首次启动自动创建演示账号 admin / admin，也可在登录页自行注册。</w:t>
      </w:r>
    </w:p>
    <w:p w14:paraId="2A396C09">
      <w:pPr>
        <w:spacing w:before="140" w:after="60"/>
        <w:jc w:val="center"/>
      </w:pPr>
      <w:r>
        <w:drawing>
          <wp:inline distT="0" distB="0" distL="0" distR="0">
            <wp:extent cx="5143500" cy="2895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3CBB">
      <w:pPr>
        <w:spacing w:after="160" w:line="276" w:lineRule="auto"/>
        <w:jc w:val="center"/>
      </w:pPr>
      <w:r>
        <w:rPr>
          <w:rFonts w:ascii="Calibri" w:eastAsia="微软雅黑"/>
          <w:color w:val="5A6478"/>
          <w:sz w:val="18"/>
          <w:szCs w:val="18"/>
        </w:rPr>
        <w:t>图 2  功能首页：五大功能模块入口</w:t>
      </w:r>
    </w:p>
    <w:p w14:paraId="05FF5A4C">
      <w:pPr>
        <w:pStyle w:val="3"/>
        <w:spacing w:before="240" w:after="120" w:line="312" w:lineRule="auto"/>
      </w:pPr>
      <w:bookmarkStart w:id="6" w:name="_Toc100006"/>
      <w:r>
        <w:rPr>
          <w:rFonts w:ascii="Calibri" w:eastAsia="黑体"/>
          <w:b/>
          <w:bCs/>
          <w:color w:val="162235"/>
          <w:sz w:val="28"/>
          <w:szCs w:val="28"/>
        </w:rPr>
        <w:t>2.2  灵犀测速</w:t>
      </w:r>
      <w:bookmarkEnd w:id="6"/>
    </w:p>
    <w:p w14:paraId="236AC963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灵犀测速提供一键式全链路质量测量。点击「开始测速」后，系统依次完成延迟回环、抖动统计、下行吞吐与上行吞吐四项测试，全过程约 4 秒。测试过程中以实时波形呈现链路质量变化，结束后给出综合评分与智能诊断结论，并支持标准 JSON 与 Prometheus 指标格式的结果输出，便于接入现有监控体系。</w:t>
      </w:r>
    </w:p>
    <w:p w14:paraId="429A0BF8">
      <w:pPr>
        <w:spacing w:before="140" w:after="60"/>
        <w:jc w:val="center"/>
      </w:pPr>
      <w:r>
        <w:drawing>
          <wp:inline distT="0" distB="0" distL="0" distR="0">
            <wp:extent cx="5143500" cy="2895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F286">
      <w:pPr>
        <w:spacing w:after="160" w:line="276" w:lineRule="auto"/>
        <w:jc w:val="center"/>
      </w:pPr>
      <w:r>
        <w:rPr>
          <w:rFonts w:ascii="Calibri" w:eastAsia="微软雅黑"/>
          <w:color w:val="5A6478"/>
          <w:sz w:val="18"/>
          <w:szCs w:val="18"/>
        </w:rPr>
        <w:t>图 3  灵犀测速：待机界面，支持公网 / 内网双模式</w:t>
      </w:r>
    </w:p>
    <w:p w14:paraId="7835C976">
      <w:pPr>
        <w:spacing w:before="140" w:after="60"/>
        <w:jc w:val="center"/>
      </w:pPr>
      <w:r>
        <w:drawing>
          <wp:inline distT="0" distB="0" distL="0" distR="0">
            <wp:extent cx="5143500" cy="2895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FB31">
      <w:pPr>
        <w:spacing w:after="160" w:line="276" w:lineRule="auto"/>
        <w:jc w:val="center"/>
      </w:pPr>
      <w:r>
        <w:rPr>
          <w:rFonts w:ascii="Calibri" w:eastAsia="微软雅黑"/>
          <w:color w:val="5A6478"/>
          <w:sz w:val="18"/>
          <w:szCs w:val="18"/>
        </w:rPr>
        <w:t>图 4  灵犀测速：测量结果与智能诊断</w:t>
      </w:r>
    </w:p>
    <w:p w14:paraId="37B12CD6">
      <w:pPr>
        <w:pStyle w:val="3"/>
        <w:spacing w:before="240" w:after="120" w:line="312" w:lineRule="auto"/>
      </w:pPr>
      <w:bookmarkStart w:id="7" w:name="_Toc100007"/>
      <w:r>
        <w:rPr>
          <w:rFonts w:ascii="Calibri" w:eastAsia="黑体"/>
          <w:b/>
          <w:bCs/>
          <w:color w:val="162235"/>
          <w:sz w:val="28"/>
          <w:szCs w:val="28"/>
        </w:rPr>
        <w:t>2.3  内网感知 NetSense</w:t>
      </w:r>
      <w:bookmarkEnd w:id="7"/>
    </w:p>
    <w:p w14:paraId="0E41B013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内网感知模块解决交付现场「网络环境摸底」问题，采用 ICMP + ARP + OUI + 端口探测的真实引擎。工程师笔记本接入客户内网后，点击「开始感知」，系统实测本机网卡信息（接入方式 Wi-Fi / 有线、IP、网关、子网掩码、DNS、MAC 等），并发 Ping 扫描所在 /24 网段（64 线程、1-254 全段），对存活主机进行 ARP 厂商指纹识别（OUI 数据库）与端口探测（9100 / 631 / 515 / 445 / 22 / 3389 / 8443，用于识别打印机、NAS、服务器等设备类型），并枚举本机全部网卡网段供工程师批量扫描多网段环境。</w:t>
      </w:r>
    </w:p>
    <w:p w14:paraId="58B2B490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感知结果实时生成为可视化拓扑：出口网关、核心 / 接入交换机、无线控制器与 AP、服务器区、办公终端区及其连接关系一目了然；同时输出网段 / VLAN 规划表、设备清单，并基于现场形态（单网段平面网络或多网段环境）自动给出深信服设备部署模式建议——网桥透明串接或旁路挂载核心交换，附实施理由、规划要点、风险清单与割接检查表。工程师还可在拓扑上声明已上架的深信服设备（服务端内置 AF / AC 等设备知识表），逐台融入拓扑作为规划节点。拓扑支持 Mermaid 源码、JSON 与 PNG 三种导出格式。产品如实标注数据边界：除「规划部署」节点为施工建议而建模外，所有节点与主机均为实测数据，关闭 ICMP 响应的设备可能未被感知。</w:t>
      </w:r>
    </w:p>
    <w:p w14:paraId="2FF99BE1">
      <w:pPr>
        <w:spacing w:before="140" w:after="60"/>
        <w:jc w:val="center"/>
      </w:pPr>
      <w:r>
        <w:drawing>
          <wp:inline distT="0" distB="0" distL="0" distR="0">
            <wp:extent cx="5143500" cy="2895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CB89">
      <w:pPr>
        <w:spacing w:after="160" w:line="276" w:lineRule="auto"/>
        <w:jc w:val="center"/>
      </w:pPr>
      <w:r>
        <w:rPr>
          <w:rFonts w:ascii="Calibri" w:eastAsia="微软雅黑"/>
          <w:color w:val="5A6478"/>
          <w:sz w:val="18"/>
          <w:szCs w:val="18"/>
        </w:rPr>
        <w:t>图 5  内网感知：实测网卡信息 + 建模拓扑 + 部署建议</w:t>
      </w:r>
    </w:p>
    <w:p w14:paraId="6C6F3067">
      <w:pPr>
        <w:pStyle w:val="3"/>
        <w:spacing w:before="240" w:after="120" w:line="312" w:lineRule="auto"/>
      </w:pPr>
      <w:bookmarkStart w:id="8" w:name="_Toc100008"/>
      <w:r>
        <w:rPr>
          <w:rFonts w:ascii="Calibri" w:eastAsia="黑体"/>
          <w:b/>
          <w:bCs/>
          <w:color w:val="162235"/>
          <w:sz w:val="28"/>
          <w:szCs w:val="28"/>
        </w:rPr>
        <w:t>2.4  案例复盘（AI 智能体）</w:t>
      </w:r>
      <w:bookmarkEnd w:id="8"/>
    </w:p>
    <w:p w14:paraId="3BEE0F42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案例复盘模块由 FastGPT 工作流智能体驱动。工程师只需填写项目名称、勾选所属阶段（整机上架、割接切换、故障处置等）、用几句话描述项目过程，AI 即生成一份「简历模板式」的结构化复盘报告，包含项目概述、实施时间线、关键实施参数表、问题与根因、可复用方法论、风险与改进项、一句话总结七大固定章节。</w:t>
      </w:r>
    </w:p>
    <w:p w14:paraId="480FE8E8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报告提供三种交付形态：一键复制 Markdown、下载 Word 文档（.doc 格式，可直接编辑回填参数）、通过系统打印导出 PDF。报告最具特色的设计是「关键实施参数表」：设备型号、接口规划、VLAN / IP、关键策略、性能阈值等参数，凡工程师描述中未提及的，一律以「待填」占位呈现而非编造，供工程师事后回填实际数值——既保证报告结构完整，又坚守数据真实性底线。报告还支持在线编辑微调后再导出。</w:t>
      </w:r>
    </w:p>
    <w:p w14:paraId="5A8CFC61">
      <w:pPr>
        <w:spacing w:before="140" w:after="60"/>
        <w:jc w:val="center"/>
      </w:pPr>
      <w:r>
        <w:drawing>
          <wp:inline distT="0" distB="0" distL="0" distR="0">
            <wp:extent cx="5143500" cy="2895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9D3D">
      <w:pPr>
        <w:spacing w:after="160" w:line="276" w:lineRule="auto"/>
        <w:jc w:val="center"/>
      </w:pPr>
      <w:r>
        <w:rPr>
          <w:rFonts w:ascii="Calibri" w:eastAsia="微软雅黑"/>
          <w:color w:val="5A6478"/>
          <w:sz w:val="18"/>
          <w:szCs w:val="18"/>
        </w:rPr>
        <w:t>图 6  案例复盘：左侧输入材料，右侧生成结构化报告</w:t>
      </w:r>
    </w:p>
    <w:p w14:paraId="62151D86">
      <w:pPr>
        <w:pStyle w:val="3"/>
        <w:spacing w:before="240" w:after="120" w:line="312" w:lineRule="auto"/>
      </w:pPr>
      <w:bookmarkStart w:id="9" w:name="_Toc100009"/>
      <w:r>
        <w:rPr>
          <w:rFonts w:ascii="Calibri" w:eastAsia="黑体"/>
          <w:b/>
          <w:bCs/>
          <w:color w:val="162235"/>
          <w:sz w:val="28"/>
          <w:szCs w:val="28"/>
        </w:rPr>
        <w:t>2.5  故障诊断助手（AI 智能体）</w:t>
      </w:r>
      <w:bookmarkEnd w:id="9"/>
    </w:p>
    <w:p w14:paraId="5060F258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故障诊断助手以对话形式辅助现场排障。页面左侧提供八类场景快捷入口（整机上架、割接切换、VPN 隧道、上网变慢 / 丢包、无线 AC/AP、日志与信息采集、安全策略优化等），一键填入场景化提问模板；对话区支持直接粘贴日志与 show 命令输出、上传告警截图 / 面板指示灯 / 拓扑照片辅助定位。系统内置深信服交付经验规则引擎，覆盖上架、割接、VPN、丢包四类高频问题，未命中场景时提供五步通用排查方法论（现象固化、信息采集、分段定位、变更回退、根因闭环）。接入 FastGPT 后，对话自动切换为知识库大模型回答，回答来源在界面上以标签明确标识（FastGPT 生成 / 演示模式），确保演示过程透明可信。</w:t>
      </w:r>
    </w:p>
    <w:p w14:paraId="7472D36E">
      <w:pPr>
        <w:spacing w:before="140" w:after="60"/>
        <w:jc w:val="center"/>
      </w:pPr>
      <w:r>
        <w:drawing>
          <wp:inline distT="0" distB="0" distL="0" distR="0">
            <wp:extent cx="5143500" cy="2895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C483">
      <w:pPr>
        <w:spacing w:after="160" w:line="276" w:lineRule="auto"/>
        <w:jc w:val="center"/>
      </w:pPr>
      <w:r>
        <w:rPr>
          <w:rFonts w:ascii="Calibri" w:eastAsia="微软雅黑"/>
          <w:color w:val="5A6478"/>
          <w:sz w:val="18"/>
          <w:szCs w:val="18"/>
        </w:rPr>
        <w:t>图 7  故障诊断助手：对话式智能排障</w:t>
      </w:r>
    </w:p>
    <w:p w14:paraId="4A3CCF2F">
      <w:pPr>
        <w:pStyle w:val="3"/>
        <w:spacing w:before="240" w:after="120" w:line="312" w:lineRule="auto"/>
      </w:pPr>
      <w:bookmarkStart w:id="10" w:name="_Toc100010"/>
      <w:r>
        <w:rPr>
          <w:rFonts w:ascii="Calibri" w:eastAsia="黑体"/>
          <w:b/>
          <w:bCs/>
          <w:color w:val="162235"/>
          <w:sz w:val="28"/>
          <w:szCs w:val="28"/>
        </w:rPr>
        <w:t>2.6  随心记录白板</w:t>
      </w:r>
      <w:bookmarkEnd w:id="10"/>
    </w:p>
    <w:p w14:paraId="5BC041A4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随心记录是一个全站悬浮的白板组件：任意页面右下角悬浮球唤起，支持自由手绘（四色、三档粗细、橡皮、撤销）与点击打字，白板可拖动、缩放、最小化，内容自动保存至浏览器本地，并支持导出 PNG。它让工程师在演示、排查过程中随手记录思路而不打断当前工作。</w:t>
      </w:r>
    </w:p>
    <w:p w14:paraId="423F4D74">
      <w:pPr>
        <w:pStyle w:val="2"/>
        <w:spacing w:before="360" w:after="160" w:line="312" w:lineRule="auto"/>
      </w:pPr>
      <w:bookmarkStart w:id="11" w:name="_Toc100011"/>
      <w:r>
        <w:rPr>
          <w:rFonts w:ascii="Calibri" w:eastAsia="黑体"/>
          <w:b/>
          <w:bCs/>
          <w:color w:val="162235"/>
          <w:sz w:val="32"/>
          <w:szCs w:val="32"/>
        </w:rPr>
        <w:t>第三章  系统架构与技术实现</w:t>
      </w:r>
      <w:bookmarkEnd w:id="11"/>
    </w:p>
    <w:p w14:paraId="089EFF3A">
      <w:pPr>
        <w:pStyle w:val="3"/>
        <w:spacing w:before="240" w:after="120" w:line="312" w:lineRule="auto"/>
      </w:pPr>
      <w:bookmarkStart w:id="12" w:name="_Toc100012"/>
      <w:r>
        <w:rPr>
          <w:rFonts w:ascii="Calibri" w:eastAsia="黑体"/>
          <w:b/>
          <w:bCs/>
          <w:color w:val="162235"/>
          <w:sz w:val="28"/>
          <w:szCs w:val="28"/>
        </w:rPr>
        <w:t>3.1  总体架构</w:t>
      </w:r>
      <w:bookmarkEnd w:id="12"/>
    </w:p>
    <w:p w14:paraId="6B958269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CyberNWT 采用极简四层架构，在保证完整功能的同时将部署依赖压缩到零：</w:t>
      </w:r>
    </w:p>
    <w:p w14:paraId="63327669">
      <w:pPr>
        <w:keepNext/>
        <w:spacing w:before="160" w:after="80" w:line="312" w:lineRule="auto"/>
      </w:pPr>
      <w:r>
        <w:rPr>
          <w:rFonts w:ascii="Calibri" w:eastAsia="微软雅黑"/>
          <w:b/>
          <w:bCs/>
          <w:color w:val="5A6478"/>
          <w:sz w:val="21"/>
          <w:szCs w:val="21"/>
        </w:rPr>
        <w:t>表 1  系统分层架构</w:t>
      </w:r>
    </w:p>
    <w:tbl>
      <w:tblPr>
        <w:tblStyle w:val="14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2988"/>
        <w:gridCol w:w="4570"/>
      </w:tblGrid>
      <w:tr w14:paraId="4E3FA9C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8AA8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层级</w:t>
            </w:r>
          </w:p>
        </w:tc>
        <w:tc>
          <w:tcPr>
            <w:tcW w:w="17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C0CE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实现</w:t>
            </w:r>
          </w:p>
        </w:tc>
        <w:tc>
          <w:tcPr>
            <w:tcW w:w="26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E373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7A8B5F8B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BC34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表现层</w:t>
            </w:r>
          </w:p>
        </w:tc>
        <w:tc>
          <w:tcPr>
            <w:tcW w:w="1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5E697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原生 HTML / CSS / JavaScript</w:t>
            </w:r>
          </w:p>
        </w:tc>
        <w:tc>
          <w:tcPr>
            <w:tcW w:w="26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88547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6 个单文件页面 + 全局白板组件，无框架、无构建步骤</w:t>
            </w:r>
          </w:p>
        </w:tc>
      </w:tr>
      <w:tr w14:paraId="7843E15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CB0A4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服务层</w:t>
            </w:r>
          </w:p>
        </w:tc>
        <w:tc>
          <w:tcPr>
            <w:tcW w:w="1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E6747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Python 标准库 ThreadingHTTPServer</w:t>
            </w:r>
          </w:p>
        </w:tc>
        <w:tc>
          <w:tcPr>
            <w:tcW w:w="2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56280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单文件 server.py 承载全部路由：静态服务、会话、测速、AI 代理、拓扑感知</w:t>
            </w:r>
          </w:p>
        </w:tc>
      </w:tr>
      <w:tr w14:paraId="529EFF3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FE85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数据层</w:t>
            </w:r>
          </w:p>
        </w:tc>
        <w:tc>
          <w:tcPr>
            <w:tcW w:w="1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32E8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SQLite</w:t>
            </w:r>
          </w:p>
        </w:tc>
        <w:tc>
          <w:tcPr>
            <w:tcW w:w="26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C213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users 与 sessions 两张表，首次启动自动建库并写入演示账号</w:t>
            </w:r>
          </w:p>
        </w:tc>
      </w:tr>
      <w:tr w14:paraId="1EB9ABD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E4E32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AI 层</w:t>
            </w:r>
          </w:p>
        </w:tc>
        <w:tc>
          <w:tcPr>
            <w:tcW w:w="1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C8B61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FastGPT 工作流（OpenAI 兼容协议）</w:t>
            </w:r>
          </w:p>
        </w:tc>
        <w:tc>
          <w:tcPr>
            <w:tcW w:w="2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51A76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复盘报告与故障诊断的大模型能力底座，未接入时自动回退本地规则引擎</w:t>
            </w:r>
          </w:p>
        </w:tc>
      </w:tr>
    </w:tbl>
    <w:p w14:paraId="0B871E37">
      <w:pPr>
        <w:pStyle w:val="3"/>
        <w:spacing w:before="240" w:after="120" w:line="312" w:lineRule="auto"/>
      </w:pPr>
      <w:bookmarkStart w:id="13" w:name="_Toc100013"/>
      <w:r>
        <w:rPr>
          <w:rFonts w:ascii="Calibri" w:eastAsia="黑体"/>
          <w:b/>
          <w:bCs/>
          <w:color w:val="162235"/>
          <w:sz w:val="28"/>
          <w:szCs w:val="28"/>
        </w:rPr>
        <w:t>3.2  技术栈与代码规模</w:t>
      </w:r>
      <w:bookmarkEnd w:id="13"/>
    </w:p>
    <w:p w14:paraId="2F59F4B2">
      <w:pPr>
        <w:keepNext/>
        <w:spacing w:before="160" w:after="80" w:line="312" w:lineRule="auto"/>
      </w:pPr>
      <w:r>
        <w:rPr>
          <w:rFonts w:ascii="Calibri" w:eastAsia="微软雅黑"/>
          <w:b/>
          <w:bCs/>
          <w:color w:val="5A6478"/>
          <w:sz w:val="21"/>
          <w:szCs w:val="21"/>
        </w:rPr>
        <w:t>表 2  技术栈清单</w:t>
      </w:r>
    </w:p>
    <w:tbl>
      <w:tblPr>
        <w:tblStyle w:val="14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4218"/>
        <w:gridCol w:w="2812"/>
      </w:tblGrid>
      <w:tr w14:paraId="2B26857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BAAE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组件</w:t>
            </w:r>
          </w:p>
        </w:tc>
        <w:tc>
          <w:tcPr>
            <w:tcW w:w="24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B787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技术</w:t>
            </w:r>
          </w:p>
        </w:tc>
        <w:tc>
          <w:tcPr>
            <w:tcW w:w="16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841D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规模</w:t>
            </w:r>
          </w:p>
        </w:tc>
      </w:tr>
      <w:tr w14:paraId="5B2AFD1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C7110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后端服务</w:t>
            </w:r>
          </w:p>
        </w:tc>
        <w:tc>
          <w:tcPr>
            <w:tcW w:w="24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FE30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Python 3 标准库（http.server / sqlite3 / hashlib / concurrent.futures 等）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8C57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server.py 单文件，约 1950 行，零第三方依赖</w:t>
            </w:r>
          </w:p>
        </w:tc>
      </w:tr>
      <w:tr w14:paraId="66E6BCE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8C63D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登录注册</w:t>
            </w:r>
          </w:p>
        </w:tc>
        <w:tc>
          <w:tcPr>
            <w:tcW w:w="24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0ABA6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login.html（WebGL2 流体背景 + 2D 粒子引擎）</w:t>
            </w:r>
          </w:p>
        </w:tc>
        <w:tc>
          <w:tcPr>
            <w:tcW w:w="1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CDA1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约 880 行，自包含</w:t>
            </w:r>
          </w:p>
        </w:tc>
      </w:tr>
      <w:tr w14:paraId="5F86857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1F9A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功能页面</w:t>
            </w:r>
          </w:p>
        </w:tc>
        <w:tc>
          <w:tcPr>
            <w:tcW w:w="24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558FA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home / speedtest / topology / review / diagnose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FF992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单页合计约 4900 行</w:t>
            </w:r>
          </w:p>
        </w:tc>
      </w:tr>
      <w:tr w14:paraId="0DEFCF6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8C06B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白板组件</w:t>
            </w:r>
          </w:p>
        </w:tc>
        <w:tc>
          <w:tcPr>
            <w:tcW w:w="24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03D6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whiteboard.js（IIFE 自包含）</w:t>
            </w:r>
          </w:p>
        </w:tc>
        <w:tc>
          <w:tcPr>
            <w:tcW w:w="1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9529C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约 890 行，引入即用</w:t>
            </w:r>
          </w:p>
        </w:tc>
      </w:tr>
      <w:tr w14:paraId="0DC7B38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5810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自动化测试</w:t>
            </w:r>
          </w:p>
        </w:tc>
        <w:tc>
          <w:tcPr>
            <w:tcW w:w="24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1680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test_api.py（标准库 urllib）</w:t>
            </w:r>
          </w:p>
        </w:tc>
        <w:tc>
          <w:tcPr>
            <w:tcW w:w="16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F8023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18 项断言，覆盖注册 / 登录 / 会话 / 权限全链路</w:t>
            </w:r>
          </w:p>
        </w:tc>
      </w:tr>
    </w:tbl>
    <w:p w14:paraId="04957923">
      <w:pPr>
        <w:pStyle w:val="3"/>
        <w:spacing w:before="240" w:after="120" w:line="312" w:lineRule="auto"/>
      </w:pPr>
      <w:bookmarkStart w:id="14" w:name="_Toc100014"/>
      <w:r>
        <w:rPr>
          <w:rFonts w:ascii="Calibri" w:eastAsia="黑体"/>
          <w:b/>
          <w:bCs/>
          <w:color w:val="162235"/>
          <w:sz w:val="28"/>
          <w:szCs w:val="28"/>
        </w:rPr>
        <w:t>3.3  API 接口一览</w:t>
      </w:r>
      <w:bookmarkEnd w:id="14"/>
    </w:p>
    <w:p w14:paraId="4AE024D5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服务端共暴露 18 个业务接口，覆盖会话、测速、拓扑感知、AI 四大域：</w:t>
      </w:r>
    </w:p>
    <w:p w14:paraId="5144FCA2">
      <w:pPr>
        <w:keepNext/>
        <w:spacing w:before="160" w:after="80" w:line="312" w:lineRule="auto"/>
      </w:pPr>
      <w:r>
        <w:rPr>
          <w:rFonts w:ascii="Calibri" w:eastAsia="微软雅黑"/>
          <w:b/>
          <w:bCs/>
          <w:color w:val="5A6478"/>
          <w:sz w:val="21"/>
          <w:szCs w:val="21"/>
        </w:rPr>
        <w:t>表 3  服务端接口</w:t>
      </w:r>
    </w:p>
    <w:tbl>
      <w:tblPr>
        <w:tblStyle w:val="14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6"/>
        <w:gridCol w:w="1230"/>
        <w:gridCol w:w="4922"/>
      </w:tblGrid>
      <w:tr w14:paraId="0BD473BC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88B4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接口</w:t>
            </w:r>
          </w:p>
        </w:tc>
        <w:tc>
          <w:tcPr>
            <w:tcW w:w="7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D17F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28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EDBA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功能</w:t>
            </w:r>
          </w:p>
        </w:tc>
      </w:tr>
      <w:tr w14:paraId="67E62DB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3D250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/api/register</w:t>
            </w:r>
          </w:p>
        </w:tc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60563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CB722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账号注册（用户名 2-20 位校验、密码 6-64 位、重名 409）</w:t>
            </w:r>
          </w:p>
        </w:tc>
      </w:tr>
      <w:tr w14:paraId="34724077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8065A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/api/login / logout / me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858EA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POST/GET</w:t>
            </w:r>
          </w:p>
        </w:tc>
        <w:tc>
          <w:tcPr>
            <w:tcW w:w="2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AB951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登录认证、注销、当前用户查询（HttpOnly 会话 Cookie）</w:t>
            </w:r>
          </w:p>
        </w:tc>
      </w:tr>
      <w:tr w14:paraId="46DE9537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CEFC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/api/speedtest/echo</w:t>
            </w:r>
          </w:p>
        </w:tc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FE20C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52B11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延迟 / 抖动测量回环（附带本机 IP 与主机名）</w:t>
            </w:r>
          </w:p>
        </w:tc>
      </w:tr>
      <w:tr w14:paraId="44005069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76BAD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/api/speedtest/down / up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E2DF4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GET/POST</w:t>
            </w:r>
          </w:p>
        </w:tc>
        <w:tc>
          <w:tcPr>
            <w:tcW w:w="2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B69E7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上下行吞吐测量（1KB-64MB 可调 / 二进制流式计数）</w:t>
            </w:r>
          </w:p>
        </w:tc>
      </w:tr>
      <w:tr w14:paraId="103973DA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48AB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/api/speedtest/geo</w:t>
            </w:r>
          </w:p>
        </w:tc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BABC4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36F51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公网出口与地理位置探测</w:t>
            </w:r>
          </w:p>
        </w:tc>
      </w:tr>
      <w:tr w14:paraId="3F365CF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8F97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/api/speedtest/hops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2F1B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70E16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逐跳时延分析（tracert 路径 + 各跳并发 ping 采样统计，Windows 版 mtr）</w:t>
            </w:r>
          </w:p>
        </w:tc>
      </w:tr>
      <w:tr w14:paraId="54000F7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7C830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/api/speedtest/link</w:t>
            </w:r>
          </w:p>
        </w:tc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41A20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EBEC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链路协商信息（网卡速率 / 双工，经 CIM / PowerShell）</w:t>
            </w:r>
          </w:p>
        </w:tc>
      </w:tr>
      <w:tr w14:paraId="64DB89FB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F064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/api/speedtest/icmp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0BC81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5EC4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指定目标 ICMP 连通性与丢包测量</w:t>
            </w:r>
          </w:p>
        </w:tc>
      </w:tr>
      <w:tr w14:paraId="6B7011B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4B4B9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/api/speedtest/cpu</w:t>
            </w:r>
          </w:p>
        </w:tc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F75B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FCFA3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测速期间本机 CPU 占用采样（辅助判断瓶颈侧）</w:t>
            </w:r>
          </w:p>
        </w:tc>
      </w:tr>
      <w:tr w14:paraId="0F75108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31752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/api/speedtest/upnodes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A7C0A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A9611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内网逐节点质量探测</w:t>
            </w:r>
          </w:p>
        </w:tc>
      </w:tr>
      <w:tr w14:paraId="0E7C4DFC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A6916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/api/topology/scan</w:t>
            </w:r>
          </w:p>
        </w:tc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CFA83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9AE66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ICMP+ARP+OUI+端口真实感知 + 拓扑构建 + 部署建议</w:t>
            </w:r>
          </w:p>
        </w:tc>
      </w:tr>
      <w:tr w14:paraId="66CB378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13A5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/api/topology/nics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AA8A3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6606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枚举本机全部网卡网段（多网卡批量扫描，虚拟网卡单独标注）</w:t>
            </w:r>
          </w:p>
        </w:tc>
      </w:tr>
      <w:tr w14:paraId="47D3E41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367FD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/api/sangfor/devices</w:t>
            </w:r>
          </w:p>
        </w:tc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5942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2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B046A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深信服设备知识表（部署规划下拉与说明）</w:t>
            </w:r>
          </w:p>
        </w:tc>
      </w:tr>
      <w:tr w14:paraId="031B3BA2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699D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/api/ai/chat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357D7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99A9F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故障诊断对话（FastGPT 转发 / 演示回退）</w:t>
            </w:r>
          </w:p>
        </w:tc>
      </w:tr>
      <w:tr w14:paraId="7FFB7084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45E8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/api/ai/report</w:t>
            </w:r>
          </w:p>
        </w:tc>
        <w:tc>
          <w:tcPr>
            <w:tcW w:w="7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939C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2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6A664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案例复盘报告生成（FastGPT 转发 / 演示回退）</w:t>
            </w:r>
          </w:p>
        </w:tc>
      </w:tr>
    </w:tbl>
    <w:p w14:paraId="278EC0C3">
      <w:pPr>
        <w:pStyle w:val="3"/>
        <w:spacing w:before="240" w:after="120" w:line="312" w:lineRule="auto"/>
      </w:pPr>
      <w:bookmarkStart w:id="15" w:name="_Toc100015"/>
      <w:r>
        <w:rPr>
          <w:rFonts w:ascii="Calibri" w:eastAsia="黑体"/>
          <w:b/>
          <w:bCs/>
          <w:color w:val="162235"/>
          <w:sz w:val="28"/>
          <w:szCs w:val="28"/>
        </w:rPr>
        <w:t>3.4  关键技术点</w:t>
      </w:r>
      <w:bookmarkEnd w:id="15"/>
    </w:p>
    <w:p w14:paraId="45D5B424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WebGL2 流体背景 —— </w:t>
      </w:r>
      <w:r>
        <w:rPr>
          <w:rFonts w:ascii="Calibri" w:eastAsia="微软雅黑"/>
          <w:color w:val="000000"/>
          <w:sz w:val="24"/>
          <w:szCs w:val="24"/>
        </w:rPr>
        <w:t>登录页背景基于原生 WebGL2 片元着色器实现：simplex 噪声域扭曲生成金属流材质，1/4 分辨率 flowmap ping-pong 双缓冲记录鼠标轨迹，光标划过产生拖尾扰动与光晕跟随；全局限制 30fps 并在画布不可见时暂停渲染，兼顾视觉效果与功耗。</w:t>
      </w:r>
    </w:p>
    <w:p w14:paraId="56EBD5AB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2D 粒子 Logo 引擎 —— </w:t>
      </w:r>
      <w:r>
        <w:rPr>
          <w:rFonts w:ascii="Calibri" w:eastAsia="微软雅黑"/>
          <w:color w:val="000000"/>
          <w:sz w:val="24"/>
          <w:szCs w:val="24"/>
        </w:rPr>
        <w:t>对内嵌深信服 SVG 进行像素采样，生成约九千颗发光粒子聚合为 Logo 图形；粒子带弹簧回弹特性，鼠标划过即被推离并自动复位；画布采用透明模式叠加于流体背景之上，两层动效互不干扰。</w:t>
      </w:r>
    </w:p>
    <w:p w14:paraId="5D0DE9CB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真实探针引擎 —— </w:t>
      </w:r>
      <w:r>
        <w:rPr>
          <w:rFonts w:ascii="Calibri" w:eastAsia="微软雅黑"/>
          <w:color w:val="000000"/>
          <w:sz w:val="24"/>
          <w:szCs w:val="24"/>
        </w:rPr>
        <w:t>本机网卡信息（接入方式、IP、网关、DNS 等）通过解析系统命令真实获得；内网感知引擎以 64 线程并发 Ping 扫描 /24 网段，对存活主机做 ARP 厂商指纹（OUI）与七类特征端口探测（打印 / NAS / 服务器 / 管理），并可扩展多网卡网段与 SNMP 交换机读取；除规划部署节点外全部为实测数据，接口如实返回探测引擎标识。</w:t>
      </w:r>
    </w:p>
    <w:p w14:paraId="7BBE014E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高性能测速服务 —— </w:t>
      </w:r>
      <w:r>
        <w:rPr>
          <w:rFonts w:ascii="Calibri" w:eastAsia="微软雅黑"/>
          <w:color w:val="000000"/>
          <w:sz w:val="24"/>
          <w:szCs w:val="24"/>
        </w:rPr>
        <w:t>服务端预生成 4MB 随机数据块，下行测试循环发送避免临时生成拖慢吞吐；上行测试以 64KB 分块流式接收并仅统计字节数不落盘，确保测得的是纯链路能力。</w:t>
      </w:r>
    </w:p>
    <w:p w14:paraId="078BA90B">
      <w:pPr>
        <w:pStyle w:val="2"/>
        <w:spacing w:before="360" w:after="160" w:line="312" w:lineRule="auto"/>
      </w:pPr>
      <w:bookmarkStart w:id="16" w:name="_Toc100016"/>
      <w:r>
        <w:rPr>
          <w:rFonts w:ascii="Calibri" w:eastAsia="黑体"/>
          <w:b/>
          <w:bCs/>
          <w:color w:val="162235"/>
          <w:sz w:val="32"/>
          <w:szCs w:val="32"/>
        </w:rPr>
        <w:t>第四章  AI 智能体工作流</w:t>
      </w:r>
      <w:bookmarkEnd w:id="16"/>
    </w:p>
    <w:p w14:paraId="390AAB0A">
      <w:pPr>
        <w:pStyle w:val="3"/>
        <w:spacing w:before="240" w:after="120" w:line="312" w:lineRule="auto"/>
      </w:pPr>
      <w:bookmarkStart w:id="17" w:name="_Toc100017"/>
      <w:r>
        <w:rPr>
          <w:rFonts w:ascii="Calibri" w:eastAsia="黑体"/>
          <w:b/>
          <w:bCs/>
          <w:color w:val="162235"/>
          <w:sz w:val="28"/>
          <w:szCs w:val="28"/>
        </w:rPr>
        <w:t>4.1  设计思路</w:t>
      </w:r>
      <w:bookmarkEnd w:id="17"/>
    </w:p>
    <w:p w14:paraId="56206D90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复盘是交付流程中最有价值也最容易被省略的环节——不是工程师不想复盘，而是写一份结构完整的报告太耗时。CyberNWT 的智能体设计目标因此非常明确：工程师完成工作后，用几句话把过程「讲给 AI 听」，AI 立即产出一份像简历模板一样结构固定、条目齐全的案例总结报告；其中所有需要精确数值的实施参数以留白呈现，由工程师回填实际值。结构由 AI 保证完整性，数据由人保证真实性，二者各司其职。</w:t>
      </w:r>
    </w:p>
    <w:p w14:paraId="49FF95F4">
      <w:pPr>
        <w:pStyle w:val="3"/>
        <w:spacing w:before="240" w:after="120" w:line="312" w:lineRule="auto"/>
      </w:pPr>
      <w:bookmarkStart w:id="18" w:name="_Toc100018"/>
      <w:r>
        <w:rPr>
          <w:rFonts w:ascii="Calibri" w:eastAsia="黑体"/>
          <w:b/>
          <w:bCs/>
          <w:color w:val="162235"/>
          <w:sz w:val="28"/>
          <w:szCs w:val="28"/>
        </w:rPr>
        <w:t>4.2  工作流结构</w:t>
      </w:r>
      <w:bookmarkEnd w:id="18"/>
    </w:p>
    <w:p w14:paraId="65151FD4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智能体在 FastGPT 平台以工作流形式搭建，数据流为：对话输入入口（接收工程师拼接的项目名称、所属阶段与过程描述）→ AI 对话节点（承担复盘专家角色，模型 qwen3.8-flash）→ 回复输出。AI 节点的系统提示词固化了报告模板与写作规则，保证任意输入都产出结构一致的 Markdown 报告。</w:t>
      </w:r>
    </w:p>
    <w:p w14:paraId="13AFD4D7">
      <w:pPr>
        <w:pStyle w:val="3"/>
        <w:spacing w:before="240" w:after="120" w:line="312" w:lineRule="auto"/>
      </w:pPr>
      <w:bookmarkStart w:id="19" w:name="_Toc100019"/>
      <w:r>
        <w:rPr>
          <w:rFonts w:ascii="Calibri" w:eastAsia="黑体"/>
          <w:b/>
          <w:bCs/>
          <w:color w:val="162235"/>
          <w:sz w:val="28"/>
          <w:szCs w:val="28"/>
        </w:rPr>
        <w:t>4.3  系统提示词设计</w:t>
      </w:r>
      <w:bookmarkEnd w:id="19"/>
    </w:p>
    <w:p w14:paraId="71748890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系统提示词由角色、任务、输出格式、规则四部分构成。角色部分设定「深信服网络交付团队资深复盘专家」人设并限定设备知识域；输出格式部分固化七大章节模板，其中「关键实施参数」以表格形式列出设备型号 / 接口规划 / VLAN 与路由 / 关键策略 / 性能阈值五行待填项；规则部分明确四条红线：只依据描述撰写、不编造参数、时间不确定用占位符、全文 Markdown。该模板同时保证了演示模式（本地规则引擎）与真实大模型两种通道下输出结构的一致性。</w:t>
      </w:r>
    </w:p>
    <w:p w14:paraId="41D78955">
      <w:pPr>
        <w:pStyle w:val="3"/>
        <w:spacing w:before="240" w:after="120" w:line="312" w:lineRule="auto"/>
      </w:pPr>
      <w:bookmarkStart w:id="20" w:name="_Toc100020"/>
      <w:r>
        <w:rPr>
          <w:rFonts w:ascii="Calibri" w:eastAsia="黑体"/>
          <w:b/>
          <w:bCs/>
          <w:color w:val="162235"/>
          <w:sz w:val="28"/>
          <w:szCs w:val="28"/>
        </w:rPr>
        <w:t>4.4  平台接入机制</w:t>
      </w:r>
      <w:bookmarkEnd w:id="20"/>
    </w:p>
    <w:p w14:paraId="7E3C9C07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服务端通过 OpenAI 兼容协议（/chat/completions）转发对话至 FastGPT 工作流应用。接入配置支持两种方式：在项目根目录创建 fastgpt.config 文件（两行配置，已加入 .gitignore，密钥不入版本库），或设置 FASTGPT_BASE 与 FASTGPT_KEY 环境变量，环境变量优先。配置后重启服务，启动日志出现「FastGPT 已接入」即生效；调用失败时自动回退演示模式，响应中的 source 字段（fastgpt / demo）让前端能够如实标注报告来源。</w:t>
      </w:r>
    </w:p>
    <w:p w14:paraId="5BC32E03">
      <w:pPr>
        <w:pStyle w:val="2"/>
        <w:spacing w:before="360" w:after="160" w:line="312" w:lineRule="auto"/>
      </w:pPr>
      <w:bookmarkStart w:id="21" w:name="_Toc100021"/>
      <w:r>
        <w:rPr>
          <w:rFonts w:ascii="Calibri" w:eastAsia="黑体"/>
          <w:b/>
          <w:bCs/>
          <w:color w:val="162235"/>
          <w:sz w:val="32"/>
          <w:szCs w:val="32"/>
        </w:rPr>
        <w:t>第五章  使用指南</w:t>
      </w:r>
      <w:bookmarkEnd w:id="21"/>
    </w:p>
    <w:p w14:paraId="4306584E">
      <w:pPr>
        <w:pStyle w:val="3"/>
        <w:spacing w:before="240" w:after="120" w:line="312" w:lineRule="auto"/>
      </w:pPr>
      <w:bookmarkStart w:id="22" w:name="_Toc100022"/>
      <w:r>
        <w:rPr>
          <w:rFonts w:ascii="Calibri" w:eastAsia="黑体"/>
          <w:b/>
          <w:bCs/>
          <w:color w:val="162235"/>
          <w:sz w:val="28"/>
          <w:szCs w:val="28"/>
        </w:rPr>
        <w:t>5.1  启动与部署</w:t>
      </w:r>
      <w:bookmarkEnd w:id="22"/>
    </w:p>
    <w:p w14:paraId="49A8F335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环境要求仅为 Python 3.8 及以上（无需安装任何第三方包）。在项目根目录执行 python server.py 即可启动，默认端口 8642，启动后自动建库、自动打开浏览器；也可通过参数指定端口（如 python server.py 9000）。使用演示账号 admin / admin 登录，或在登录页注册新账号。删除 data.db 文件后重启即可将环境重置为初始状态。</w:t>
      </w:r>
    </w:p>
    <w:p w14:paraId="1794F833">
      <w:pPr>
        <w:pStyle w:val="3"/>
        <w:spacing w:before="240" w:after="120" w:line="312" w:lineRule="auto"/>
      </w:pPr>
      <w:bookmarkStart w:id="23" w:name="_Toc100023"/>
      <w:r>
        <w:rPr>
          <w:rFonts w:ascii="Calibri" w:eastAsia="黑体"/>
          <w:b/>
          <w:bCs/>
          <w:color w:val="162235"/>
          <w:sz w:val="28"/>
          <w:szCs w:val="28"/>
        </w:rPr>
        <w:t>5.2  接入 FastGPT 工作流</w:t>
      </w:r>
      <w:bookmarkEnd w:id="23"/>
    </w:p>
    <w:p w14:paraId="653B9BF4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在项目根目录创建 fastgpt.config 文件，写入两行配置：FASTGPT_BASE（FastGPT 的 OpenAI 兼容接口地址）与 FASTGPT_KEY（在 FastGPT「发布渠道 — API 密钥」处创建）。保存后重启服务端，控制台输出 [config] FastGPT 已接入 即接入成功；此时案例复盘与故障诊断页面的来源标签将显示「FastGPT 生成」。</w:t>
      </w:r>
    </w:p>
    <w:p w14:paraId="2881B08B">
      <w:pPr>
        <w:pStyle w:val="3"/>
        <w:spacing w:before="240" w:after="120" w:line="312" w:lineRule="auto"/>
      </w:pPr>
      <w:bookmarkStart w:id="24" w:name="_Toc100024"/>
      <w:r>
        <w:rPr>
          <w:rFonts w:ascii="Calibri" w:eastAsia="黑体"/>
          <w:b/>
          <w:bCs/>
          <w:color w:val="162235"/>
          <w:sz w:val="28"/>
          <w:szCs w:val="28"/>
        </w:rPr>
        <w:t>5.3  推荐演示动线</w:t>
      </w:r>
      <w:bookmarkEnd w:id="24"/>
    </w:p>
    <w:p w14:paraId="25E72142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第一步 —— </w:t>
      </w:r>
      <w:r>
        <w:rPr>
          <w:rFonts w:ascii="Calibri" w:eastAsia="微软雅黑"/>
          <w:color w:val="000000"/>
          <w:sz w:val="24"/>
          <w:szCs w:val="24"/>
        </w:rPr>
        <w:t>打开登录页，展示液态流体背景与鼠标交互，讲解 WebGL 技术亮点，随后登录进入平台。</w:t>
      </w:r>
    </w:p>
    <w:p w14:paraId="33D96662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第二步 —— </w:t>
      </w:r>
      <w:r>
        <w:rPr>
          <w:rFonts w:ascii="Calibri" w:eastAsia="微软雅黑"/>
          <w:color w:val="000000"/>
          <w:sz w:val="24"/>
          <w:szCs w:val="24"/>
        </w:rPr>
        <w:t>在功能首页总览五大模块，说明产品覆盖交付工程师全工作动线。</w:t>
      </w:r>
    </w:p>
    <w:p w14:paraId="168F7546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第三步 —— </w:t>
      </w:r>
      <w:r>
        <w:rPr>
          <w:rFonts w:ascii="Calibri" w:eastAsia="微软雅黑"/>
          <w:color w:val="000000"/>
          <w:sz w:val="24"/>
          <w:szCs w:val="24"/>
        </w:rPr>
        <w:t>进入灵犀测速，一键完成测量，展示实时波形、评分与智能诊断。</w:t>
      </w:r>
    </w:p>
    <w:p w14:paraId="3EC02344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第四步 —— </w:t>
      </w:r>
      <w:r>
        <w:rPr>
          <w:rFonts w:ascii="Calibri" w:eastAsia="微软雅黑"/>
          <w:color w:val="000000"/>
          <w:sz w:val="24"/>
          <w:szCs w:val="24"/>
        </w:rPr>
        <w:t>进入内网感知，一键扫描，展示实测网卡、建模拓扑与部署建议。</w:t>
      </w:r>
    </w:p>
    <w:p w14:paraId="67D41F2B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第五步 —— </w:t>
      </w:r>
      <w:r>
        <w:rPr>
          <w:rFonts w:ascii="Calibri" w:eastAsia="微软雅黑"/>
          <w:color w:val="000000"/>
          <w:sz w:val="24"/>
          <w:szCs w:val="24"/>
        </w:rPr>
        <w:t>进入案例复盘，粘贴一段真实项目过程描述，生成结构化复盘报告并下载 Markdown，收尾点题「经验沉淀」。</w:t>
      </w:r>
    </w:p>
    <w:p w14:paraId="46CDCB5E">
      <w:pPr>
        <w:pStyle w:val="2"/>
        <w:spacing w:before="360" w:after="160" w:line="312" w:lineRule="auto"/>
      </w:pPr>
      <w:bookmarkStart w:id="25" w:name="_Toc100025"/>
      <w:r>
        <w:rPr>
          <w:rFonts w:ascii="Calibri" w:eastAsia="黑体"/>
          <w:b/>
          <w:bCs/>
          <w:color w:val="162235"/>
          <w:sz w:val="32"/>
          <w:szCs w:val="32"/>
        </w:rPr>
        <w:t>第六章  安全设计</w:t>
      </w:r>
      <w:bookmarkEnd w:id="25"/>
    </w:p>
    <w:p w14:paraId="3061E5D2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作为演示级产品，CyberNWT 在便捷性与安全性之间采取了务实的平衡，安全基线包括：</w:t>
      </w:r>
    </w:p>
    <w:p w14:paraId="6AE8013A">
      <w:pPr>
        <w:keepNext/>
        <w:spacing w:before="160" w:after="80" w:line="312" w:lineRule="auto"/>
      </w:pPr>
      <w:r>
        <w:rPr>
          <w:rFonts w:ascii="Calibri" w:eastAsia="微软雅黑"/>
          <w:b/>
          <w:bCs/>
          <w:color w:val="5A6478"/>
          <w:sz w:val="21"/>
          <w:szCs w:val="21"/>
        </w:rPr>
        <w:t>表 4  安全措施清单</w:t>
      </w:r>
    </w:p>
    <w:tbl>
      <w:tblPr>
        <w:tblStyle w:val="14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7206"/>
      </w:tblGrid>
      <w:tr w14:paraId="551C7F72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5E53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4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A126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措施</w:t>
            </w:r>
          </w:p>
        </w:tc>
      </w:tr>
      <w:tr w14:paraId="3318D3EB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A475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密码存储</w:t>
            </w:r>
          </w:p>
        </w:tc>
        <w:tc>
          <w:tcPr>
            <w:tcW w:w="41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F8D4A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PBKDF2-SHA256，12 万次迭代 + 16 字节随机盐，不存明文；比对使用恒定时间比较防时序攻击</w:t>
            </w:r>
          </w:p>
        </w:tc>
      </w:tr>
      <w:tr w14:paraId="5E4B334D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BC73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会话管理</w:t>
            </w:r>
          </w:p>
        </w:tc>
        <w:tc>
          <w:tcPr>
            <w:tcW w:w="4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4936F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令牌 64 位十六进制随机数；HttpOnly + SameSite=Lax Cookie，有效期 7 天，注销即删</w:t>
            </w:r>
          </w:p>
        </w:tc>
      </w:tr>
      <w:tr w14:paraId="7A19823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6B7E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访问控制</w:t>
            </w:r>
          </w:p>
        </w:tc>
        <w:tc>
          <w:tcPr>
            <w:tcW w:w="41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E93DF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受保护页面服务端 302 重定向拦截，API 未登录返回 401，前后端双重校验</w:t>
            </w:r>
          </w:p>
        </w:tc>
      </w:tr>
      <w:tr w14:paraId="1D7623DF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4E6B7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路径安全</w:t>
            </w:r>
          </w:p>
        </w:tc>
        <w:tc>
          <w:tcPr>
            <w:tcW w:w="4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D9DC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静态文件服务对请求路径做 realpath 归一化与根目录前缀校验，阻断目录穿越</w:t>
            </w:r>
          </w:p>
        </w:tc>
      </w:tr>
      <w:tr w14:paraId="0E0B1CA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D69A3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网络暴露面</w:t>
            </w:r>
          </w:p>
        </w:tc>
        <w:tc>
          <w:tcPr>
            <w:tcW w:w="41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80F1A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服务仅绑定 127.0.0.1，不对局域网开放；密钥文件 fastgpt.config 加入 .gitignore 不入库</w:t>
            </w:r>
          </w:p>
        </w:tc>
      </w:tr>
    </w:tbl>
    <w:p w14:paraId="5C7958E4">
      <w:pPr>
        <w:pStyle w:val="2"/>
        <w:spacing w:before="360" w:after="160" w:line="312" w:lineRule="auto"/>
      </w:pPr>
      <w:bookmarkStart w:id="26" w:name="_Toc100026"/>
      <w:r>
        <w:rPr>
          <w:rFonts w:ascii="Calibri" w:eastAsia="黑体"/>
          <w:b/>
          <w:bCs/>
          <w:color w:val="162235"/>
          <w:sz w:val="32"/>
          <w:szCs w:val="32"/>
        </w:rPr>
        <w:t>第七章  质量保障</w:t>
      </w:r>
      <w:bookmarkEnd w:id="26"/>
    </w:p>
    <w:p w14:paraId="47DD5289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项目内置接口自动化测试脚本 test_api.py，基于 Python 标准库实现、无需测试框架，在服务运行期间执行即可完成 18 项断言，覆盖注册、登录、会话、权限与页面路由全链路：</w:t>
      </w:r>
    </w:p>
    <w:p w14:paraId="716C7359">
      <w:pPr>
        <w:keepNext/>
        <w:spacing w:before="160" w:after="80" w:line="312" w:lineRule="auto"/>
      </w:pPr>
      <w:r>
        <w:rPr>
          <w:rFonts w:ascii="Calibri" w:eastAsia="微软雅黑"/>
          <w:b/>
          <w:bCs/>
          <w:color w:val="5A6478"/>
          <w:sz w:val="21"/>
          <w:szCs w:val="21"/>
        </w:rPr>
        <w:t>表 5  自动化测试覆盖</w:t>
      </w:r>
    </w:p>
    <w:tbl>
      <w:tblPr>
        <w:tblStyle w:val="14"/>
        <w:tblW w:w="5000" w:type="pct"/>
        <w:tblInd w:w="0" w:type="dxa"/>
        <w:tblBorders>
          <w:top w:val="single" w:color="1B6B7A" w:sz="4" w:space="0"/>
          <w:left w:val="none" w:color="FFFFFF" w:sz="0" w:space="0"/>
          <w:bottom w:val="single" w:color="1B6B7A" w:sz="4" w:space="0"/>
          <w:right w:val="none" w:color="FFFFFF" w:sz="0" w:space="0"/>
          <w:insideH w:val="single" w:color="C8DDE2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5976"/>
        <w:gridCol w:w="1406"/>
      </w:tblGrid>
      <w:tr w14:paraId="590B51E1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61A6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分组</w:t>
            </w:r>
          </w:p>
        </w:tc>
        <w:tc>
          <w:tcPr>
            <w:tcW w:w="34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ADAE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覆盖内容</w:t>
            </w:r>
          </w:p>
        </w:tc>
        <w:tc>
          <w:tcPr>
            <w:tcW w:w="8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4AFD">
            <w:pPr>
              <w:spacing w:line="276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项数</w:t>
            </w:r>
          </w:p>
        </w:tc>
      </w:tr>
      <w:tr w14:paraId="4723F8C5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3438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访问控制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3E468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未登录首页返回登录页、未登录访问受保护页被重定向、未登录 API 返回 401</w:t>
            </w:r>
          </w:p>
        </w:tc>
        <w:tc>
          <w:tcPr>
            <w:tcW w:w="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4F231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3</w:t>
            </w:r>
          </w:p>
        </w:tc>
      </w:tr>
      <w:tr w14:paraId="4C4E19E8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97793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登录会话</w:t>
            </w:r>
          </w:p>
        </w:tc>
        <w:tc>
          <w:tcPr>
            <w:tcW w:w="34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C581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错误密码拒绝、正确登录、会话查询、已登录访问根路径跳转、退出登录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4D0C5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5</w:t>
            </w:r>
          </w:p>
        </w:tc>
      </w:tr>
      <w:tr w14:paraId="1843BC7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E45EF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注册校验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725DD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正常注册、重复注册 409、过短用户名、非法字符、过短密码</w:t>
            </w:r>
          </w:p>
        </w:tc>
        <w:tc>
          <w:tcPr>
            <w:tcW w:w="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CD8A0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5</w:t>
            </w:r>
          </w:p>
        </w:tc>
      </w:tr>
      <w:tr w14:paraId="5AA0DCEE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D14BD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边界场景</w:t>
            </w:r>
          </w:p>
        </w:tc>
        <w:tc>
          <w:tcPr>
            <w:tcW w:w="34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1406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新用户可登录、中文用户名注册与登录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F699E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3</w:t>
            </w:r>
          </w:p>
        </w:tc>
      </w:tr>
      <w:tr w14:paraId="5ADF56A0">
        <w:tblPrEx>
          <w:tblBorders>
            <w:top w:val="single" w:color="1B6B7A" w:sz="4" w:space="0"/>
            <w:left w:val="none" w:color="FFFFFF" w:sz="0" w:space="0"/>
            <w:bottom w:val="single" w:color="1B6B7A" w:sz="4" w:space="0"/>
            <w:right w:val="none" w:color="FFFFFF" w:sz="0" w:space="0"/>
            <w:insideH w:val="single" w:color="C8DDE2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CFEFF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结果汇总</w:t>
            </w:r>
          </w:p>
        </w:tc>
        <w:tc>
          <w:tcPr>
            <w:tcW w:w="34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A9B5D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全部断言通过（18/18），任一失败进程以非零码退出</w:t>
            </w:r>
          </w:p>
        </w:tc>
        <w:tc>
          <w:tcPr>
            <w:tcW w:w="800" w:type="pct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75101">
            <w:pPr>
              <w:spacing w:line="276" w:lineRule="auto"/>
            </w:pPr>
            <w:r>
              <w:rPr>
                <w:rFonts w:ascii="Calibri" w:eastAsia="微软雅黑"/>
                <w:color w:val="000000"/>
                <w:sz w:val="21"/>
                <w:szCs w:val="21"/>
              </w:rPr>
              <w:t>2</w:t>
            </w:r>
          </w:p>
        </w:tc>
      </w:tr>
    </w:tbl>
    <w:p w14:paraId="4008A76A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除自动化测试外，产品在开发过程中完成了 Chromium 与主流内核浏览器的目视回归：登录页动效、测速全流程、拓扑渲染、AI 报告生成与下载均经过实机验证。</w:t>
      </w:r>
    </w:p>
    <w:p w14:paraId="2F45F646">
      <w:pPr>
        <w:pStyle w:val="2"/>
        <w:spacing w:before="360" w:after="160" w:line="312" w:lineRule="auto"/>
      </w:pPr>
      <w:bookmarkStart w:id="27" w:name="_Toc100027"/>
      <w:r>
        <w:rPr>
          <w:rFonts w:ascii="Calibri" w:eastAsia="黑体"/>
          <w:b/>
          <w:bCs/>
          <w:color w:val="162235"/>
          <w:sz w:val="32"/>
          <w:szCs w:val="32"/>
        </w:rPr>
        <w:t>第八章  总结与展望</w:t>
      </w:r>
      <w:bookmarkEnd w:id="27"/>
    </w:p>
    <w:p w14:paraId="2D4BB583">
      <w:pPr>
        <w:pStyle w:val="3"/>
        <w:spacing w:before="240" w:after="120" w:line="312" w:lineRule="auto"/>
      </w:pPr>
      <w:bookmarkStart w:id="28" w:name="_Toc100028"/>
      <w:r>
        <w:rPr>
          <w:rFonts w:ascii="Calibri" w:eastAsia="黑体"/>
          <w:b/>
          <w:bCs/>
          <w:color w:val="162235"/>
          <w:sz w:val="28"/>
          <w:szCs w:val="28"/>
        </w:rPr>
        <w:t>8.1  总结</w:t>
      </w:r>
      <w:bookmarkEnd w:id="28"/>
    </w:p>
    <w:p w14:paraId="2E3A6D54">
      <w:pPr>
        <w:spacing w:after="60" w:line="312" w:lineRule="auto"/>
        <w:ind w:firstLine="420"/>
        <w:jc w:val="both"/>
      </w:pPr>
      <w:r>
        <w:rPr>
          <w:rFonts w:ascii="Calibri" w:eastAsia="微软雅黑"/>
          <w:color w:val="000000"/>
          <w:sz w:val="24"/>
          <w:szCs w:val="24"/>
        </w:rPr>
        <w:t>CyberNWT 用八千余行自研代码，在没有引入任何运行时依赖的前提下，完成了一个覆盖「测速验证 — 环境感知 — 故障诊断 — 经验沉淀」完整工作动线的智能运维演示平台：视觉上以 WebGL 流体与粒子动效建立第一印象；功能上以真实探针驱动的测速与拓扑模块支撑现场级演示；智能上以 FastGPT 工作流把资深工程师的复盘方法论产品化。零依赖架构让它可以在任何一台装有 Python 的电脑上即开即用，非常适合比赛演示、教学培训与现场快速验证。</w:t>
      </w:r>
    </w:p>
    <w:p w14:paraId="0C57055F">
      <w:pPr>
        <w:pStyle w:val="3"/>
        <w:spacing w:before="240" w:after="120" w:line="312" w:lineRule="auto"/>
      </w:pPr>
      <w:bookmarkStart w:id="29" w:name="_Toc100029"/>
      <w:r>
        <w:rPr>
          <w:rFonts w:ascii="Calibri" w:eastAsia="黑体"/>
          <w:b/>
          <w:bCs/>
          <w:color w:val="162235"/>
          <w:sz w:val="28"/>
          <w:szCs w:val="28"/>
        </w:rPr>
        <w:t>8.2  展望</w:t>
      </w:r>
      <w:bookmarkEnd w:id="29"/>
    </w:p>
    <w:p w14:paraId="00A23F24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探针深化 —— </w:t>
      </w:r>
      <w:r>
        <w:rPr>
          <w:rFonts w:ascii="Calibri" w:eastAsia="微软雅黑"/>
          <w:color w:val="000000"/>
          <w:sz w:val="24"/>
          <w:szCs w:val="24"/>
        </w:rPr>
        <w:t>引入 SNMP 完整采集（当前为探活 + MAC 地址表），进一步丰富交换机链路细节。</w:t>
      </w:r>
    </w:p>
    <w:p w14:paraId="1A516044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数据看板 —— </w:t>
      </w:r>
      <w:r>
        <w:rPr>
          <w:rFonts w:ascii="Calibri" w:eastAsia="微软雅黑"/>
          <w:color w:val="000000"/>
          <w:sz w:val="24"/>
          <w:szCs w:val="24"/>
        </w:rPr>
        <w:t>引入数据看板模块，沉淀历次测速与复盘记录，形成团队级质量趋势与知识库。</w:t>
      </w:r>
    </w:p>
    <w:p w14:paraId="423D4002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多用户协作 —— </w:t>
      </w:r>
      <w:r>
        <w:rPr>
          <w:rFonts w:ascii="Calibri" w:eastAsia="微软雅黑"/>
          <w:color w:val="000000"/>
          <w:sz w:val="24"/>
          <w:szCs w:val="24"/>
        </w:rPr>
        <w:t>复用现有会话体系扩展多角色（工程师 / 组长 / 客户）与报告评审流。</w:t>
      </w:r>
    </w:p>
    <w:p w14:paraId="754484B6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Calibri" w:eastAsia="微软雅黑"/>
          <w:b/>
          <w:bCs/>
          <w:color w:val="000000"/>
          <w:sz w:val="24"/>
          <w:szCs w:val="24"/>
        </w:rPr>
        <w:t xml:space="preserve">移动端 —— </w:t>
      </w:r>
      <w:r>
        <w:rPr>
          <w:rFonts w:ascii="Calibri" w:eastAsia="微软雅黑"/>
          <w:color w:val="000000"/>
          <w:sz w:val="24"/>
          <w:szCs w:val="24"/>
        </w:rPr>
        <w:t>适配移动端布局，让现场工程师在手机上完成测速与诊断。</w:t>
      </w:r>
    </w:p>
    <w:sectPr>
      <w:headerReference r:id="rId4" w:type="default"/>
      <w:footerReference r:id="rId5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5D066">
    <w:pPr>
      <w:jc w:val="center"/>
    </w:pPr>
    <w:r>
      <w:rPr>
        <w:color w:val="5A6478"/>
        <w:sz w:val="18"/>
        <w:szCs w:val="18"/>
      </w:rPr>
      <w:fldChar w:fldCharType="begin"/>
    </w:r>
    <w:r>
      <w:rPr>
        <w:color w:val="5A6478"/>
        <w:sz w:val="18"/>
        <w:szCs w:val="18"/>
      </w:rPr>
      <w:instrText xml:space="preserve">PAGE</w:instrText>
    </w:r>
    <w:r>
      <w:rPr>
        <w:color w:val="5A6478"/>
        <w:sz w:val="18"/>
        <w:szCs w:val="18"/>
      </w:rPr>
      <w:fldChar w:fldCharType="separate"/>
    </w:r>
    <w:r>
      <w:rPr>
        <w:color w:val="5A647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98C68">
    <w:pPr>
      <w:jc w:val="center"/>
    </w:pPr>
    <w:r>
      <w:rPr>
        <w:color w:val="5A6478"/>
        <w:sz w:val="18"/>
        <w:szCs w:val="18"/>
      </w:rPr>
      <w:fldChar w:fldCharType="begin"/>
    </w:r>
    <w:r>
      <w:rPr>
        <w:color w:val="5A6478"/>
        <w:sz w:val="18"/>
        <w:szCs w:val="18"/>
      </w:rPr>
      <w:instrText xml:space="preserve">PAGE</w:instrText>
    </w:r>
    <w:r>
      <w:rPr>
        <w:color w:val="5A6478"/>
        <w:sz w:val="18"/>
        <w:szCs w:val="18"/>
      </w:rPr>
      <w:fldChar w:fldCharType="separate"/>
    </w:r>
    <w:r>
      <w:rPr>
        <w:color w:val="5A647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0DC1B">
    <w:pPr>
      <w:pBdr>
        <w:bottom w:val="single" w:color="C8DDE2" w:sz="2" w:space="4"/>
      </w:pBdr>
      <w:jc w:val="center"/>
    </w:pPr>
    <w:r>
      <w:rPr>
        <w:rFonts w:ascii="Calibri" w:eastAsia="微软雅黑"/>
        <w:color w:val="5A6478"/>
        <w:sz w:val="18"/>
        <w:szCs w:val="18"/>
      </w:rPr>
      <w:t>CyberNWT 产品文档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5258"/>
    <w:multiLevelType w:val="multilevel"/>
    <w:tmpl w:val="FEFF5258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C329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eastAsia="微软雅黑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60" w:line="312" w:lineRule="auto"/>
      <w:outlineLvl w:val="0"/>
    </w:pPr>
    <w:rPr>
      <w:rFonts w:ascii="Calibri" w:eastAsia="黑体"/>
      <w:b/>
      <w:bCs/>
      <w:color w:val="162235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 w:line="312" w:lineRule="auto"/>
      <w:outlineLvl w:val="1"/>
    </w:pPr>
    <w:rPr>
      <w:rFonts w:ascii="Calibri" w:eastAsia="黑体"/>
      <w:b/>
      <w:bCs/>
      <w:color w:val="162235"/>
      <w:sz w:val="28"/>
      <w:szCs w:val="28"/>
    </w:rPr>
  </w:style>
  <w:style w:type="paragraph" w:styleId="4">
    <w:name w:val="heading 3"/>
    <w:next w:val="1"/>
    <w:qFormat/>
    <w:uiPriority w:val="0"/>
    <w:pPr>
      <w:spacing w:line="312" w:lineRule="auto"/>
      <w:outlineLvl w:val="2"/>
    </w:pPr>
    <w:rPr>
      <w:rFonts w:ascii="Calibri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  <w:outlineLvl w:val="3"/>
    </w:pPr>
    <w:rPr>
      <w:rFonts w:ascii="Calibri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  <w:outlineLvl w:val="4"/>
    </w:pPr>
    <w:rPr>
      <w:rFonts w:ascii="Calibri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  <w:outlineLvl w:val="5"/>
    </w:pPr>
    <w:rPr>
      <w:rFonts w:ascii="Calibri" w:eastAsia="微软雅黑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qFormat/>
    <w:uiPriority w:val="39"/>
    <w:pPr>
      <w:tabs>
        <w:tab w:val="right" w:leader="dot" w:pos="9026"/>
      </w:tabs>
      <w:spacing w:before="40" w:after="20" w:line="312" w:lineRule="auto"/>
      <w:ind w:left="720"/>
    </w:pPr>
    <w:rPr>
      <w:rFonts w:ascii="Calibri" w:eastAsia="微软雅黑"/>
      <w:color w:val="000000"/>
      <w:sz w:val="24"/>
      <w:szCs w:val="24"/>
    </w:r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Calibri" w:eastAsia="微软雅黑"/>
      <w:color w:val="000000"/>
      <w:sz w:val="20"/>
      <w:szCs w:val="20"/>
    </w:rPr>
  </w:style>
  <w:style w:type="paragraph" w:styleId="10">
    <w:name w:val="toc 1"/>
    <w:qFormat/>
    <w:uiPriority w:val="39"/>
    <w:pPr>
      <w:tabs>
        <w:tab w:val="right" w:leader="dot" w:pos="9026"/>
      </w:tabs>
      <w:spacing w:before="120" w:after="60" w:line="312" w:lineRule="auto"/>
    </w:pPr>
    <w:rPr>
      <w:rFonts w:ascii="Calibri" w:eastAsia="微软雅黑"/>
      <w:b/>
      <w:bCs/>
      <w:color w:val="000000"/>
      <w:sz w:val="24"/>
      <w:szCs w:val="24"/>
    </w:rPr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Calibri" w:eastAsia="微软雅黑"/>
      <w:color w:val="000000"/>
      <w:sz w:val="20"/>
      <w:szCs w:val="20"/>
    </w:rPr>
  </w:style>
  <w:style w:type="paragraph" w:styleId="12">
    <w:name w:val="toc 2"/>
    <w:qFormat/>
    <w:uiPriority w:val="39"/>
    <w:pPr>
      <w:tabs>
        <w:tab w:val="right" w:leader="dot" w:pos="9026"/>
      </w:tabs>
      <w:spacing w:before="60" w:after="40" w:line="312" w:lineRule="auto"/>
      <w:ind w:left="360"/>
    </w:pPr>
    <w:rPr>
      <w:rFonts w:ascii="Calibri" w:eastAsia="微软雅黑"/>
      <w:color w:val="000000"/>
      <w:sz w:val="24"/>
      <w:szCs w:val="24"/>
    </w:rPr>
  </w:style>
  <w:style w:type="paragraph" w:styleId="13">
    <w:name w:val="Title"/>
    <w:qFormat/>
    <w:uiPriority w:val="0"/>
    <w:pPr>
      <w:spacing w:line="312" w:lineRule="auto"/>
    </w:pPr>
    <w:rPr>
      <w:rFonts w:ascii="Calibri" w:eastAsia="微软雅黑"/>
      <w:color w:val="000000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spacing w:line="312" w:lineRule="auto"/>
    </w:pPr>
    <w:rPr>
      <w:rFonts w:ascii="Calibri" w:eastAsia="微软雅黑"/>
      <w:color w:val="000000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2977</Words>
  <Characters>3545</Characters>
  <TotalTime>6</TotalTime>
  <ScaleCrop>false</ScaleCrop>
  <LinksUpToDate>false</LinksUpToDate>
  <CharactersWithSpaces>4046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2026-09-04T15:56:00Z</dcterms:created>
  <dc:creator>Un-named</dc:creator>
  <cp:lastModifiedBy>WPS_1645533690</cp:lastModifiedBy>
  <dcterms:modified xsi:type="dcterms:W3CDTF">2026-09-04T16:08:27Z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eyJoZGlkIjoiMjRhZWQ5OWNlNmVhZDBkNjViZWVmYTIxMmI0OTY4OWEiLCJ1c2VySWQiOiIxMzM2Njk5OTUxIn0=</vt:lpwstr>
  </property>
  <property fmtid="{D5CDD505-2E9C-101B-9397-08002B2CF9AE}" pid="3" name="KSOProductBuildVer">
    <vt:lpwstr>2052-12.1.0.28043</vt:lpwstr>
  </property>
  <property fmtid="{D5CDD505-2E9C-101B-9397-08002B2CF9AE}" pid="4" name="ICV">
    <vt:lpwstr>65D191F390FC41F9B86DF8FEFD13EAAA_12</vt:lpwstr>
  </property>
</Properties>
</file>