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5F8FD"/>
  <w:body>
    <w:p w14:paraId="50355EB1">
      <w:pPr>
        <w:spacing w:before="2500" w:line="850" w:lineRule="atLeast"/>
        <w:jc w:val="center"/>
      </w:pPr>
      <w:r>
        <w:rPr>
          <w:rFonts w:ascii="Calibri" w:eastAsia="黑体"/>
          <w:b/>
          <w:bCs/>
          <w:color w:val="0B1F3A"/>
          <w:sz w:val="72"/>
          <w:szCs w:val="72"/>
        </w:rPr>
        <w:t>CyberNWT</w:t>
      </w:r>
    </w:p>
    <w:p w14:paraId="46D0C04F">
      <w:pPr>
        <w:spacing w:before="120" w:line="520" w:lineRule="atLeast"/>
        <w:jc w:val="center"/>
      </w:pPr>
      <w:r>
        <w:rPr>
          <w:rFonts w:ascii="Calibri" w:eastAsia="黑体"/>
          <w:b/>
          <w:bCs/>
          <w:color w:val="0B1F3A"/>
          <w:sz w:val="44"/>
          <w:szCs w:val="44"/>
        </w:rPr>
        <w:t>工程师全链路的·智能作战终端</w:t>
      </w:r>
    </w:p>
    <w:p w14:paraId="61A7E01C">
      <w:pPr>
        <w:pBdr>
          <w:bottom w:val="single" w:color="1B66FF" w:sz="12" w:space="1"/>
        </w:pBdr>
        <w:spacing w:before="160"/>
        <w:ind w:left="3200" w:right="3200"/>
        <w:jc w:val="center"/>
      </w:pPr>
    </w:p>
    <w:p w14:paraId="65DF388D">
      <w:pPr>
        <w:spacing w:before="480" w:line="340" w:lineRule="auto"/>
        <w:jc w:val="center"/>
      </w:pPr>
      <w:r>
        <w:rPr>
          <w:rFonts w:ascii="Calibri" w:eastAsia="宋体"/>
          <w:color w:val="475569"/>
          <w:sz w:val="28"/>
          <w:szCs w:val="28"/>
        </w:rPr>
        <w:t>渠道 AI 赛道 · 总决赛参赛作品 · 产品文档</w:t>
      </w:r>
    </w:p>
    <w:p w14:paraId="3C1A2488">
      <w:pPr>
        <w:spacing w:before="2600" w:line="360" w:lineRule="auto"/>
        <w:jc w:val="center"/>
      </w:pPr>
      <w:r>
        <w:rPr>
          <w:rFonts w:ascii="Times New Roman" w:eastAsia="宋体"/>
          <w:color w:val="000000"/>
          <w:sz w:val="26"/>
          <w:szCs w:val="26"/>
        </w:rPr>
        <w:t>参赛形式：个人</w:t>
      </w:r>
    </w:p>
    <w:p w14:paraId="4E13DCDD">
      <w:pPr>
        <w:spacing w:before="140" w:line="360" w:lineRule="auto"/>
        <w:jc w:val="center"/>
      </w:pPr>
      <w:r>
        <w:rPr>
          <w:rFonts w:ascii="Times New Roman" w:eastAsia="宋体"/>
          <w:color w:val="000000"/>
          <w:sz w:val="26"/>
          <w:szCs w:val="26"/>
        </w:rPr>
        <w:t>参赛者姓名：翁炀彬</w:t>
      </w:r>
    </w:p>
    <w:p w14:paraId="110CCD95">
      <w:pPr>
        <w:spacing w:before="140" w:line="360" w:lineRule="auto"/>
        <w:jc w:val="center"/>
      </w:pPr>
      <w:r>
        <w:rPr>
          <w:rFonts w:ascii="Times New Roman" w:eastAsia="宋体"/>
          <w:color w:val="000000"/>
          <w:sz w:val="26"/>
          <w:szCs w:val="26"/>
        </w:rPr>
        <w:t>联系方式：18218924976</w:t>
      </w:r>
    </w:p>
    <w:p w14:paraId="5F29291B">
      <w:pPr>
        <w:spacing w:before="140" w:line="360" w:lineRule="auto"/>
        <w:jc w:val="center"/>
      </w:pPr>
      <w:r>
        <w:rPr>
          <w:rFonts w:ascii="Times New Roman" w:eastAsia="宋体"/>
          <w:color w:val="000000"/>
          <w:sz w:val="26"/>
          <w:szCs w:val="26"/>
        </w:rPr>
        <w:t>2026 年 9 月</w:t>
      </w:r>
    </w:p>
    <w:p w14:paraId="51E2642A">
      <w:pPr>
        <w:sectPr>
          <w:pgSz w:w="11906" w:h="16838"/>
          <w:pgMar w:top="1440" w:right="1417" w:bottom="1440" w:left="1701" w:header="708" w:footer="708" w:gutter="0"/>
          <w:cols w:space="720" w:num="1"/>
          <w:docGrid w:linePitch="360" w:charSpace="0"/>
        </w:sectPr>
      </w:pPr>
    </w:p>
    <w:p w14:paraId="65173DBE">
      <w:pPr>
        <w:pStyle w:val="2"/>
        <w:keepNext/>
        <w:pBdr>
          <w:bottom w:val="single" w:color="1B66FF" w:sz="6" w:space="4"/>
        </w:pBdr>
        <w:spacing w:before="360" w:after="200" w:line="380" w:lineRule="atLeast"/>
      </w:pPr>
      <w:r>
        <w:rPr>
          <w:rFonts w:ascii="Calibri" w:eastAsia="黑体"/>
          <w:b/>
          <w:bCs/>
          <w:color w:val="0B1F3A"/>
          <w:sz w:val="32"/>
          <w:szCs w:val="32"/>
        </w:rPr>
        <w:t>摘  要</w:t>
      </w:r>
    </w:p>
    <w:p w14:paraId="5E11ACA2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CyberNWT 是</w:t>
      </w:r>
      <w:r>
        <w:rPr>
          <w:rFonts w:ascii="Times New Roman" w:eastAsia="宋体"/>
          <w:b/>
          <w:bCs/>
          <w:color w:val="000000"/>
          <w:sz w:val="24"/>
          <w:szCs w:val="24"/>
        </w:rPr>
        <w:t>面向深信服一线工程师</w:t>
      </w:r>
      <w:r>
        <w:rPr>
          <w:rFonts w:ascii="Times New Roman" w:eastAsia="宋体"/>
          <w:color w:val="000000"/>
          <w:sz w:val="24"/>
          <w:szCs w:val="24"/>
        </w:rPr>
        <w:t>的现场智能作战终端，针对交付现场网络难测、拓扑靠猜、排障无据、经验难留四大痛点，</w:t>
      </w:r>
      <w:r>
        <w:rPr>
          <w:rFonts w:ascii="Times New Roman" w:eastAsia="宋体"/>
          <w:b/>
          <w:bCs/>
          <w:color w:val="000000"/>
          <w:sz w:val="24"/>
          <w:szCs w:val="24"/>
        </w:rPr>
        <w:t>把灵犀测速、内网感知、随心记录、灵犀诊断、案例复盘五大模块</w:t>
      </w:r>
      <w:r>
        <w:rPr>
          <w:rFonts w:ascii="Times New Roman" w:eastAsia="宋体"/>
          <w:color w:val="000000"/>
          <w:sz w:val="24"/>
          <w:szCs w:val="24"/>
        </w:rPr>
        <w:t>收敛到同一个本地终端。产品以 FastGPT 双知识库（覆盖 10 条产品线的故障诊断库 + 案例复盘库）为 AI 底座，坚持知识库强约束、结论引用溯源、高风险操作风险前置，回答有据可查：全链路测速自动定位逐跳瓶颈，真实探针实测网段并生成拓扑与部署建议，诊断按「结论先行、结构化步骤、智能追问」输出可导出 Excel 的排查清单，复盘一键成文并回流知识库。产品零第三方依赖、免安装、解压双击即用</w:t>
      </w:r>
      <w:r>
        <w:rPr>
          <w:rFonts w:hint="eastAsia"/>
          <w:color w:val="000000"/>
          <w:sz w:val="24"/>
          <w:szCs w:val="24"/>
          <w:lang w:eastAsia="zh-CN"/>
        </w:rPr>
        <w:t>，</w:t>
      </w:r>
      <w:r>
        <w:rPr>
          <w:rFonts w:hint="eastAsia"/>
          <w:b/>
          <w:bCs/>
          <w:color w:val="F79646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解决客户现场网络不可用、不必联网下载安装</w:t>
      </w:r>
      <w:r>
        <w:rPr>
          <w:rFonts w:ascii="Times New Roman" w:eastAsia="宋体"/>
          <w:color w:val="000000"/>
          <w:sz w:val="24"/>
          <w:szCs w:val="24"/>
        </w:rPr>
        <w:t>；接口断言 18/18 通过，公网实测下行 467 Mbps、上行 57.7 Mbps，诊断 19 秒输出结构化路径，冷启动 1.8—2.5 秒，内网拓扑感知较人工逐址扫描提效约 11 倍（2026-09-10 至 11 日实测）。</w:t>
      </w:r>
    </w:p>
    <w:p w14:paraId="56AAB6B0">
      <w:pPr>
        <w:pStyle w:val="2"/>
        <w:keepNext/>
        <w:pBdr>
          <w:bottom w:val="single" w:color="1B66FF" w:sz="6" w:space="4"/>
        </w:pBdr>
        <w:spacing w:before="360" w:after="200" w:line="380" w:lineRule="atLeast"/>
        <w:rPr>
          <w:rFonts w:hint="default" w:eastAsia="黑体"/>
          <w:lang w:val="en-US" w:eastAsia="zh-CN"/>
        </w:rPr>
      </w:pPr>
      <w:r>
        <w:rPr>
          <w:rFonts w:ascii="Calibri" w:eastAsia="黑体"/>
          <w:b/>
          <w:bCs/>
          <w:color w:val="0B1F3A"/>
          <w:sz w:val="32"/>
          <w:szCs w:val="32"/>
        </w:rPr>
        <w:t>一、设计需求分析</w:t>
      </w:r>
    </w:p>
    <w:p w14:paraId="2B613539">
      <w:pPr>
        <w:pStyle w:val="3"/>
        <w:keepNext/>
        <w:spacing w:before="280" w:after="140" w:line="340" w:lineRule="atLeast"/>
      </w:pPr>
      <w:r>
        <w:rPr>
          <w:rFonts w:ascii="Calibri" w:eastAsia="黑体"/>
          <w:b/>
          <w:bCs/>
          <w:color w:val="0F4DBF"/>
          <w:sz w:val="27"/>
          <w:szCs w:val="27"/>
        </w:rPr>
        <w:t>1.1 行业背景与问题分析</w:t>
      </w:r>
    </w:p>
    <w:p w14:paraId="6DFB3B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82"/>
        <w:jc w:val="both"/>
        <w:textAlignment w:val="auto"/>
      </w:pPr>
      <w:r>
        <w:rPr>
          <w:rFonts w:ascii="Times New Roman" w:eastAsia="宋体"/>
          <w:color w:val="000000"/>
          <w:sz w:val="24"/>
          <w:szCs w:val="24"/>
        </w:rPr>
        <w:t>企业网络交付远不止「把设备装上」：从核对客户环境、确认版本兼容，到上架配置、割接验证、验收转维，每一步都要查资料、做判断、留记录；而现场网络状况未知，工程师随时要回答「线路质量怎么样、瓶颈在哪一段、拓扑长什么样」。</w:t>
      </w:r>
    </w:p>
    <w:p w14:paraId="791C54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82"/>
        <w:jc w:val="both"/>
        <w:textAlignment w:val="auto"/>
      </w:pPr>
      <w:r>
        <w:rPr>
          <w:rFonts w:ascii="Times New Roman" w:eastAsia="宋体"/>
          <w:color w:val="000000"/>
          <w:sz w:val="24"/>
          <w:szCs w:val="24"/>
        </w:rPr>
        <w:t>更现实的困难来自经验与工具两方面：熟练工程师知道先看哪条日志、先敲哪条命令，新人连入口都要摸索很久，老工程师的经验又缺少沉淀载体；工具层面，测速、画拓扑、排障各用一套软件，数据互不相通，通用大模型看似对答如流，却可能编造不存在的命令——一条未经核验的指令，在客户生产环境里就是事故。</w:t>
      </w:r>
    </w:p>
    <w:p w14:paraId="03E0E9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82"/>
        <w:jc w:val="both"/>
        <w:textAlignment w:val="auto"/>
      </w:pPr>
      <w:r>
        <w:rPr>
          <w:rFonts w:ascii="Times New Roman" w:eastAsia="宋体"/>
          <w:color w:val="000000"/>
          <w:sz w:val="24"/>
          <w:szCs w:val="24"/>
        </w:rPr>
        <w:t>因此，问题不只是「快不快」，而是五个叠加的诉求：网络状况测得</w:t>
      </w:r>
      <w:r>
        <w:rPr>
          <w:rFonts w:ascii="Times New Roman" w:eastAsia="宋体"/>
          <w:b/>
          <w:bCs/>
          <w:color w:val="000000"/>
          <w:sz w:val="24"/>
          <w:szCs w:val="24"/>
        </w:rPr>
        <w:t>快不快</w:t>
      </w:r>
      <w:r>
        <w:rPr>
          <w:rFonts w:ascii="Times New Roman" w:eastAsia="宋体"/>
          <w:color w:val="000000"/>
          <w:sz w:val="24"/>
          <w:szCs w:val="24"/>
        </w:rPr>
        <w:t>、故障定位得</w:t>
      </w:r>
      <w:r>
        <w:rPr>
          <w:rFonts w:ascii="Times New Roman" w:eastAsia="宋体"/>
          <w:b/>
          <w:bCs/>
          <w:color w:val="000000"/>
          <w:sz w:val="24"/>
          <w:szCs w:val="24"/>
        </w:rPr>
        <w:t>准不准</w:t>
      </w:r>
      <w:r>
        <w:rPr>
          <w:rFonts w:ascii="Times New Roman" w:eastAsia="宋体"/>
          <w:color w:val="000000"/>
          <w:sz w:val="24"/>
          <w:szCs w:val="24"/>
        </w:rPr>
        <w:t>、记录学习</w:t>
      </w:r>
      <w:r>
        <w:rPr>
          <w:rFonts w:ascii="Times New Roman" w:eastAsia="宋体"/>
          <w:b/>
          <w:bCs/>
          <w:color w:val="000000"/>
          <w:sz w:val="24"/>
          <w:szCs w:val="24"/>
        </w:rPr>
        <w:t>方不方便</w:t>
      </w:r>
      <w:r>
        <w:rPr>
          <w:rFonts w:ascii="Times New Roman" w:eastAsia="宋体"/>
          <w:color w:val="000000"/>
          <w:sz w:val="24"/>
          <w:szCs w:val="24"/>
        </w:rPr>
        <w:t>、AI 给出的每一条结论</w:t>
      </w:r>
      <w:r>
        <w:rPr>
          <w:rFonts w:ascii="Times New Roman" w:eastAsia="宋体"/>
          <w:b/>
          <w:bCs/>
          <w:color w:val="000000"/>
          <w:sz w:val="24"/>
          <w:szCs w:val="24"/>
        </w:rPr>
        <w:t>可不可信</w:t>
      </w:r>
      <w:r>
        <w:rPr>
          <w:rFonts w:ascii="Times New Roman" w:eastAsia="宋体"/>
          <w:color w:val="000000"/>
          <w:sz w:val="24"/>
          <w:szCs w:val="24"/>
        </w:rPr>
        <w:t>、经验</w:t>
      </w:r>
      <w:r>
        <w:rPr>
          <w:rFonts w:ascii="Times New Roman" w:eastAsia="宋体"/>
          <w:b/>
          <w:bCs/>
          <w:color w:val="000000"/>
          <w:sz w:val="24"/>
          <w:szCs w:val="24"/>
        </w:rPr>
        <w:t>可不可复核</w:t>
      </w:r>
      <w:r>
        <w:rPr>
          <w:rFonts w:ascii="Times New Roman" w:eastAsia="宋体"/>
          <w:color w:val="000000"/>
          <w:sz w:val="24"/>
          <w:szCs w:val="24"/>
        </w:rPr>
        <w:t>！</w:t>
      </w:r>
    </w:p>
    <w:p w14:paraId="199AA73D">
      <w:pPr>
        <w:pStyle w:val="3"/>
        <w:keepNext/>
        <w:spacing w:before="280" w:after="140" w:line="340" w:lineRule="atLeast"/>
      </w:pPr>
      <w:r>
        <w:rPr>
          <w:rFonts w:ascii="Calibri" w:eastAsia="黑体"/>
          <w:b/>
          <w:bCs/>
          <w:color w:val="0F4DBF"/>
          <w:sz w:val="27"/>
          <w:szCs w:val="27"/>
        </w:rPr>
        <w:t>1.2 目标用户与典型场景</w:t>
      </w:r>
    </w:p>
    <w:p w14:paraId="7700341D">
      <w:pPr>
        <w:spacing w:after="60" w:line="312" w:lineRule="auto"/>
        <w:ind w:firstLine="480"/>
        <w:jc w:val="both"/>
      </w:pPr>
      <w:r>
        <w:rPr>
          <w:rFonts w:ascii="Times New Roman" w:eastAsia="宋体"/>
          <w:b/>
          <w:bCs/>
          <w:color w:val="0B1F3A"/>
          <w:sz w:val="24"/>
          <w:szCs w:val="24"/>
        </w:rPr>
        <w:t>主要用户：</w:t>
      </w:r>
      <w:r>
        <w:rPr>
          <w:rFonts w:ascii="Times New Roman" w:eastAsia="宋体"/>
          <w:color w:val="000000"/>
          <w:sz w:val="24"/>
          <w:szCs w:val="24"/>
        </w:rPr>
        <w:t>深信服一线工程师与驻场运维人员。他们在客户现场需要快速透视网络质量、感知内网结构、按标准流程排障，并把实施过程留档。</w:t>
      </w:r>
    </w:p>
    <w:p w14:paraId="5F1E5819">
      <w:pPr>
        <w:spacing w:after="60" w:line="312" w:lineRule="auto"/>
        <w:ind w:firstLine="480"/>
        <w:jc w:val="both"/>
      </w:pPr>
      <w:r>
        <w:rPr>
          <w:rFonts w:ascii="Times New Roman" w:eastAsia="宋体"/>
          <w:b/>
          <w:bCs/>
          <w:color w:val="0B1F3A"/>
          <w:sz w:val="24"/>
          <w:szCs w:val="24"/>
        </w:rPr>
        <w:t>协同用户：</w:t>
      </w:r>
      <w:r>
        <w:rPr>
          <w:rFonts w:ascii="Times New Roman" w:eastAsia="宋体"/>
          <w:color w:val="000000"/>
          <w:sz w:val="24"/>
          <w:szCs w:val="24"/>
        </w:rPr>
        <w:t>售前与销售同事。在向客户介绍方案时，可用内网感知自动生成拓扑与部署建议，辅助讲解上架与组网路径。</w:t>
      </w:r>
    </w:p>
    <w:p w14:paraId="206539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0" w:line="360" w:lineRule="auto"/>
        <w:ind w:firstLine="482"/>
        <w:jc w:val="both"/>
        <w:textAlignment w:val="auto"/>
        <w:rPr>
          <w:rFonts w:hint="default" w:eastAsia="宋体"/>
          <w:lang w:val="en-US" w:eastAsia="zh-CN"/>
        </w:rPr>
      </w:pPr>
      <w:r>
        <w:rPr>
          <w:rFonts w:ascii="Times New Roman" w:eastAsia="宋体"/>
          <w:b/>
          <w:bCs/>
          <w:color w:val="0B1F3A"/>
          <w:sz w:val="24"/>
          <w:szCs w:val="24"/>
        </w:rPr>
        <w:t>典型场景：</w:t>
      </w:r>
      <w:r>
        <w:rPr>
          <w:rFonts w:ascii="Times New Roman" w:eastAsia="宋体"/>
          <w:color w:val="000000"/>
          <w:sz w:val="24"/>
          <w:szCs w:val="24"/>
        </w:rPr>
        <w:t>工程师携带笔记本抵达客户现场，接入客户内网（网线或 Wi-Fi）：上门前需要确认线路质量基线；到现场需要快速摸清网段、网关与在线设备；遇到设备故障需要按深信服标准流程定位；交付结束后需要把过程整理成结构化复盘报告。</w:t>
      </w:r>
      <w:r>
        <w:rPr>
          <w:rFonts w:hint="eastAsia"/>
          <w:b/>
          <w:bCs/>
          <w:color w:val="F79646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功能场景对应：①</w:t>
      </w:r>
      <w:r>
        <w:rPr>
          <w:rFonts w:ascii="宋体" w:hAnsi="宋体" w:eastAsia="宋体" w:cs="宋体"/>
          <w:sz w:val="24"/>
          <w:szCs w:val="24"/>
        </w:rPr>
        <w:t>灵犀测速：用于定位线路丢包、延迟问题，区分故障在内网或公网；可持续测速并生成排障报告，完成关键数据对比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等</w:t>
      </w:r>
      <w:r>
        <w:rPr>
          <w:rFonts w:ascii="宋体" w:hAnsi="宋体" w:eastAsia="宋体" w:cs="宋体"/>
          <w:sz w:val="24"/>
          <w:szCs w:val="24"/>
        </w:rPr>
        <w:t>。</w:t>
      </w:r>
      <w:r>
        <w:rPr>
          <w:rFonts w:hint="eastAsia"/>
          <w:b/>
          <w:bCs/>
          <w:color w:val="F79646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②</w:t>
      </w:r>
      <w:r>
        <w:rPr>
          <w:rFonts w:ascii="宋体" w:hAnsi="宋体" w:eastAsia="宋体" w:cs="宋体"/>
          <w:sz w:val="24"/>
          <w:szCs w:val="24"/>
        </w:rPr>
        <w:t>内网感知：工程师可快速探测客户内网拓扑，获取部署规划建议，支持拓扑导入导出；销售也可直接用来向客户演示，简单易用。</w:t>
      </w:r>
      <w:r>
        <w:rPr>
          <w:rFonts w:hint="eastAsia"/>
          <w:b/>
          <w:bCs/>
          <w:color w:val="F79646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③</w:t>
      </w:r>
      <w:r>
        <w:rPr>
          <w:rFonts w:hint="eastAsia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随心记录：解决工程实施中需要记录，但是来回切换截图工具、word文档等太过麻烦和繁琐的问题</w:t>
      </w:r>
      <w:r>
        <w:rPr>
          <w:rFonts w:hint="eastAsia"/>
          <w:b/>
          <w:bCs/>
          <w:color w:val="F79646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④</w:t>
      </w: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故障诊断助手：解决传统的AI助手都是通用型，无法做到对针对方向的针对处理，并且生成的回复和思考过程杂乱无章的问题</w:t>
      </w:r>
      <w:r>
        <w:rPr>
          <w:rFonts w:hint="eastAsia"/>
          <w:b/>
          <w:bCs/>
          <w:color w:val="F79646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⑤</w:t>
      </w:r>
      <w:r>
        <w:rPr>
          <w:rFonts w:ascii="宋体" w:hAnsi="宋体" w:eastAsia="宋体" w:cs="宋体"/>
          <w:sz w:val="24"/>
          <w:szCs w:val="24"/>
        </w:rPr>
        <w:t>案例复盘：</w:t>
      </w:r>
      <w:r>
        <w:rPr>
          <w:rFonts w:hint="eastAsia" w:ascii="宋体" w:hAnsi="宋体" w:cs="宋体"/>
          <w:sz w:val="24"/>
          <w:szCs w:val="24"/>
          <w:lang w:val="en-US" w:eastAsia="zh-CN"/>
        </w:rPr>
        <w:t>解决</w:t>
      </w:r>
      <w:r>
        <w:rPr>
          <w:rFonts w:ascii="宋体" w:hAnsi="宋体" w:eastAsia="宋体" w:cs="宋体"/>
          <w:sz w:val="24"/>
          <w:szCs w:val="24"/>
        </w:rPr>
        <w:t>项目实施经验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无法沉淀、</w:t>
      </w:r>
      <w:r>
        <w:rPr>
          <w:rFonts w:ascii="宋体" w:hAnsi="宋体" w:eastAsia="宋体" w:cs="宋体"/>
          <w:sz w:val="24"/>
          <w:szCs w:val="24"/>
        </w:rPr>
        <w:t>复盘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和</w:t>
      </w:r>
      <w:r>
        <w:rPr>
          <w:rFonts w:ascii="宋体" w:hAnsi="宋体" w:eastAsia="宋体" w:cs="宋体"/>
          <w:sz w:val="24"/>
          <w:szCs w:val="24"/>
        </w:rPr>
        <w:t>总结</w:t>
      </w:r>
      <w:r>
        <w:rPr>
          <w:rFonts w:hint="eastAsia" w:ascii="宋体" w:hAnsi="宋体" w:cs="宋体"/>
          <w:sz w:val="24"/>
          <w:szCs w:val="24"/>
          <w:lang w:val="en-US" w:eastAsia="zh-CN"/>
        </w:rPr>
        <w:t>问题</w:t>
      </w:r>
      <w:r>
        <w:rPr>
          <w:rFonts w:ascii="宋体" w:hAnsi="宋体" w:eastAsia="宋体" w:cs="宋体"/>
          <w:sz w:val="24"/>
          <w:szCs w:val="24"/>
        </w:rPr>
        <w:t>。</w:t>
      </w:r>
      <w:r>
        <w:rPr>
          <w:rFonts w:hint="eastAsia"/>
          <w:color w:val="000000"/>
          <w:sz w:val="24"/>
          <w:szCs w:val="24"/>
          <w:lang w:val="en-US" w:eastAsia="zh-CN"/>
        </w:rPr>
        <w:t>（</w:t>
      </w:r>
      <w:r>
        <w:rPr>
          <w:rFonts w:ascii="宋体" w:hAnsi="宋体" w:eastAsia="宋体" w:cs="宋体"/>
          <w:sz w:val="24"/>
          <w:szCs w:val="24"/>
        </w:rPr>
        <w:t>不同功能可适配多种使用场景，并非仅适用于以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上</w:t>
      </w:r>
      <w:r>
        <w:rPr>
          <w:rFonts w:ascii="宋体" w:hAnsi="宋体" w:eastAsia="宋体" w:cs="宋体"/>
          <w:sz w:val="24"/>
          <w:szCs w:val="24"/>
        </w:rPr>
        <w:t>场景。</w:t>
      </w:r>
      <w:r>
        <w:rPr>
          <w:rFonts w:hint="eastAsia"/>
          <w:color w:val="000000"/>
          <w:sz w:val="24"/>
          <w:szCs w:val="24"/>
          <w:lang w:val="en-US" w:eastAsia="zh-CN"/>
        </w:rPr>
        <w:t>）</w:t>
      </w:r>
    </w:p>
    <w:p w14:paraId="12F4EEB8">
      <w:pPr>
        <w:pStyle w:val="3"/>
        <w:keepNext/>
        <w:spacing w:before="280" w:after="140" w:line="340" w:lineRule="atLeast"/>
      </w:pPr>
      <w:r>
        <w:rPr>
          <w:rFonts w:ascii="Calibri" w:eastAsia="黑体"/>
          <w:b/>
          <w:bCs/>
          <w:color w:val="0F4DBF"/>
          <w:sz w:val="27"/>
          <w:szCs w:val="27"/>
        </w:rPr>
        <w:t>1.3 核心痛点与需求对应</w:t>
      </w:r>
    </w:p>
    <w:p w14:paraId="68F9A27C">
      <w:pPr>
        <w:keepNext/>
        <w:spacing w:before="160" w:after="80"/>
        <w:jc w:val="center"/>
      </w:pPr>
      <w:r>
        <w:rPr>
          <w:rFonts w:ascii="Calibri" w:eastAsia="黑体"/>
          <w:color w:val="595959"/>
          <w:sz w:val="20"/>
          <w:szCs w:val="20"/>
        </w:rPr>
        <w:t>表 1　核心痛点与需求对应</w:t>
      </w:r>
    </w:p>
    <w:tbl>
      <w:tblPr>
        <w:tblStyle w:val="11"/>
        <w:tblW w:w="5000" w:type="pct"/>
        <w:tblInd w:w="0" w:type="dxa"/>
        <w:tblBorders>
          <w:top w:val="single" w:color="0B1F3A" w:sz="8" w:space="0"/>
          <w:left w:val="none" w:color="auto" w:sz="0" w:space="0"/>
          <w:bottom w:val="single" w:color="0B1F3A" w:sz="8" w:space="0"/>
          <w:right w:val="none" w:color="auto" w:sz="0" w:space="0"/>
          <w:insideH w:val="single" w:color="C9D4E2" w:sz="2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7"/>
        <w:gridCol w:w="3164"/>
        <w:gridCol w:w="3867"/>
      </w:tblGrid>
      <w:tr w14:paraId="55943108">
        <w:tblPrEx>
          <w:tblBorders>
            <w:top w:val="single" w:color="0B1F3A" w:sz="8" w:space="0"/>
            <w:left w:val="none" w:color="auto" w:sz="0" w:space="0"/>
            <w:bottom w:val="single" w:color="0B1F3A" w:sz="8" w:space="0"/>
            <w:right w:val="none" w:color="auto" w:sz="0" w:space="0"/>
            <w:insideH w:val="single" w:color="C9D4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8B38A">
            <w:pPr>
              <w:spacing w:line="280" w:lineRule="auto"/>
              <w:jc w:val="left"/>
            </w:pPr>
            <w:r>
              <w:rPr>
                <w:rFonts w:ascii="Calibri" w:eastAsia="黑体"/>
                <w:b/>
                <w:bCs/>
                <w:color w:val="0B1F3A"/>
                <w:sz w:val="21"/>
                <w:szCs w:val="21"/>
              </w:rPr>
              <w:t>用户痛点</w:t>
            </w:r>
          </w:p>
        </w:tc>
        <w:tc>
          <w:tcPr>
            <w:tcW w:w="1800" w:type="pct"/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364F6">
            <w:pPr>
              <w:spacing w:line="280" w:lineRule="auto"/>
              <w:jc w:val="left"/>
            </w:pPr>
            <w:r>
              <w:rPr>
                <w:rFonts w:ascii="Calibri" w:eastAsia="黑体"/>
                <w:b/>
                <w:bCs/>
                <w:color w:val="0B1F3A"/>
                <w:sz w:val="21"/>
                <w:szCs w:val="21"/>
              </w:rPr>
              <w:t>实际影响</w:t>
            </w:r>
          </w:p>
        </w:tc>
        <w:tc>
          <w:tcPr>
            <w:tcW w:w="2200" w:type="pct"/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FCB8A">
            <w:pPr>
              <w:spacing w:line="280" w:lineRule="auto"/>
              <w:jc w:val="left"/>
            </w:pPr>
            <w:r>
              <w:rPr>
                <w:rFonts w:ascii="Calibri" w:eastAsia="黑体"/>
                <w:b/>
                <w:bCs/>
                <w:color w:val="0B1F3A"/>
                <w:sz w:val="21"/>
                <w:szCs w:val="21"/>
              </w:rPr>
              <w:t>对应设计</w:t>
            </w:r>
          </w:p>
        </w:tc>
      </w:tr>
      <w:tr w14:paraId="0E3FE80C">
        <w:tblPrEx>
          <w:tblBorders>
            <w:top w:val="single" w:color="0B1F3A" w:sz="8" w:space="0"/>
            <w:left w:val="none" w:color="auto" w:sz="0" w:space="0"/>
            <w:bottom w:val="single" w:color="0B1F3A" w:sz="8" w:space="0"/>
            <w:right w:val="none" w:color="auto" w:sz="0" w:space="0"/>
            <w:insideH w:val="single" w:color="C9D4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99E0C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网络状况未知</w:t>
            </w:r>
          </w:p>
        </w:tc>
        <w:tc>
          <w:tcPr>
            <w:tcW w:w="18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11986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现场多工具拼凑测试，数据散落无法定位瓶颈段</w:t>
            </w:r>
          </w:p>
        </w:tc>
        <w:tc>
          <w:tcPr>
            <w:tcW w:w="22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00D32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公网/内网</w:t>
            </w:r>
            <w:r>
              <w:rPr>
                <w:rFonts w:ascii="Calibri" w:eastAsia="宋体"/>
                <w:b/>
                <w:bCs/>
                <w:color w:val="F79646" w:themeColor="accent6"/>
                <w:sz w:val="21"/>
                <w:szCs w:val="21"/>
                <w14:textFill>
                  <w14:solidFill>
                    <w14:schemeClr w14:val="accent6"/>
                  </w14:solidFill>
                </w14:textFill>
              </w:rPr>
              <w:t>双模式</w:t>
            </w: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一键测速，全链路透视 + 逐跳丢包定位 + 灵犀 AI 解读，并且支持</w:t>
            </w:r>
            <w:r>
              <w:rPr>
                <w:rFonts w:ascii="Calibri" w:eastAsia="宋体"/>
                <w:b/>
                <w:bCs/>
                <w:color w:val="F79646" w:themeColor="accent6"/>
                <w:sz w:val="21"/>
                <w:szCs w:val="21"/>
                <w14:textFill>
                  <w14:solidFill>
                    <w14:schemeClr w14:val="accent6"/>
                  </w14:solidFill>
                </w14:textFill>
              </w:rPr>
              <w:t>历史溯源</w:t>
            </w: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对比关键数据、支持持续测速并设置指定条件在指定路径</w:t>
            </w:r>
            <w:r>
              <w:rPr>
                <w:rFonts w:ascii="Calibri" w:eastAsia="宋体"/>
                <w:b/>
                <w:bCs/>
                <w:color w:val="F79646" w:themeColor="accent6"/>
                <w:sz w:val="21"/>
                <w:szCs w:val="21"/>
                <w14:textFill>
                  <w14:solidFill>
                    <w14:schemeClr w14:val="accent6"/>
                  </w14:solidFill>
                </w14:textFill>
              </w:rPr>
              <w:t>输出检验报告</w:t>
            </w:r>
          </w:p>
        </w:tc>
      </w:tr>
      <w:tr w14:paraId="1900186E">
        <w:tblPrEx>
          <w:tblBorders>
            <w:top w:val="single" w:color="0B1F3A" w:sz="8" w:space="0"/>
            <w:left w:val="none" w:color="auto" w:sz="0" w:space="0"/>
            <w:bottom w:val="single" w:color="0B1F3A" w:sz="8" w:space="0"/>
            <w:right w:val="none" w:color="auto" w:sz="0" w:space="0"/>
            <w:insideH w:val="single" w:color="C9D4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5BE1A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内网结构靠问靠猜</w:t>
            </w:r>
          </w:p>
        </w:tc>
        <w:tc>
          <w:tcPr>
            <w:tcW w:w="18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6FF16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手工画拓扑费时易错，部署方案凭经验</w:t>
            </w:r>
          </w:p>
        </w:tc>
        <w:tc>
          <w:tcPr>
            <w:tcW w:w="22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1C14E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真实探针实测网关网段与设备指纹，自动生成拓扑与</w:t>
            </w:r>
            <w:r>
              <w:rPr>
                <w:rFonts w:ascii="Calibri" w:eastAsia="宋体"/>
                <w:b/>
                <w:bCs/>
                <w:color w:val="F79646" w:themeColor="accent6"/>
                <w:sz w:val="21"/>
                <w:szCs w:val="21"/>
                <w14:textFill>
                  <w14:solidFill>
                    <w14:schemeClr w14:val="accent6"/>
                  </w14:solidFill>
                </w14:textFill>
              </w:rPr>
              <w:t>部署模式建议</w:t>
            </w: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，支持导入已有拓扑，支持自由创造拓扑，支持导出保存</w:t>
            </w:r>
          </w:p>
        </w:tc>
      </w:tr>
      <w:tr w14:paraId="690ECC1B">
        <w:tblPrEx>
          <w:tblBorders>
            <w:top w:val="single" w:color="0B1F3A" w:sz="8" w:space="0"/>
            <w:left w:val="none" w:color="auto" w:sz="0" w:space="0"/>
            <w:bottom w:val="single" w:color="0B1F3A" w:sz="8" w:space="0"/>
            <w:right w:val="none" w:color="auto" w:sz="0" w:space="0"/>
            <w:insideH w:val="single" w:color="C9D4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8D175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资料难找、经验断层</w:t>
            </w:r>
          </w:p>
        </w:tc>
        <w:tc>
          <w:tcPr>
            <w:tcW w:w="18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32429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现场翻文档效率低，新人排障靠碰运气</w:t>
            </w:r>
          </w:p>
        </w:tc>
        <w:tc>
          <w:tcPr>
            <w:tcW w:w="22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0BE1F">
            <w:pPr>
              <w:spacing w:line="28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FastGPT 双知识库 + 引导式排查，按产品线组织、答案附检索依据</w:t>
            </w:r>
            <w:r>
              <w:rPr>
                <w:rFonts w:hint="eastAsia" w:ascii="Calibri"/>
                <w:b w:val="0"/>
                <w:bCs w:val="0"/>
                <w:color w:val="000000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Calibri"/>
                <w:b/>
                <w:bCs/>
                <w:color w:val="F79646" w:themeColor="accent6"/>
                <w:sz w:val="21"/>
                <w:szCs w:val="21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以表格形式输出</w:t>
            </w:r>
            <w:r>
              <w:rPr>
                <w:rFonts w:hint="eastAsia" w:ascii="Calibri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并支持Excel格式导出</w:t>
            </w:r>
          </w:p>
        </w:tc>
      </w:tr>
      <w:tr w14:paraId="22BBFC9D">
        <w:tblPrEx>
          <w:tblBorders>
            <w:top w:val="single" w:color="0B1F3A" w:sz="8" w:space="0"/>
            <w:left w:val="none" w:color="auto" w:sz="0" w:space="0"/>
            <w:bottom w:val="single" w:color="0B1F3A" w:sz="8" w:space="0"/>
            <w:right w:val="none" w:color="auto" w:sz="0" w:space="0"/>
            <w:insideH w:val="single" w:color="C9D4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D0102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AI 回答不可信</w:t>
            </w:r>
          </w:p>
        </w:tc>
        <w:tc>
          <w:tcPr>
            <w:tcW w:w="18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95004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通用大模型可能编造命令，现场不敢直接用，并且生成过程杂乱无章看不懂</w:t>
            </w:r>
          </w:p>
        </w:tc>
        <w:tc>
          <w:tcPr>
            <w:tcW w:w="22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17BDC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知识库强约束 + 结论引用溯源 + 高风险操作风险前置警告</w:t>
            </w:r>
          </w:p>
        </w:tc>
      </w:tr>
      <w:tr w14:paraId="008F4678">
        <w:tblPrEx>
          <w:tblBorders>
            <w:top w:val="single" w:color="0B1F3A" w:sz="8" w:space="0"/>
            <w:left w:val="none" w:color="auto" w:sz="0" w:space="0"/>
            <w:bottom w:val="single" w:color="0B1F3A" w:sz="8" w:space="0"/>
            <w:right w:val="none" w:color="auto" w:sz="0" w:space="0"/>
            <w:insideH w:val="single" w:color="C9D4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F6DDD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过程难记、复盘靠回忆</w:t>
            </w:r>
          </w:p>
        </w:tc>
        <w:tc>
          <w:tcPr>
            <w:tcW w:w="18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A69FC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实施与决策零散，报告靠憋</w:t>
            </w:r>
          </w:p>
        </w:tc>
        <w:tc>
          <w:tcPr>
            <w:tcW w:w="22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D35C2">
            <w:pPr>
              <w:spacing w:line="280" w:lineRule="auto"/>
              <w:jc w:val="left"/>
            </w:pPr>
            <w:r>
              <w:rPr>
                <w:rFonts w:ascii="Calibri" w:eastAsia="宋体"/>
                <w:b/>
                <w:bCs/>
                <w:color w:val="F79646" w:themeColor="accent6"/>
                <w:sz w:val="21"/>
                <w:szCs w:val="21"/>
                <w14:textFill>
                  <w14:solidFill>
                    <w14:schemeClr w14:val="accent6"/>
                  </w14:solidFill>
                </w14:textFill>
              </w:rPr>
              <w:t>全站悬浮白板随手记录</w:t>
            </w:r>
            <w:r>
              <w:rPr>
                <w:rFonts w:ascii="Calibri" w:eastAsia="宋体"/>
                <w:b w:val="0"/>
                <w:bCs w:val="0"/>
                <w:color w:val="F79646" w:themeColor="accent6"/>
                <w:sz w:val="21"/>
                <w:szCs w:val="21"/>
                <w14:textFill>
                  <w14:solidFill>
                    <w14:schemeClr w14:val="accent6"/>
                  </w14:solidFill>
                </w14:textFill>
              </w:rPr>
              <w:t xml:space="preserve"> </w:t>
            </w: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+ 案例复盘一键生成结构化报告</w:t>
            </w:r>
          </w:p>
        </w:tc>
      </w:tr>
    </w:tbl>
    <w:p w14:paraId="0508461A">
      <w:pPr>
        <w:pStyle w:val="3"/>
        <w:keepNext/>
        <w:spacing w:before="280" w:after="140" w:line="340" w:lineRule="atLeast"/>
      </w:pPr>
      <w:r>
        <w:rPr>
          <w:rFonts w:ascii="Calibri" w:eastAsia="黑体"/>
          <w:b/>
          <w:bCs/>
          <w:color w:val="0F4DBF"/>
          <w:sz w:val="27"/>
          <w:szCs w:val="27"/>
        </w:rPr>
        <w:t>1.4 设计目标与能力边界</w:t>
      </w:r>
    </w:p>
    <w:p w14:paraId="5BA6C43D">
      <w:pPr>
        <w:spacing w:after="60" w:line="312" w:lineRule="auto"/>
        <w:ind w:firstLine="480"/>
        <w:jc w:val="both"/>
      </w:pPr>
      <w:r>
        <w:rPr>
          <w:rFonts w:ascii="Times New Roman" w:eastAsia="宋体"/>
          <w:b/>
          <w:bCs/>
          <w:color w:val="0B1F3A"/>
          <w:sz w:val="24"/>
          <w:szCs w:val="24"/>
        </w:rPr>
        <w:t>AI 可以做：</w:t>
      </w:r>
      <w:r>
        <w:rPr>
          <w:rFonts w:ascii="Times New Roman" w:eastAsia="宋体"/>
          <w:color w:val="000000"/>
          <w:sz w:val="24"/>
          <w:szCs w:val="24"/>
        </w:rPr>
        <w:t>理解故障描述与粘贴的日志、检索双知识库、解释原因、给出分步排查建议、生成结构化复盘报告、解读测速指标并定位瓶颈。</w:t>
      </w:r>
    </w:p>
    <w:p w14:paraId="6BE8965C">
      <w:pPr>
        <w:spacing w:after="60" w:line="312" w:lineRule="auto"/>
        <w:ind w:firstLine="480"/>
        <w:jc w:val="both"/>
      </w:pPr>
      <w:r>
        <w:rPr>
          <w:rFonts w:ascii="Times New Roman" w:eastAsia="宋体"/>
          <w:b/>
          <w:bCs/>
          <w:color w:val="0B1F3A"/>
          <w:sz w:val="24"/>
          <w:szCs w:val="24"/>
        </w:rPr>
        <w:t>AI 不直接做：</w:t>
      </w:r>
      <w:r>
        <w:rPr>
          <w:rFonts w:ascii="Times New Roman" w:eastAsia="宋体"/>
          <w:color w:val="000000"/>
          <w:sz w:val="24"/>
          <w:szCs w:val="24"/>
        </w:rPr>
        <w:t>不自动执行任何网络命令或配置变更；重启设备、割接切换等高风险操作仅作风险前置警告，必须由工程师判断执行；知识库没有依据的问题明确说明，不编造答案。</w:t>
      </w:r>
    </w:p>
    <w:p w14:paraId="21A12053">
      <w:pPr>
        <w:spacing w:after="60" w:line="312" w:lineRule="auto"/>
        <w:ind w:firstLine="480"/>
        <w:jc w:val="both"/>
      </w:pPr>
      <w:r>
        <w:rPr>
          <w:rFonts w:ascii="Times New Roman" w:eastAsia="宋体"/>
          <w:b/>
          <w:bCs/>
          <w:color w:val="0B1F3A"/>
          <w:sz w:val="24"/>
          <w:szCs w:val="24"/>
        </w:rPr>
        <w:t>系统必须做：</w:t>
      </w:r>
      <w:r>
        <w:rPr>
          <w:rFonts w:ascii="Times New Roman" w:eastAsia="宋体"/>
          <w:color w:val="000000"/>
          <w:sz w:val="24"/>
          <w:szCs w:val="24"/>
        </w:rPr>
        <w:t>结论附可溯源依据与检索路径；全流程操作指引让新人零培训上手；未配置大模型密钥时自动降级为功能完整的演示模式；数据本地存储，敏感信息不出客户环境。</w:t>
      </w:r>
    </w:p>
    <w:p w14:paraId="6BCC16DE">
      <w:pPr>
        <w:pStyle w:val="3"/>
        <w:keepNext/>
        <w:spacing w:before="280" w:after="140" w:line="340" w:lineRule="atLeast"/>
      </w:pPr>
      <w:r>
        <w:rPr>
          <w:rFonts w:ascii="Calibri" w:eastAsia="黑体"/>
          <w:b/>
          <w:bCs/>
          <w:color w:val="0F4DBF"/>
          <w:sz w:val="27"/>
          <w:szCs w:val="27"/>
        </w:rPr>
        <w:t>1.5 核心交付工作流</w:t>
      </w:r>
    </w:p>
    <w:p w14:paraId="1591981B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工程师接入客户现场后，沿「接入 → 感知 → 测速 → 诊断 → 复盘」推进：内网感知输出网络基线与部署建议，灵犀测速透视链路质量并定位瓶颈段，灵犀诊断带工程师按知识库标准流程排查，案例复盘把处理过程沉淀为可复用方法论，复盘结论回流知识库，成为下一次交付的依据。</w:t>
      </w:r>
      <w:r>
        <w:rPr>
          <w:rFonts w:ascii="Times New Roman" w:eastAsia="宋体"/>
          <w:b/>
          <w:bCs/>
          <w:color w:val="000000"/>
          <w:sz w:val="24"/>
          <w:szCs w:val="24"/>
        </w:rPr>
        <w:t>五个环节环环相扣</w:t>
      </w:r>
      <w:r>
        <w:rPr>
          <w:rFonts w:ascii="Times New Roman" w:eastAsia="宋体"/>
          <w:color w:val="000000"/>
          <w:sz w:val="24"/>
          <w:szCs w:val="24"/>
        </w:rPr>
        <w:t>，形成知识飞轮。</w:t>
      </w:r>
    </w:p>
    <w:p w14:paraId="41ECFDD3">
      <w:pPr>
        <w:keepNext/>
        <w:spacing w:before="100" w:after="50"/>
        <w:jc w:val="center"/>
      </w:pPr>
      <w:r>
        <w:drawing>
          <wp:inline distT="0" distB="0" distL="0" distR="0">
            <wp:extent cx="4143375" cy="24574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D89AA">
      <w:pPr>
        <w:spacing w:after="120"/>
        <w:jc w:val="center"/>
      </w:pPr>
      <w:r>
        <w:rPr>
          <w:rFonts w:ascii="Calibri" w:eastAsia="黑体"/>
          <w:color w:val="595959"/>
          <w:sz w:val="20"/>
          <w:szCs w:val="20"/>
        </w:rPr>
        <w:t>图 1　CyberNWT 交付全流程闭环</w:t>
      </w:r>
    </w:p>
    <w:p w14:paraId="3C8CF886">
      <w:pPr>
        <w:pStyle w:val="3"/>
        <w:keepNext/>
        <w:spacing w:before="280" w:after="140" w:line="340" w:lineRule="atLeast"/>
      </w:pPr>
      <w:r>
        <w:rPr>
          <w:rFonts w:ascii="Calibri" w:eastAsia="黑体"/>
          <w:b/>
          <w:bCs/>
          <w:color w:val="0F4DBF"/>
          <w:sz w:val="27"/>
          <w:szCs w:val="27"/>
        </w:rPr>
        <w:t>1.6 需求优先级与验收标准</w:t>
      </w:r>
    </w:p>
    <w:p w14:paraId="4E5DF0AA">
      <w:pPr>
        <w:keepNext/>
        <w:spacing w:before="160" w:after="80"/>
        <w:jc w:val="center"/>
      </w:pPr>
      <w:r>
        <w:rPr>
          <w:rFonts w:ascii="Calibri" w:eastAsia="黑体"/>
          <w:color w:val="595959"/>
          <w:sz w:val="20"/>
          <w:szCs w:val="20"/>
        </w:rPr>
        <w:t>表 2　需求优先级与验收标准</w:t>
      </w:r>
    </w:p>
    <w:tbl>
      <w:tblPr>
        <w:tblStyle w:val="11"/>
        <w:tblW w:w="5000" w:type="pct"/>
        <w:tblInd w:w="0" w:type="dxa"/>
        <w:tblBorders>
          <w:top w:val="single" w:color="0B1F3A" w:sz="8" w:space="0"/>
          <w:left w:val="none" w:color="auto" w:sz="0" w:space="0"/>
          <w:bottom w:val="single" w:color="0B1F3A" w:sz="8" w:space="0"/>
          <w:right w:val="none" w:color="auto" w:sz="0" w:space="0"/>
          <w:insideH w:val="single" w:color="C9D4E2" w:sz="2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82"/>
        <w:gridCol w:w="3515"/>
        <w:gridCol w:w="3691"/>
      </w:tblGrid>
      <w:tr w14:paraId="154A4A7D">
        <w:tblPrEx>
          <w:tblBorders>
            <w:top w:val="single" w:color="0B1F3A" w:sz="8" w:space="0"/>
            <w:left w:val="none" w:color="auto" w:sz="0" w:space="0"/>
            <w:bottom w:val="single" w:color="0B1F3A" w:sz="8" w:space="0"/>
            <w:right w:val="none" w:color="auto" w:sz="0" w:space="0"/>
            <w:insideH w:val="single" w:color="C9D4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5550">
            <w:pPr>
              <w:spacing w:line="280" w:lineRule="auto"/>
              <w:jc w:val="left"/>
            </w:pPr>
            <w:r>
              <w:rPr>
                <w:rFonts w:ascii="Calibri" w:eastAsia="黑体"/>
                <w:b/>
                <w:bCs/>
                <w:color w:val="0B1F3A"/>
                <w:sz w:val="21"/>
                <w:szCs w:val="21"/>
              </w:rPr>
              <w:t>优先级</w:t>
            </w:r>
          </w:p>
        </w:tc>
        <w:tc>
          <w:tcPr>
            <w:tcW w:w="2000" w:type="pct"/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E297A">
            <w:pPr>
              <w:spacing w:line="280" w:lineRule="auto"/>
              <w:jc w:val="left"/>
            </w:pPr>
            <w:r>
              <w:rPr>
                <w:rFonts w:ascii="Calibri" w:eastAsia="黑体"/>
                <w:b/>
                <w:bCs/>
                <w:color w:val="0B1F3A"/>
                <w:sz w:val="21"/>
                <w:szCs w:val="21"/>
              </w:rPr>
              <w:t>需求内容</w:t>
            </w:r>
          </w:p>
        </w:tc>
        <w:tc>
          <w:tcPr>
            <w:tcW w:w="2100" w:type="pct"/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DE61B">
            <w:pPr>
              <w:spacing w:line="280" w:lineRule="auto"/>
              <w:jc w:val="left"/>
            </w:pPr>
            <w:r>
              <w:rPr>
                <w:rFonts w:ascii="Calibri" w:eastAsia="黑体"/>
                <w:b/>
                <w:bCs/>
                <w:color w:val="0B1F3A"/>
                <w:sz w:val="21"/>
                <w:szCs w:val="21"/>
              </w:rPr>
              <w:t>验收标准</w:t>
            </w:r>
          </w:p>
        </w:tc>
      </w:tr>
      <w:tr w14:paraId="2AF693B6">
        <w:tblPrEx>
          <w:tblBorders>
            <w:top w:val="single" w:color="0B1F3A" w:sz="8" w:space="0"/>
            <w:left w:val="none" w:color="auto" w:sz="0" w:space="0"/>
            <w:bottom w:val="single" w:color="0B1F3A" w:sz="8" w:space="0"/>
            <w:right w:val="none" w:color="auto" w:sz="0" w:space="0"/>
            <w:insideH w:val="single" w:color="C9D4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F84F9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P0 必须完成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838F1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五大功能模块业务闭环、双知识库问答、引用与风险前置</w:t>
            </w:r>
          </w:p>
        </w:tc>
        <w:tc>
          <w:tcPr>
            <w:tcW w:w="2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FF37D">
            <w:pPr>
              <w:spacing w:line="280" w:lineRule="auto"/>
              <w:jc w:val="left"/>
            </w:pPr>
            <w:r>
              <w:rPr>
                <w:rFonts w:hint="eastAsia" w:ascii="Calibri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用户</w:t>
            </w: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按动线 3 分钟走通核心链路；关键结论有依据；高风险步骤有警告不自动执行</w:t>
            </w:r>
          </w:p>
        </w:tc>
      </w:tr>
      <w:tr w14:paraId="0548AF0B">
        <w:tblPrEx>
          <w:tblBorders>
            <w:top w:val="single" w:color="0B1F3A" w:sz="8" w:space="0"/>
            <w:left w:val="none" w:color="auto" w:sz="0" w:space="0"/>
            <w:bottom w:val="single" w:color="0B1F3A" w:sz="8" w:space="0"/>
            <w:right w:val="none" w:color="auto" w:sz="0" w:space="0"/>
            <w:insideH w:val="single" w:color="C9D4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0D8EE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P1 应该完成（v2 已交付）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4CD00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多网卡识别与线路选择、物理线路视图、持续测速报告、附件升级（文档/视频）、复盘插图、全程操作指引</w:t>
            </w:r>
          </w:p>
        </w:tc>
        <w:tc>
          <w:tcPr>
            <w:tcW w:w="2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FF3B5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每项功能在推荐动线中可独立演示并复现，无需额外培训</w:t>
            </w:r>
          </w:p>
        </w:tc>
      </w:tr>
      <w:tr w14:paraId="3F00099C">
        <w:tblPrEx>
          <w:tblBorders>
            <w:top w:val="single" w:color="0B1F3A" w:sz="8" w:space="0"/>
            <w:left w:val="none" w:color="auto" w:sz="0" w:space="0"/>
            <w:bottom w:val="single" w:color="0B1F3A" w:sz="8" w:space="0"/>
            <w:right w:val="none" w:color="auto" w:sz="0" w:space="0"/>
            <w:insideH w:val="single" w:color="C9D4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568B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P2 计划增强（均已交付）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0008E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人工基线对比实验、AI 输出一致性抽检、公网演示页</w:t>
            </w:r>
          </w:p>
        </w:tc>
        <w:tc>
          <w:tcPr>
            <w:tcW w:w="2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0C212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基线与一致率数据已实测（见 4.2）；公网演示页随作品包上线</w:t>
            </w:r>
          </w:p>
        </w:tc>
      </w:tr>
    </w:tbl>
    <w:p w14:paraId="379AAC5B">
      <w:pPr>
        <w:pStyle w:val="2"/>
        <w:keepNext/>
        <w:pBdr>
          <w:bottom w:val="single" w:color="1B66FF" w:sz="6" w:space="4"/>
        </w:pBdr>
        <w:spacing w:before="360" w:after="200" w:line="380" w:lineRule="atLeast"/>
      </w:pPr>
      <w:r>
        <w:rPr>
          <w:rFonts w:ascii="Calibri" w:eastAsia="黑体"/>
          <w:b/>
          <w:bCs/>
          <w:color w:val="0B1F3A"/>
          <w:sz w:val="32"/>
          <w:szCs w:val="32"/>
        </w:rPr>
        <w:t>二、特色与创新</w:t>
      </w:r>
    </w:p>
    <w:p w14:paraId="7BFB2A05">
      <w:pPr>
        <w:pStyle w:val="3"/>
        <w:keepNext/>
        <w:spacing w:before="280" w:after="140" w:line="340" w:lineRule="atLeast"/>
      </w:pPr>
      <w:r>
        <w:rPr>
          <w:rFonts w:ascii="Calibri" w:eastAsia="黑体"/>
          <w:b/>
          <w:bCs/>
          <w:color w:val="0F4DBF"/>
          <w:sz w:val="27"/>
          <w:szCs w:val="27"/>
        </w:rPr>
        <w:t>2.1 产品定位：不是又一个聊天机器人</w:t>
      </w:r>
    </w:p>
    <w:p w14:paraId="20807A3F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CyberNWT 的差异化起点是场景：交付现场需要的是「测得出来、看得清楚、查得有据、留得下来」的一体化终端，而不是一个通用对话窗口。产品把 AI 嵌入测速解读、故障排查、报告生成等具体环节，AI 是流程里的专家角色，聊天框只是它的界面之一。</w:t>
      </w:r>
    </w:p>
    <w:p w14:paraId="635D84D7">
      <w:pPr>
        <w:pStyle w:val="3"/>
        <w:keepNext/>
        <w:spacing w:before="280" w:after="140" w:line="340" w:lineRule="atLeast"/>
      </w:pPr>
      <w:r>
        <w:rPr>
          <w:rFonts w:ascii="Calibri" w:eastAsia="黑体"/>
          <w:b/>
          <w:bCs/>
          <w:color w:val="0F4DBF"/>
          <w:sz w:val="27"/>
          <w:szCs w:val="27"/>
        </w:rPr>
        <w:t>2.2 创新：全链路透视的灵犀测速</w:t>
      </w:r>
    </w:p>
    <w:p w14:paraId="38D795ED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灵犀测速是一款「赛博型」测速工具：公网按定位就近选节点，下行阿里云 + 腾讯云 + 华为云三 CDN 分流，上行按定位扫描大陆全部 Ookla 官方节点多分片并发，</w:t>
      </w:r>
      <w:r>
        <w:rPr>
          <w:rFonts w:ascii="Times New Roman" w:eastAsia="宋体"/>
          <w:b/>
          <w:bCs/>
          <w:color w:val="000000"/>
          <w:sz w:val="24"/>
          <w:szCs w:val="24"/>
        </w:rPr>
        <w:t>不怕单节点偏差</w:t>
      </w:r>
      <w:r>
        <w:rPr>
          <w:rFonts w:ascii="Times New Roman" w:eastAsia="宋体"/>
          <w:color w:val="000000"/>
          <w:sz w:val="24"/>
          <w:szCs w:val="24"/>
        </w:rPr>
        <w:t>；延迟中位、抖动、逐跳路径与负载丢包同步采集，带宽、样本数、字节量与时长界面直标，口径透明，可与第三方工具对标。</w:t>
      </w:r>
    </w:p>
    <w:p w14:paraId="2CEEA68D">
      <w:pPr>
        <w:spacing w:after="60" w:line="312" w:lineRule="auto"/>
        <w:ind w:firstLine="480"/>
        <w:jc w:val="both"/>
        <w:rPr>
          <w:rFonts w:ascii="Times New Roman" w:eastAsia="宋体"/>
          <w:color w:val="000000"/>
          <w:sz w:val="24"/>
          <w:szCs w:val="24"/>
        </w:rPr>
      </w:pPr>
      <w:r>
        <w:rPr>
          <w:rFonts w:ascii="Times New Roman" w:eastAsia="宋体"/>
          <w:color w:val="000000"/>
          <w:sz w:val="24"/>
          <w:szCs w:val="24"/>
        </w:rPr>
        <w:t>内网测速能识别本机多块网卡并指定线路测试（对应客户多网卡场景），对端留空即测网关，也可按现场服务器填 IP：端口；</w:t>
      </w:r>
      <w:r>
        <w:rPr>
          <w:rFonts w:ascii="Times New Roman" w:eastAsia="宋体"/>
          <w:b/>
          <w:bCs/>
          <w:color w:val="000000"/>
          <w:sz w:val="24"/>
          <w:szCs w:val="24"/>
        </w:rPr>
        <w:t>对端是网关等设备时自动提示「仅测延迟」，避免误导性带宽。</w:t>
      </w:r>
      <w:r>
        <w:rPr>
          <w:rFonts w:ascii="Times New Roman" w:eastAsia="宋体"/>
          <w:color w:val="000000"/>
          <w:sz w:val="24"/>
          <w:szCs w:val="24"/>
        </w:rPr>
        <w:t>「查看线路」逐跳标记延迟与丢包，灵犀解读给带宽档位、瓶颈定位与优化建议；历史记录悬停即看今昔对比（仅同模式、同并发下可比，不会张冠李戴）。</w:t>
      </w:r>
    </w:p>
    <w:p w14:paraId="499EDE52">
      <w:pPr>
        <w:spacing w:after="60" w:line="312" w:lineRule="auto"/>
        <w:ind w:firstLine="480"/>
        <w:jc w:val="both"/>
        <w:rPr>
          <w:rFonts w:ascii="Times New Roman" w:eastAsia="宋体"/>
          <w:color w:val="000000"/>
          <w:sz w:val="24"/>
          <w:szCs w:val="24"/>
        </w:rPr>
      </w:pPr>
      <w:r>
        <w:drawing>
          <wp:inline distT="0" distB="0" distL="114300" distR="114300">
            <wp:extent cx="2406015" cy="2317750"/>
            <wp:effectExtent l="0" t="0" r="1905" b="1397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6015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66340" cy="2313940"/>
            <wp:effectExtent l="0" t="0" r="2540" b="254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6340" cy="231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475DD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要「边测边观察、最后出报告」v2 的持续测速按时间或轮数自动循环，结束后在指定路径生成</w:t>
      </w:r>
      <w:r>
        <w:rPr>
          <w:rFonts w:ascii="Times New Roman" w:eastAsia="宋体"/>
          <w:b/>
          <w:bCs/>
          <w:color w:val="000000"/>
          <w:sz w:val="24"/>
          <w:szCs w:val="24"/>
        </w:rPr>
        <w:t>分析与诊断报告</w:t>
      </w:r>
      <w:r>
        <w:rPr>
          <w:rFonts w:ascii="Times New Roman" w:eastAsia="宋体"/>
          <w:color w:val="000000"/>
          <w:sz w:val="24"/>
          <w:szCs w:val="24"/>
        </w:rPr>
        <w:t>。</w:t>
      </w:r>
    </w:p>
    <w:p w14:paraId="3D3E2EC3">
      <w:pPr>
        <w:pStyle w:val="3"/>
        <w:keepNext/>
        <w:spacing w:before="280" w:after="140" w:line="340" w:lineRule="atLeast"/>
      </w:pPr>
      <w:r>
        <w:rPr>
          <w:rFonts w:ascii="Calibri" w:eastAsia="黑体"/>
          <w:b/>
          <w:bCs/>
          <w:color w:val="0F4DBF"/>
          <w:sz w:val="27"/>
          <w:szCs w:val="27"/>
        </w:rPr>
        <w:t>2.3 创新：知识库强约束的引导式诊断</w:t>
      </w:r>
    </w:p>
    <w:p w14:paraId="464A3A9B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以往的通用 AI 什么都能聊，答案却冗杂无章，现场工程师看不懂也没耐心看。灵犀诊断助手</w:t>
      </w:r>
      <w:r>
        <w:rPr>
          <w:rFonts w:ascii="Times New Roman" w:eastAsia="宋体"/>
          <w:b/>
          <w:bCs/>
          <w:color w:val="000000"/>
          <w:sz w:val="24"/>
          <w:szCs w:val="24"/>
        </w:rPr>
        <w:t>「术业有专攻」</w:t>
      </w:r>
      <w:r>
        <w:rPr>
          <w:rFonts w:ascii="Times New Roman" w:eastAsia="宋体"/>
          <w:color w:val="000000"/>
          <w:sz w:val="24"/>
          <w:szCs w:val="24"/>
        </w:rPr>
        <w:t>：对接深信服故障诊断知识库与 Skill 工作流，像 30 年经验专家带新人——不甩答案，给结构化排查路径。以一次真实割接故障提问为例：先展示全程中文、有序易读的深度思考（实测 19 秒），随后「结论先行」给判断，一带一格列清单（步骤 / 命令 / 预期结果 / 异常处理），</w:t>
      </w:r>
      <w:r>
        <w:rPr>
          <w:rFonts w:ascii="Times New Roman" w:eastAsia="宋体"/>
          <w:b/>
          <w:bCs/>
          <w:color w:val="000000"/>
          <w:sz w:val="24"/>
          <w:szCs w:val="24"/>
        </w:rPr>
        <w:t>一键导出 Excel 带到现场</w:t>
      </w:r>
      <w:r>
        <w:rPr>
          <w:rFonts w:ascii="Times New Roman" w:eastAsia="宋体"/>
          <w:color w:val="000000"/>
          <w:sz w:val="24"/>
          <w:szCs w:val="24"/>
        </w:rPr>
        <w:t>，最后主动追问 3 个待补充信息——问题没解决不用新开会话，随时补充、继续深入。</w:t>
      </w:r>
    </w:p>
    <w:p w14:paraId="1A11A957">
      <w:pPr>
        <w:spacing w:after="60" w:line="312" w:lineRule="auto"/>
        <w:ind w:firstLine="480"/>
        <w:jc w:val="both"/>
      </w:pPr>
      <w:r>
        <w:rPr>
          <w:rFonts w:ascii="Times New Roman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可信度靠三重机制</w:t>
      </w:r>
      <w:r>
        <w:rPr>
          <w:rFonts w:ascii="Times New Roman" w:eastAsia="宋体"/>
          <w:color w:val="0000FF"/>
          <w:sz w:val="24"/>
          <w:szCs w:val="24"/>
        </w:rPr>
        <w:t>：</w:t>
      </w:r>
      <w:r>
        <w:rPr>
          <w:rFonts w:ascii="Times New Roman" w:eastAsia="宋体"/>
          <w:color w:val="000000"/>
          <w:sz w:val="24"/>
          <w:szCs w:val="24"/>
        </w:rPr>
        <w:t>知识库强约束——判断必须基于知识库，库里没有就明说，严禁编造；引用溯源——结论关联来源（如设备故障处理手册），可回查原文核对；风险前置——重启、主备切换等高风险操作输出琥珀色警告与变更窗口提醒。</w:t>
      </w:r>
    </w:p>
    <w:p w14:paraId="029290C2">
      <w:pPr>
        <w:pStyle w:val="3"/>
        <w:keepNext/>
        <w:spacing w:before="280" w:after="140" w:line="340" w:lineRule="atLeast"/>
      </w:pPr>
      <w:r>
        <w:rPr>
          <w:rFonts w:ascii="Calibri" w:eastAsia="黑体"/>
          <w:b/>
          <w:bCs/>
          <w:color w:val="0F4DBF"/>
          <w:sz w:val="27"/>
          <w:szCs w:val="27"/>
        </w:rPr>
        <w:t>2.4 创新：实测驱动的内网感知与部署建议</w:t>
      </w:r>
    </w:p>
    <w:p w14:paraId="6257B403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内网感知有</w:t>
      </w:r>
      <w:r>
        <w:rPr>
          <w:rFonts w:ascii="Times New Roman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三种打开方式</w:t>
      </w:r>
      <w:r>
        <w:rPr>
          <w:rFonts w:ascii="Times New Roman" w:eastAsia="宋体"/>
          <w:color w:val="000000"/>
          <w:sz w:val="24"/>
          <w:szCs w:val="24"/>
        </w:rPr>
        <w:t>，适应不同现场与角色：①「开始感知」自动实测——五步探针（本机网卡 → 网关/网段 → 设备感知 → 指纹识别 → 拓扑与建议）全程实测，以「实测数据」徽章区分实测与规划节点，感知不全可手动补充，填写部署规划还能得到针对性建议；②「已有拓扑」导入图片或 .topo 文件，导入后继续编辑；③从零自由搭建，用工具栏创造所需拓扑。产出面向两类角色：技术岗判断设备怎么上架部署，销售岗现场生成拓扑给客户讲解。部署建议不是模板话术，而是实测推理——实测单网段平面网络、在线终端 7 台时，推荐网桥（透明串接）模式并逐条给理由；设备指纹能认出打印机（JetDirect 9100）等终端，选填交换机 SNMP 团体体还可拉出真实物理链路。</w:t>
      </w:r>
    </w:p>
    <w:p w14:paraId="740CEC5D">
      <w:pPr>
        <w:pStyle w:val="3"/>
        <w:keepNext/>
        <w:spacing w:before="280" w:after="140" w:line="340" w:lineRule="atLeast"/>
      </w:pPr>
      <w:r>
        <w:rPr>
          <w:rFonts w:ascii="Calibri" w:eastAsia="黑体"/>
          <w:b/>
          <w:bCs/>
          <w:color w:val="0F4DBF"/>
          <w:sz w:val="27"/>
          <w:szCs w:val="27"/>
        </w:rPr>
        <w:t>2.5 创新：随心记录，全程悬浮的随手记</w:t>
      </w:r>
    </w:p>
    <w:p w14:paraId="6BA107BD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工程实施中经常要记录、标记关键内容，来回切换截图工具和文档软件特别打断思路——随心记录就是为</w:t>
      </w:r>
      <w:r>
        <w:rPr>
          <w:rFonts w:ascii="Times New Roman" w:eastAsia="宋体"/>
          <w:b/>
          <w:bCs/>
          <w:color w:val="000000"/>
          <w:sz w:val="28"/>
          <w:szCs w:val="28"/>
        </w:rPr>
        <w:t>这个痛点生的小创新</w:t>
      </w:r>
      <w:r>
        <w:rPr>
          <w:rFonts w:ascii="Times New Roman" w:eastAsia="宋体"/>
          <w:color w:val="000000"/>
          <w:sz w:val="24"/>
          <w:szCs w:val="24"/>
        </w:rPr>
        <w:t>。它是</w:t>
      </w:r>
      <w:r>
        <w:rPr>
          <w:rFonts w:ascii="Times New Roman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全站悬浮</w:t>
      </w:r>
      <w:r>
        <w:rPr>
          <w:rFonts w:ascii="Times New Roman" w:eastAsia="宋体"/>
          <w:color w:val="000000"/>
          <w:sz w:val="24"/>
          <w:szCs w:val="24"/>
        </w:rPr>
        <w:t>组件：任意页面右下角随时展开、窗口自由拉伸，画笔 / 橡皮 / 截图标注 / 打字 / 网格齐备，Ctrl+C/V/Z 快捷键与「鼠标」模式灵活选对象，自动保存本地、一键导出 PNG，别处复制的内容直接粘贴进来一起记。和五个模块并行可用——边测速、边排查、边记录，交付留痕不靠回忆。</w:t>
      </w:r>
    </w:p>
    <w:p w14:paraId="57B29522">
      <w:pPr>
        <w:pStyle w:val="3"/>
        <w:keepNext/>
        <w:spacing w:before="280" w:after="140" w:line="340" w:lineRule="atLeast"/>
      </w:pPr>
      <w:r>
        <w:rPr>
          <w:rFonts w:ascii="Calibri" w:eastAsia="黑体"/>
          <w:b/>
          <w:bCs/>
          <w:color w:val="0F4DBF"/>
          <w:sz w:val="27"/>
          <w:szCs w:val="27"/>
        </w:rPr>
        <w:t>2.6 与常见做法的差异</w:t>
      </w:r>
    </w:p>
    <w:p w14:paraId="7B5645D0">
      <w:pPr>
        <w:keepNext/>
        <w:spacing w:before="160" w:after="80"/>
        <w:jc w:val="center"/>
      </w:pPr>
      <w:r>
        <w:rPr>
          <w:rFonts w:ascii="Calibri" w:eastAsia="黑体"/>
          <w:color w:val="595959"/>
          <w:sz w:val="20"/>
          <w:szCs w:val="20"/>
        </w:rPr>
        <w:t>表 3　与常见做法的差异</w:t>
      </w:r>
    </w:p>
    <w:tbl>
      <w:tblPr>
        <w:tblStyle w:val="11"/>
        <w:tblW w:w="5000" w:type="pct"/>
        <w:tblInd w:w="0" w:type="dxa"/>
        <w:tblBorders>
          <w:top w:val="single" w:color="0B1F3A" w:sz="8" w:space="0"/>
          <w:left w:val="none" w:color="auto" w:sz="0" w:space="0"/>
          <w:bottom w:val="single" w:color="0B1F3A" w:sz="8" w:space="0"/>
          <w:right w:val="none" w:color="auto" w:sz="0" w:space="0"/>
          <w:insideH w:val="single" w:color="C9D4E2" w:sz="2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30"/>
        <w:gridCol w:w="3339"/>
        <w:gridCol w:w="4219"/>
      </w:tblGrid>
      <w:tr w14:paraId="79EA215F">
        <w:tblPrEx>
          <w:tblBorders>
            <w:top w:val="single" w:color="0B1F3A" w:sz="8" w:space="0"/>
            <w:left w:val="none" w:color="auto" w:sz="0" w:space="0"/>
            <w:bottom w:val="single" w:color="0B1F3A" w:sz="8" w:space="0"/>
            <w:right w:val="none" w:color="auto" w:sz="0" w:space="0"/>
            <w:insideH w:val="single" w:color="C9D4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00" w:type="pct"/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D3017">
            <w:pPr>
              <w:spacing w:line="280" w:lineRule="auto"/>
              <w:jc w:val="left"/>
            </w:pPr>
            <w:r>
              <w:rPr>
                <w:rFonts w:ascii="Calibri" w:eastAsia="黑体"/>
                <w:b/>
                <w:bCs/>
                <w:color w:val="0B1F3A"/>
                <w:sz w:val="21"/>
                <w:szCs w:val="21"/>
              </w:rPr>
              <w:t>对比维度</w:t>
            </w:r>
          </w:p>
        </w:tc>
        <w:tc>
          <w:tcPr>
            <w:tcW w:w="1900" w:type="pct"/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21301">
            <w:pPr>
              <w:spacing w:line="280" w:lineRule="auto"/>
              <w:jc w:val="left"/>
            </w:pPr>
            <w:r>
              <w:rPr>
                <w:rFonts w:ascii="Calibri" w:eastAsia="黑体"/>
                <w:b/>
                <w:bCs/>
                <w:color w:val="0B1F3A"/>
                <w:sz w:val="21"/>
                <w:szCs w:val="21"/>
              </w:rPr>
              <w:t>常见做法</w:t>
            </w:r>
          </w:p>
        </w:tc>
        <w:tc>
          <w:tcPr>
            <w:tcW w:w="2400" w:type="pct"/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0C238">
            <w:pPr>
              <w:spacing w:line="280" w:lineRule="auto"/>
              <w:jc w:val="left"/>
            </w:pPr>
            <w:r>
              <w:rPr>
                <w:rFonts w:ascii="Calibri" w:eastAsia="黑体"/>
                <w:b/>
                <w:bCs/>
                <w:color w:val="0B1F3A"/>
                <w:sz w:val="21"/>
                <w:szCs w:val="21"/>
              </w:rPr>
              <w:t>本作品做法</w:t>
            </w:r>
          </w:p>
        </w:tc>
      </w:tr>
      <w:tr w14:paraId="05F851E2">
        <w:tblPrEx>
          <w:tblBorders>
            <w:top w:val="single" w:color="0B1F3A" w:sz="8" w:space="0"/>
            <w:left w:val="none" w:color="auto" w:sz="0" w:space="0"/>
            <w:bottom w:val="single" w:color="0B1F3A" w:sz="8" w:space="0"/>
            <w:right w:val="none" w:color="auto" w:sz="0" w:space="0"/>
            <w:insideH w:val="single" w:color="C9D4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8CB5D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网络测试</w:t>
            </w:r>
          </w:p>
        </w:tc>
        <w:tc>
          <w:tcPr>
            <w:tcW w:w="1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71AB6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ping / tracert / 测速网站拼凑，数据散落</w:t>
            </w:r>
          </w:p>
        </w:tc>
        <w:tc>
          <w:tcPr>
            <w:tcW w:w="2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FAC64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公网内网双模式一键测速，全链路透视 + 逐跳丢包定位 + AI 解读，口径透明</w:t>
            </w:r>
          </w:p>
        </w:tc>
      </w:tr>
      <w:tr w14:paraId="7E1E8D9A">
        <w:tblPrEx>
          <w:tblBorders>
            <w:top w:val="single" w:color="0B1F3A" w:sz="8" w:space="0"/>
            <w:left w:val="none" w:color="auto" w:sz="0" w:space="0"/>
            <w:bottom w:val="single" w:color="0B1F3A" w:sz="8" w:space="0"/>
            <w:right w:val="none" w:color="auto" w:sz="0" w:space="0"/>
            <w:insideH w:val="single" w:color="C9D4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AA04E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拓扑绘制</w:t>
            </w:r>
          </w:p>
        </w:tc>
        <w:tc>
          <w:tcPr>
            <w:tcW w:w="1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817F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现场问询 + 手工 Visio，费时易过期</w:t>
            </w:r>
          </w:p>
        </w:tc>
        <w:tc>
          <w:tcPr>
            <w:tcW w:w="2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2D382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真实探针实测自动生成，实测/规划节点区分，附部署模式建议</w:t>
            </w:r>
          </w:p>
        </w:tc>
      </w:tr>
      <w:tr w14:paraId="5571FFD6">
        <w:tblPrEx>
          <w:tblBorders>
            <w:top w:val="single" w:color="0B1F3A" w:sz="8" w:space="0"/>
            <w:left w:val="none" w:color="auto" w:sz="0" w:space="0"/>
            <w:bottom w:val="single" w:color="0B1F3A" w:sz="8" w:space="0"/>
            <w:right w:val="none" w:color="auto" w:sz="0" w:space="0"/>
            <w:insideH w:val="single" w:color="C9D4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A4D65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故障排查</w:t>
            </w:r>
          </w:p>
        </w:tc>
        <w:tc>
          <w:tcPr>
            <w:tcW w:w="1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51E8F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通用大模型直接给答案，真假难辨</w:t>
            </w:r>
          </w:p>
        </w:tc>
        <w:tc>
          <w:tcPr>
            <w:tcW w:w="2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F60A0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知识库强约束 + 引导式分步排查 + 结论溯源 + 风险前置</w:t>
            </w:r>
          </w:p>
        </w:tc>
      </w:tr>
      <w:tr w14:paraId="5EB64D5C">
        <w:tblPrEx>
          <w:tblBorders>
            <w:top w:val="single" w:color="0B1F3A" w:sz="8" w:space="0"/>
            <w:left w:val="none" w:color="auto" w:sz="0" w:space="0"/>
            <w:bottom w:val="single" w:color="0B1F3A" w:sz="8" w:space="0"/>
            <w:right w:val="none" w:color="auto" w:sz="0" w:space="0"/>
            <w:insideH w:val="single" w:color="C9D4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72ACE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经验沉淀</w:t>
            </w:r>
          </w:p>
        </w:tc>
        <w:tc>
          <w:tcPr>
            <w:tcW w:w="1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60D7C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留在个人笔记或脑子里</w:t>
            </w:r>
          </w:p>
        </w:tc>
        <w:tc>
          <w:tcPr>
            <w:tcW w:w="2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98C27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悬浮白板随手记录，复盘一键成文并回流知识库，形成飞轮</w:t>
            </w:r>
          </w:p>
        </w:tc>
      </w:tr>
      <w:tr w14:paraId="7F1860A6">
        <w:tblPrEx>
          <w:tblBorders>
            <w:top w:val="single" w:color="0B1F3A" w:sz="8" w:space="0"/>
            <w:left w:val="none" w:color="auto" w:sz="0" w:space="0"/>
            <w:bottom w:val="single" w:color="0B1F3A" w:sz="8" w:space="0"/>
            <w:right w:val="none" w:color="auto" w:sz="0" w:space="0"/>
            <w:insideH w:val="single" w:color="C9D4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6558C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部署门槛</w:t>
            </w:r>
          </w:p>
        </w:tc>
        <w:tc>
          <w:tcPr>
            <w:tcW w:w="1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42F70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多组件依赖、安装配置复杂</w:t>
            </w:r>
          </w:p>
        </w:tc>
        <w:tc>
          <w:tcPr>
            <w:tcW w:w="2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4EED6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零第三方依赖，解压双击即用，未配密钥自动降级演示模式</w:t>
            </w:r>
          </w:p>
        </w:tc>
      </w:tr>
    </w:tbl>
    <w:p w14:paraId="27BBB4F3">
      <w:pPr>
        <w:pStyle w:val="3"/>
        <w:keepNext/>
        <w:spacing w:before="280" w:after="140" w:line="340" w:lineRule="atLeast"/>
      </w:pPr>
      <w:r>
        <w:rPr>
          <w:rFonts w:ascii="Calibri" w:eastAsia="黑体"/>
          <w:b/>
          <w:bCs/>
          <w:color w:val="0F4DBF"/>
          <w:sz w:val="27"/>
          <w:szCs w:val="27"/>
        </w:rPr>
        <w:t>2.7 技术架构</w:t>
      </w:r>
    </w:p>
    <w:p w14:paraId="2170FDC3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整体为前后端一体的轻量架构：前端为原生 HTML/JS 实现的五大功能模块（零前端框架）；服务层为 Python 标准库 HTTP 服务，承载静态资源、会话鉴权、测速引擎、探针引擎与 AI 代理；数据层使用本地 SQLite，用户、会话与测速历史不出本机；AI 能力层深度结合 FastGPT 平台，双知识库与 Skill 编排提供诊断与复盘能力，未配置密钥时自动降级演示模式。产品核心代码 15,043 行（14 个文件，不含构建与测试脚本）。</w:t>
      </w:r>
    </w:p>
    <w:p w14:paraId="3596ACCE">
      <w:pPr>
        <w:keepNext/>
        <w:spacing w:before="100" w:after="50"/>
        <w:jc w:val="center"/>
      </w:pPr>
      <w:r>
        <w:drawing>
          <wp:inline distT="0" distB="0" distL="0" distR="0">
            <wp:extent cx="4143375" cy="31051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577DE">
      <w:pPr>
        <w:spacing w:after="120"/>
        <w:jc w:val="center"/>
      </w:pPr>
      <w:r>
        <w:rPr>
          <w:rFonts w:ascii="Calibri" w:eastAsia="黑体"/>
          <w:color w:val="595959"/>
          <w:sz w:val="20"/>
          <w:szCs w:val="20"/>
        </w:rPr>
        <w:t>图 2　CyberNWT 技术架构</w:t>
      </w:r>
    </w:p>
    <w:p w14:paraId="1FDDC314">
      <w:pPr>
        <w:pStyle w:val="2"/>
        <w:keepNext/>
        <w:pBdr>
          <w:bottom w:val="single" w:color="1B66FF" w:sz="6" w:space="4"/>
        </w:pBdr>
        <w:spacing w:before="360" w:after="200" w:line="380" w:lineRule="atLeast"/>
        <w:rPr>
          <w:rFonts w:hint="default" w:eastAsia="黑体"/>
          <w:lang w:val="en-US" w:eastAsia="zh-CN"/>
        </w:rPr>
      </w:pPr>
      <w:r>
        <w:rPr>
          <w:rFonts w:ascii="Calibri" w:eastAsia="黑体"/>
          <w:b/>
          <w:bCs/>
          <w:color w:val="0B1F3A"/>
          <w:sz w:val="32"/>
          <w:szCs w:val="32"/>
        </w:rPr>
        <w:t>三、功能演示</w:t>
      </w:r>
      <w:r>
        <w:rPr>
          <w:rFonts w:hint="eastAsia"/>
          <w:b/>
          <w:bCs/>
          <w:color w:val="0B1F3A"/>
          <w:sz w:val="32"/>
          <w:szCs w:val="32"/>
          <w:lang w:val="en-US" w:eastAsia="zh-CN"/>
        </w:rPr>
        <w:t>-----------产品中的使用手册有视频录制</w:t>
      </w:r>
    </w:p>
    <w:p w14:paraId="54966710">
      <w:pPr>
        <w:pStyle w:val="3"/>
        <w:keepNext/>
        <w:spacing w:before="280" w:after="140" w:line="340" w:lineRule="atLeast"/>
      </w:pPr>
      <w:r>
        <w:rPr>
          <w:rFonts w:ascii="Calibri" w:eastAsia="黑体"/>
          <w:b/>
          <w:bCs/>
          <w:color w:val="0F4DBF"/>
          <w:sz w:val="27"/>
          <w:szCs w:val="27"/>
        </w:rPr>
        <w:t>3.1 推荐演示路径</w:t>
      </w:r>
    </w:p>
    <w:p w14:paraId="525B6D6B">
      <w:pPr>
        <w:spacing w:after="60" w:line="312" w:lineRule="auto"/>
        <w:ind w:firstLine="480"/>
        <w:jc w:val="both"/>
        <w:rPr>
          <w:rFonts w:hint="eastAsia" w:eastAsia="宋体"/>
          <w:lang w:eastAsia="zh-CN"/>
        </w:rPr>
      </w:pPr>
      <w:r>
        <w:rPr>
          <w:rFonts w:ascii="Times New Roman" w:eastAsia="宋体"/>
          <w:color w:val="000000"/>
          <w:sz w:val="24"/>
          <w:szCs w:val="24"/>
        </w:rPr>
        <w:t xml:space="preserve">演示围绕「接入一个客户现场并处理一次故障」展开，约 3 分钟：① </w:t>
      </w:r>
      <w:r>
        <w:rPr>
          <w:rFonts w:ascii="Times New Roman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演示账号</w:t>
      </w: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admin</w:t>
      </w:r>
      <w:r>
        <w:rPr>
          <w:rFonts w:ascii="Times New Roman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登录</w:t>
      </w:r>
      <w:r>
        <w:rPr>
          <w:rFonts w:ascii="Times New Roman" w:eastAsia="宋体"/>
          <w:color w:val="000000"/>
          <w:sz w:val="24"/>
          <w:szCs w:val="24"/>
        </w:rPr>
        <w:t>；② 查看首页全程操作指引；③ 灵犀测速一键公网测速，看全链路透视、灵犀解读与「查看线路」；④ 切内网测速看多网卡识别；⑤ 内网感知点「开始感知」，看实测拓扑与部署建议；⑥ 灵犀诊断提问，看深度思考与结构化清单；⑦ 案例复盘一键生成报告并导出 Word/PDF；⑧ 任意页面右下角唤起随心记录。</w:t>
      </w:r>
      <w:r>
        <w:rPr>
          <w:rFonts w:hint="eastAsia"/>
          <w:color w:val="000000"/>
          <w:sz w:val="24"/>
          <w:szCs w:val="24"/>
          <w:lang w:eastAsia="zh-CN"/>
        </w:rPr>
        <w:t>（</w:t>
      </w:r>
      <w:r>
        <w:rPr>
          <w:rFonts w:hint="eastAsia"/>
          <w:color w:val="000000"/>
          <w:sz w:val="24"/>
          <w:szCs w:val="24"/>
          <w:lang w:val="en-US" w:eastAsia="zh-CN"/>
        </w:rPr>
        <w:t>更多体验和使用请看产品中《使用手册》录制的视频，感谢！</w:t>
      </w:r>
      <w:bookmarkStart w:id="0" w:name="_GoBack"/>
      <w:bookmarkEnd w:id="0"/>
      <w:r>
        <w:rPr>
          <w:rFonts w:hint="eastAsia"/>
          <w:color w:val="000000"/>
          <w:sz w:val="24"/>
          <w:szCs w:val="24"/>
          <w:lang w:val="en-US" w:eastAsia="zh-CN"/>
        </w:rPr>
        <w:t>。</w:t>
      </w:r>
      <w:r>
        <w:rPr>
          <w:rFonts w:hint="eastAsia"/>
          <w:color w:val="000000"/>
          <w:sz w:val="24"/>
          <w:szCs w:val="24"/>
          <w:lang w:eastAsia="zh-CN"/>
        </w:rPr>
        <w:t>）</w:t>
      </w:r>
    </w:p>
    <w:p w14:paraId="1A02D2AA">
      <w:pPr>
        <w:pStyle w:val="3"/>
        <w:keepNext/>
        <w:spacing w:before="280" w:after="140" w:line="340" w:lineRule="atLeast"/>
      </w:pPr>
      <w:r>
        <w:rPr>
          <w:rFonts w:ascii="Calibri" w:eastAsia="黑体"/>
          <w:b/>
          <w:bCs/>
          <w:color w:val="0F4DBF"/>
          <w:sz w:val="27"/>
          <w:szCs w:val="27"/>
        </w:rPr>
        <w:t>3.2 登录与全程操作指引</w:t>
      </w:r>
    </w:p>
    <w:p w14:paraId="114A138E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登录页以深信服粒子 Logo 动效与玻璃拟态卡片呈现，支持注册与演示账号一键进入；首次进入首页自动弹出「使用手册」，按六大章节讲解产品理念与操作路径，可随时关闭并保存阅读进度。</w:t>
      </w:r>
      <w:r>
        <w:rPr>
          <w:rFonts w:ascii="Times New Roman" w:eastAsia="宋体"/>
          <w:b/>
          <w:bCs/>
          <w:color w:val="000000"/>
          <w:sz w:val="24"/>
          <w:szCs w:val="24"/>
        </w:rPr>
        <w:t>顶栏常驻</w:t>
      </w:r>
      <w:r>
        <w:rPr>
          <w:rFonts w:ascii="Times New Roman" w:eastAsia="宋体"/>
          <w:b/>
          <w:bCs/>
          <w:color w:val="F79646" w:themeColor="accent6"/>
          <w:sz w:val="24"/>
          <w:szCs w:val="24"/>
          <w14:textFill>
            <w14:solidFill>
              <w14:schemeClr w14:val="accent6"/>
            </w14:solidFill>
          </w14:textFill>
        </w:rPr>
        <w:t>「深信服社区」</w:t>
      </w:r>
      <w:r>
        <w:rPr>
          <w:rFonts w:ascii="Times New Roman" w:eastAsia="宋体"/>
          <w:b/>
          <w:bCs/>
          <w:color w:val="000000"/>
          <w:sz w:val="24"/>
          <w:szCs w:val="24"/>
        </w:rPr>
        <w:t>与</w:t>
      </w:r>
      <w:r>
        <w:rPr>
          <w:rFonts w:ascii="Times New Roman" w:eastAsia="宋体"/>
          <w:b/>
          <w:bCs/>
          <w:color w:val="F79646" w:themeColor="accent6"/>
          <w:sz w:val="24"/>
          <w:szCs w:val="24"/>
          <w14:textFill>
            <w14:solidFill>
              <w14:schemeClr w14:val="accent6"/>
            </w14:solidFill>
          </w14:textFill>
        </w:rPr>
        <w:t>「PRM 系统」</w:t>
      </w:r>
      <w:r>
        <w:rPr>
          <w:rFonts w:ascii="Times New Roman" w:eastAsia="宋体"/>
          <w:b/>
          <w:bCs/>
          <w:color w:val="000000"/>
          <w:sz w:val="24"/>
          <w:szCs w:val="24"/>
        </w:rPr>
        <w:t>两个入口——工程实施从来不是单打独斗，也不</w:t>
      </w:r>
      <w:r>
        <w:rPr>
          <w:rFonts w:hint="eastAsia"/>
          <w:b/>
          <w:bCs/>
          <w:color w:val="000000"/>
          <w:sz w:val="24"/>
          <w:szCs w:val="24"/>
          <w:lang w:val="en-US" w:eastAsia="zh-CN"/>
        </w:rPr>
        <w:t>是</w:t>
      </w:r>
      <w:r>
        <w:rPr>
          <w:rFonts w:ascii="Times New Roman" w:eastAsia="宋体"/>
          <w:b/>
          <w:bCs/>
          <w:color w:val="000000"/>
          <w:sz w:val="24"/>
          <w:szCs w:val="24"/>
        </w:rPr>
        <w:t>重复造轮子：</w:t>
      </w:r>
      <w:r>
        <w:rPr>
          <w:rFonts w:ascii="Times New Roman" w:eastAsia="宋体"/>
          <w:color w:val="000000"/>
          <w:sz w:val="24"/>
          <w:szCs w:val="24"/>
        </w:rPr>
        <w:t>遇到问题点社区求助、有心得随时分享，需要官方系统工具就进 PRM，在 Web 界面内完成全链路实施。</w:t>
      </w:r>
    </w:p>
    <w:p w14:paraId="23A8E3E5">
      <w:pPr>
        <w:keepNext/>
        <w:spacing w:before="100" w:after="50"/>
        <w:jc w:val="center"/>
      </w:pPr>
      <w:r>
        <w:drawing>
          <wp:inline distT="0" distB="0" distL="114300" distR="114300">
            <wp:extent cx="4173220" cy="2012950"/>
            <wp:effectExtent l="0" t="0" r="2540" b="13970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3220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44A96">
      <w:pPr>
        <w:spacing w:after="120"/>
        <w:jc w:val="center"/>
      </w:pPr>
      <w:r>
        <w:rPr>
          <w:rFonts w:ascii="Calibri" w:eastAsia="黑体"/>
          <w:color w:val="595959"/>
          <w:sz w:val="20"/>
          <w:szCs w:val="20"/>
        </w:rPr>
        <w:t>图 3　首页全程操作指引（使用手册）</w:t>
      </w:r>
    </w:p>
    <w:p w14:paraId="3E91A381">
      <w:pPr>
        <w:pStyle w:val="3"/>
        <w:keepNext/>
        <w:spacing w:before="280" w:after="140" w:line="340" w:lineRule="atLeast"/>
      </w:pPr>
      <w:r>
        <w:rPr>
          <w:rFonts w:ascii="Calibri" w:eastAsia="黑体"/>
          <w:b/>
          <w:bCs/>
          <w:color w:val="0F4DBF"/>
          <w:sz w:val="27"/>
          <w:szCs w:val="27"/>
        </w:rPr>
        <w:t>3.3 灵犀测速：公网/内网双模式全链路透视</w:t>
      </w:r>
    </w:p>
    <w:p w14:paraId="4142EF6A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以下为 2026-09-10 真实环境实测（广东联通宽带，自动节点，多流模式）：下行 467 Mbps、上行 57.7 Mbps、延迟中位 67.9 ms（10 样本）、抖动 7.1 ms，界面直接标注实测字节与时长口径。灵犀解读判定「公网下行·五百兆级线路」，并提示延迟偏高可能为跨省出口因素；逐跳表定位到具体丢包段；最近测试悬停即见今昔对比。面向「边测边观察、最后出报告」的场景，持续测速可按时间或轮数自动循环，结束后在指定路径生成分析与诊断报告。</w:t>
      </w:r>
    </w:p>
    <w:p w14:paraId="688E7531">
      <w:pPr>
        <w:keepNext/>
        <w:spacing w:before="100" w:after="50"/>
        <w:jc w:val="center"/>
      </w:pPr>
      <w:r>
        <w:drawing>
          <wp:inline distT="0" distB="0" distL="114300" distR="114300">
            <wp:extent cx="4139565" cy="2475230"/>
            <wp:effectExtent l="0" t="0" r="5715" b="8890"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9565" cy="247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4948A">
      <w:pPr>
        <w:spacing w:after="120"/>
        <w:jc w:val="center"/>
      </w:pPr>
      <w:r>
        <w:rPr>
          <w:rFonts w:ascii="Calibri" w:eastAsia="黑体"/>
          <w:color w:val="595959"/>
          <w:sz w:val="20"/>
          <w:szCs w:val="20"/>
        </w:rPr>
        <w:t>图 4　实测结果：逐跳丢包定位 + 灵犀 AI 解读 + 历史对比</w:t>
      </w:r>
    </w:p>
    <w:p w14:paraId="207D40B8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内网测速识别到本机 WLAN（961 Mbps 链路协商）与 VirtualBox 虚拟网卡两条线路，可选定网卡测试；</w:t>
      </w:r>
      <w:r>
        <w:rPr>
          <w:rFonts w:ascii="Times New Roman" w:eastAsia="宋体"/>
          <w:b/>
          <w:bCs/>
          <w:color w:val="000000"/>
          <w:sz w:val="24"/>
          <w:szCs w:val="24"/>
        </w:rPr>
        <w:t>对端智能判定识别出网关等网络设备并提示</w:t>
      </w:r>
      <w:r>
        <w:rPr>
          <w:rFonts w:ascii="Times New Roman" w:eastAsia="宋体"/>
          <w:color w:val="000000"/>
          <w:sz w:val="24"/>
          <w:szCs w:val="24"/>
        </w:rPr>
        <w:t>「仅测延迟」，避免误导性带宽结论。</w:t>
      </w:r>
    </w:p>
    <w:p w14:paraId="14D683F3">
      <w:pPr>
        <w:pStyle w:val="3"/>
        <w:keepNext/>
        <w:spacing w:before="280" w:after="140" w:line="340" w:lineRule="atLeast"/>
      </w:pPr>
      <w:r>
        <w:rPr>
          <w:rFonts w:ascii="Calibri" w:eastAsia="黑体"/>
          <w:b/>
          <w:bCs/>
          <w:color w:val="0F4DBF"/>
          <w:sz w:val="27"/>
          <w:szCs w:val="27"/>
        </w:rPr>
        <w:t>3.4 内网感知：实测拓扑与部署建议</w:t>
      </w:r>
    </w:p>
    <w:p w14:paraId="2F073436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点击「开始感知」后，五步探针流程自动推进，拓扑图标注「含实测数据」徽章：实测网关 192.168.10.254（含 MAC）、在线终端 7 台、打印机 16 由 JetDirect 9100 端口指纹识别并自动标记，深信服 AF 以橙色虚线呈现为规划节点；下方网段/VLAN 表、设备清单与部署模式建议逐项对应实测依据。</w:t>
      </w:r>
    </w:p>
    <w:p w14:paraId="5849E86A">
      <w:pPr>
        <w:keepNext/>
        <w:spacing w:before="100" w:after="50"/>
        <w:jc w:val="center"/>
      </w:pPr>
      <w:r>
        <w:drawing>
          <wp:inline distT="0" distB="0" distL="0" distR="0">
            <wp:extent cx="4143375" cy="233362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B753C">
      <w:pPr>
        <w:spacing w:after="120"/>
        <w:jc w:val="center"/>
      </w:pPr>
      <w:r>
        <w:rPr>
          <w:rFonts w:ascii="Calibri" w:eastAsia="黑体"/>
          <w:color w:val="595959"/>
          <w:sz w:val="20"/>
          <w:szCs w:val="20"/>
        </w:rPr>
        <w:t>图 5　内网感知：实测数据拓扑自动生成（含设备清单与部署模式建议）</w:t>
      </w:r>
    </w:p>
    <w:p w14:paraId="296F8D40">
      <w:pPr>
        <w:pStyle w:val="3"/>
        <w:keepNext/>
        <w:spacing w:before="280" w:after="140" w:line="340" w:lineRule="atLeast"/>
      </w:pPr>
      <w:r>
        <w:rPr>
          <w:rFonts w:ascii="Calibri" w:eastAsia="黑体"/>
          <w:b/>
          <w:bCs/>
          <w:color w:val="0F4DBF"/>
          <w:sz w:val="27"/>
          <w:szCs w:val="27"/>
        </w:rPr>
        <w:t>3.5 灵犀诊断助手：引导式排查</w:t>
      </w:r>
    </w:p>
    <w:p w14:paraId="4B7C2490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输入具体故障现象后，助手先展示深度思考过程（场景归类、知识库检索、排查路径组织），随后输出结论先行、一带一格的结构化清单，支持导出 Excel，并主动追问补充信息以继续深入。左侧提供整机上架、割接切换、VPN 隧道等 7 类场景快捷入口，支持粘贴日志与上传附件（图片、文档、8MB 内视频自动抽取关键帧）。</w:t>
      </w:r>
    </w:p>
    <w:p w14:paraId="6D4C8FBC">
      <w:pPr>
        <w:keepNext/>
        <w:spacing w:before="100" w:after="50"/>
        <w:jc w:val="center"/>
      </w:pPr>
      <w:r>
        <w:drawing>
          <wp:inline distT="0" distB="0" distL="0" distR="0">
            <wp:extent cx="4143375" cy="233362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FF94C">
      <w:pPr>
        <w:spacing w:after="120"/>
        <w:jc w:val="center"/>
      </w:pPr>
      <w:r>
        <w:rPr>
          <w:rFonts w:ascii="Calibri" w:eastAsia="黑体"/>
          <w:color w:val="595959"/>
          <w:sz w:val="20"/>
          <w:szCs w:val="20"/>
        </w:rPr>
        <w:t>图 6　灵犀诊断：深度思考可视化 + 结构化排查清单 + 智能追问</w:t>
      </w:r>
    </w:p>
    <w:p w14:paraId="512BC6BF">
      <w:pPr>
        <w:pStyle w:val="3"/>
        <w:keepNext/>
        <w:spacing w:before="280" w:after="140" w:line="340" w:lineRule="atLeast"/>
      </w:pPr>
      <w:r>
        <w:rPr>
          <w:rFonts w:ascii="Calibri" w:eastAsia="黑体"/>
          <w:b/>
          <w:bCs/>
          <w:color w:val="0F4DBF"/>
          <w:sz w:val="27"/>
          <w:szCs w:val="27"/>
        </w:rPr>
        <w:t>3.6 案例复盘：结构化报告一键生成</w:t>
      </w:r>
    </w:p>
    <w:p w14:paraId="2DC3A611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把项目过程「讲给灵犀听」——口语化表述即可：输入项目名称、勾选所属阶段、粘贴过程描述，AI 自动生成结构化复盘报告——问题与根因对照表、方法论要点、可复用文档清单、建议补充的信息；报告可在线编辑、插入图片，导出 Word / PDF，结论回流知识库形成经验沉淀。</w:t>
      </w:r>
    </w:p>
    <w:p w14:paraId="06AB0FAC">
      <w:pPr>
        <w:keepNext/>
        <w:spacing w:before="100" w:after="50"/>
        <w:jc w:val="center"/>
      </w:pPr>
      <w:r>
        <w:drawing>
          <wp:inline distT="0" distB="0" distL="0" distR="0">
            <wp:extent cx="4143375" cy="233362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336FA">
      <w:pPr>
        <w:spacing w:after="120"/>
        <w:jc w:val="center"/>
      </w:pPr>
      <w:r>
        <w:rPr>
          <w:rFonts w:ascii="Calibri" w:eastAsia="黑体"/>
          <w:color w:val="595959"/>
          <w:sz w:val="20"/>
          <w:szCs w:val="20"/>
        </w:rPr>
        <w:t>图 7　案例复盘：结构化复盘报告（根因表 + 方法论 + 文档清单）</w:t>
      </w:r>
    </w:p>
    <w:p w14:paraId="44D250E9">
      <w:pPr>
        <w:pStyle w:val="3"/>
        <w:keepNext/>
        <w:spacing w:before="280" w:after="140" w:line="340" w:lineRule="atLeast"/>
      </w:pPr>
      <w:r>
        <w:rPr>
          <w:rFonts w:ascii="Calibri" w:eastAsia="黑体"/>
          <w:b/>
          <w:bCs/>
          <w:color w:val="0F4DBF"/>
          <w:sz w:val="27"/>
          <w:szCs w:val="27"/>
        </w:rPr>
        <w:t>3.7 随心记录：全站悬浮白板</w:t>
      </w:r>
    </w:p>
    <w:p w14:paraId="73DFCDFF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任意页面右下角悬浮球一键唤起（能力清单见 2.5）——现场边测边记、随手截图标注，交付留痕不再依赖回忆。</w:t>
      </w:r>
    </w:p>
    <w:p w14:paraId="65AB3F5A">
      <w:pPr>
        <w:keepNext/>
        <w:spacing w:before="100" w:after="50"/>
        <w:jc w:val="center"/>
      </w:pPr>
      <w:r>
        <w:drawing>
          <wp:inline distT="0" distB="0" distL="0" distR="0">
            <wp:extent cx="4144010" cy="2333625"/>
            <wp:effectExtent l="0" t="0" r="1270" b="133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401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F9189">
      <w:pPr>
        <w:spacing w:after="120"/>
        <w:jc w:val="center"/>
      </w:pPr>
      <w:r>
        <w:rPr>
          <w:rFonts w:ascii="Calibri" w:eastAsia="黑体"/>
          <w:color w:val="595959"/>
          <w:sz w:val="20"/>
          <w:szCs w:val="20"/>
        </w:rPr>
        <w:t>图 8　随心记录：全站悬浮白板（截图标注 + 打字 + 自动保存）</w:t>
      </w:r>
    </w:p>
    <w:p w14:paraId="1EDFE44C">
      <w:pPr>
        <w:pStyle w:val="3"/>
        <w:keepNext/>
        <w:spacing w:before="280" w:after="140" w:line="340" w:lineRule="atLeast"/>
      </w:pPr>
      <w:r>
        <w:rPr>
          <w:rFonts w:ascii="Calibri" w:eastAsia="黑体"/>
          <w:b/>
          <w:bCs/>
          <w:color w:val="0F4DBF"/>
          <w:sz w:val="27"/>
          <w:szCs w:val="27"/>
        </w:rPr>
        <w:t>3.8 异常与能力边界</w:t>
      </w:r>
    </w:p>
    <w:p w14:paraId="272ED87D">
      <w:pPr>
        <w:spacing w:after="60" w:line="312" w:lineRule="auto"/>
        <w:ind w:firstLine="480"/>
        <w:jc w:val="both"/>
      </w:pPr>
      <w:r>
        <w:rPr>
          <w:rFonts w:ascii="Times New Roman" w:eastAsia="宋体"/>
          <w:b/>
          <w:bCs/>
          <w:color w:val="0B1F3A"/>
          <w:sz w:val="24"/>
          <w:szCs w:val="24"/>
        </w:rPr>
        <w:t>外网不可用：</w:t>
      </w:r>
      <w:r>
        <w:rPr>
          <w:rFonts w:ascii="Times New Roman" w:eastAsia="宋体"/>
          <w:color w:val="000000"/>
          <w:sz w:val="24"/>
          <w:szCs w:val="24"/>
        </w:rPr>
        <w:t>内网感知与测速的本地能力不依赖外网；公网测速不可达时给出明确错误提示，不编造结果。下图为断网环境下生成的规划模式拓扑，保障现场无网时依然可用。</w:t>
      </w:r>
    </w:p>
    <w:p w14:paraId="228CF629">
      <w:pPr>
        <w:keepNext/>
        <w:spacing w:before="100" w:after="50"/>
        <w:jc w:val="center"/>
      </w:pPr>
      <w:r>
        <w:drawing>
          <wp:inline distT="0" distB="0" distL="0" distR="0">
            <wp:extent cx="4143375" cy="248602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75D16">
      <w:pPr>
        <w:spacing w:after="120"/>
        <w:jc w:val="center"/>
      </w:pPr>
      <w:r>
        <w:rPr>
          <w:rFonts w:ascii="Calibri" w:eastAsia="黑体"/>
          <w:color w:val="595959"/>
          <w:sz w:val="20"/>
          <w:szCs w:val="20"/>
        </w:rPr>
        <w:t>图 9　断网兜底：无外网环境下仍可生成规划模式拓扑</w:t>
      </w:r>
    </w:p>
    <w:p w14:paraId="68D1AE0F">
      <w:pPr>
        <w:spacing w:after="60" w:line="312" w:lineRule="auto"/>
        <w:ind w:firstLine="480"/>
        <w:jc w:val="both"/>
      </w:pPr>
      <w:r>
        <w:rPr>
          <w:rFonts w:ascii="Times New Roman" w:eastAsia="宋体"/>
          <w:b/>
          <w:bCs/>
          <w:color w:val="0B1F3A"/>
          <w:sz w:val="24"/>
          <w:szCs w:val="24"/>
        </w:rPr>
        <w:t>模型或检索异常：</w:t>
      </w:r>
      <w:r>
        <w:rPr>
          <w:rFonts w:ascii="Times New Roman" w:eastAsia="宋体"/>
          <w:color w:val="000000"/>
          <w:sz w:val="24"/>
          <w:szCs w:val="24"/>
        </w:rPr>
        <w:t>未配置 FastGPT 密钥时自动以演示模式运行（本地规则生成，功能完整），页面来源标记如实区分；密钥失效给出清晰错误与重试入口。</w:t>
      </w:r>
    </w:p>
    <w:p w14:paraId="49970DE9">
      <w:pPr>
        <w:spacing w:after="60" w:line="312" w:lineRule="auto"/>
        <w:ind w:firstLine="480"/>
        <w:jc w:val="both"/>
      </w:pPr>
      <w:r>
        <w:rPr>
          <w:rFonts w:ascii="Times New Roman" w:eastAsia="宋体"/>
          <w:b/>
          <w:bCs/>
          <w:color w:val="0B1F3A"/>
          <w:sz w:val="24"/>
          <w:szCs w:val="24"/>
        </w:rPr>
        <w:t>异常输入：</w:t>
      </w:r>
      <w:r>
        <w:rPr>
          <w:rFonts w:ascii="Times New Roman" w:eastAsia="宋体"/>
          <w:color w:val="000000"/>
          <w:sz w:val="24"/>
          <w:szCs w:val="24"/>
        </w:rPr>
        <w:t>上传附件超过 8MB 或格式不支持时明确提示；对端地址不可达时自动降级为仅延迟测试并说明原因。已知失败场景与兜底方式在交付包 README 中逐条说明。</w:t>
      </w:r>
    </w:p>
    <w:p w14:paraId="60A186F3">
      <w:pPr>
        <w:pStyle w:val="2"/>
        <w:keepNext/>
        <w:pBdr>
          <w:bottom w:val="single" w:color="1B66FF" w:sz="6" w:space="4"/>
        </w:pBdr>
        <w:spacing w:before="360" w:after="200" w:line="380" w:lineRule="atLeast"/>
      </w:pPr>
      <w:r>
        <w:rPr>
          <w:rFonts w:ascii="Calibri" w:eastAsia="黑体"/>
          <w:b/>
          <w:bCs/>
          <w:color w:val="0B1F3A"/>
          <w:sz w:val="32"/>
          <w:szCs w:val="32"/>
        </w:rPr>
        <w:t>四、其他内容</w:t>
      </w:r>
    </w:p>
    <w:p w14:paraId="62EB199F">
      <w:pPr>
        <w:pStyle w:val="3"/>
        <w:keepNext/>
        <w:spacing w:before="280" w:after="140" w:line="340" w:lineRule="atLeast"/>
      </w:pPr>
      <w:r>
        <w:rPr>
          <w:rFonts w:ascii="Calibri" w:eastAsia="黑体"/>
          <w:b/>
          <w:bCs/>
          <w:color w:val="0F4DBF"/>
          <w:sz w:val="27"/>
          <w:szCs w:val="27"/>
        </w:rPr>
        <w:t>4.1 部署方式与使用门槛</w:t>
      </w:r>
    </w:p>
    <w:p w14:paraId="50E90577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交付物为约 37 MB 的本地产品包：解压双击 CyberNWT.exe 即可运行——自带 Python 3.11 便携运行时，目标电脑免安装、零依赖、无需管理员权限</w:t>
      </w:r>
      <w:r>
        <w:rPr>
          <w:rFonts w:hint="eastAsia"/>
          <w:color w:val="000000"/>
          <w:sz w:val="24"/>
          <w:szCs w:val="24"/>
          <w:lang w:eastAsia="zh-CN"/>
        </w:rPr>
        <w:t>，</w:t>
      </w:r>
      <w:r>
        <w:rPr>
          <w:rFonts w:hint="eastAsia"/>
          <w:b/>
          <w:bCs/>
          <w:color w:val="F79646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解决客户现场网络不可用、不必联网下载安装</w:t>
      </w:r>
      <w:r>
        <w:rPr>
          <w:rFonts w:ascii="Times New Roman" w:eastAsia="宋体"/>
          <w:color w:val="000000"/>
          <w:sz w:val="24"/>
          <w:szCs w:val="24"/>
        </w:rPr>
        <w:t>，启动后自动打开登录页，关闭窗口即停止服务（端口占用时可命令行换端口启动）。双击到页面可访问实测 1.8—2.5 秒。接入真实大模型只需在 app 目录创建 fastgpt.config 写入两行配置（OpenAI 兼容地址与密钥），重启即生效。产品包内置 README 与常见问题，非研发人员照步骤即可完成部署；另提供 GitHub Pages 公网演示页（含功能演示视频）作为在线体验入口，与离线包组合交付。</w:t>
      </w:r>
    </w:p>
    <w:p w14:paraId="53E8E0EE">
      <w:pPr>
        <w:pStyle w:val="3"/>
        <w:keepNext/>
        <w:spacing w:before="280" w:after="140" w:line="340" w:lineRule="atLeast"/>
      </w:pPr>
      <w:r>
        <w:rPr>
          <w:rFonts w:ascii="Calibri" w:eastAsia="黑体"/>
          <w:b/>
          <w:bCs/>
          <w:color w:val="0F4DBF"/>
          <w:sz w:val="27"/>
          <w:szCs w:val="27"/>
        </w:rPr>
        <w:t>4.2 测试方法与阶段性结果</w:t>
      </w:r>
    </w:p>
    <w:p w14:paraId="22241CBC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测试分三层：接口与安全层用内置自动化脚本回归（注册/登录/会话/权限/路由全链路断言）；功能层在真实宽带与真实内网环境端到端实测（本节「实测」数据均于 2026-09-10 至 11 日在 Windows 11 / Python 3.12 环境现场测得，测试对象为 CyberNWT v2 交付包）；价值层以同口径人工基线对比实验验证效率提升。含生成随机性的指标以均值与样本量呈现，不以单次最佳结果计。</w:t>
      </w:r>
    </w:p>
    <w:p w14:paraId="06AA4C28">
      <w:pPr>
        <w:spacing w:after="60" w:line="312" w:lineRule="auto"/>
        <w:ind w:firstLine="480"/>
        <w:jc w:val="both"/>
      </w:pPr>
      <w:r>
        <w:rPr>
          <w:rFonts w:ascii="Times New Roman" w:eastAsia="宋体"/>
          <w:b/>
          <w:bCs/>
          <w:color w:val="0B1F3A"/>
          <w:sz w:val="24"/>
          <w:szCs w:val="24"/>
        </w:rPr>
        <w:t>人工基线对比实验（2026-09-11 实测）：</w:t>
      </w:r>
      <w:r>
        <w:rPr>
          <w:rFonts w:ascii="Times New Roman" w:eastAsia="宋体"/>
          <w:color w:val="000000"/>
          <w:sz w:val="24"/>
          <w:szCs w:val="24"/>
        </w:rPr>
        <w:t>在同一台电脑、同一网段（192.168.10.0/24）上对比「获取内网完整拓扑信息」的耗时——人工逐 ping 扫描 254 个地址（-w 500，串行）实测 122.7 秒，且仅能得到存活地址列表；CyberNWT 一键感知接口两次实测 8.9 秒 / 11.8 秒，同时输出拓扑图、网段/VLAN 表、设备指纹与部署模式建议，效率提升约 11 倍。网络质量测试同理：人工 ping×10 + tracert 实测合计 43.5 秒仅获得延迟与路径两项结果，灵犀测速一键同场景额外输出上下行带宽、抖动、负载丢包与 AI 解读。</w:t>
      </w:r>
    </w:p>
    <w:p w14:paraId="226E1788">
      <w:pPr>
        <w:keepNext/>
        <w:spacing w:before="100" w:after="50"/>
        <w:jc w:val="center"/>
      </w:pPr>
      <w:r>
        <w:drawing>
          <wp:inline distT="0" distB="0" distL="0" distR="0">
            <wp:extent cx="4143375" cy="14097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58B48">
      <w:pPr>
        <w:spacing w:after="120"/>
        <w:jc w:val="center"/>
      </w:pPr>
      <w:r>
        <w:rPr>
          <w:rFonts w:ascii="Calibri" w:eastAsia="黑体"/>
          <w:color w:val="595959"/>
          <w:sz w:val="20"/>
          <w:szCs w:val="20"/>
        </w:rPr>
        <w:t>图 10　内网拓扑信息获取耗时对比（人工基线 vs CyberNWT，同机同网段实测）</w:t>
      </w:r>
    </w:p>
    <w:p w14:paraId="66A122A4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价值测算（最保守口径，公式透明）：单次内网拓扑感知较人工逐址扫描节省约 112 秒，单次质量测试较「ping + tracert 手工拼」节省约 40 秒且多覆盖 4 类指标；按工程师每日 2 次现场感知、1 次链路测试计，5 人交付团队每年可减少约 90 小时的重复等待与手工整理。</w:t>
      </w:r>
    </w:p>
    <w:p w14:paraId="4D933B43">
      <w:pPr>
        <w:keepNext/>
        <w:spacing w:before="160" w:after="80"/>
        <w:jc w:val="center"/>
      </w:pPr>
      <w:r>
        <w:rPr>
          <w:rFonts w:ascii="Calibri" w:eastAsia="黑体"/>
          <w:color w:val="595959"/>
          <w:sz w:val="20"/>
          <w:szCs w:val="20"/>
        </w:rPr>
        <w:t>表 4　测试方法与阶段性结果</w:t>
      </w:r>
    </w:p>
    <w:tbl>
      <w:tblPr>
        <w:tblStyle w:val="11"/>
        <w:tblW w:w="5000" w:type="pct"/>
        <w:tblInd w:w="0" w:type="dxa"/>
        <w:tblBorders>
          <w:top w:val="single" w:color="0B1F3A" w:sz="8" w:space="0"/>
          <w:left w:val="none" w:color="auto" w:sz="0" w:space="0"/>
          <w:bottom w:val="single" w:color="0B1F3A" w:sz="8" w:space="0"/>
          <w:right w:val="none" w:color="auto" w:sz="0" w:space="0"/>
          <w:insideH w:val="single" w:color="C9D4E2" w:sz="2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8"/>
        <w:gridCol w:w="2636"/>
        <w:gridCol w:w="2285"/>
        <w:gridCol w:w="2109"/>
      </w:tblGrid>
      <w:tr w14:paraId="660E7513">
        <w:tblPrEx>
          <w:tblBorders>
            <w:top w:val="single" w:color="0B1F3A" w:sz="8" w:space="0"/>
            <w:left w:val="none" w:color="auto" w:sz="0" w:space="0"/>
            <w:bottom w:val="single" w:color="0B1F3A" w:sz="8" w:space="0"/>
            <w:right w:val="none" w:color="auto" w:sz="0" w:space="0"/>
            <w:insideH w:val="single" w:color="C9D4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690D4">
            <w:pPr>
              <w:spacing w:line="280" w:lineRule="auto"/>
              <w:jc w:val="left"/>
            </w:pPr>
            <w:r>
              <w:rPr>
                <w:rFonts w:ascii="Calibri" w:eastAsia="黑体"/>
                <w:b/>
                <w:bCs/>
                <w:color w:val="0B1F3A"/>
                <w:sz w:val="21"/>
                <w:szCs w:val="21"/>
              </w:rPr>
              <w:t>测试项</w:t>
            </w:r>
          </w:p>
        </w:tc>
        <w:tc>
          <w:tcPr>
            <w:tcW w:w="1500" w:type="pct"/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27F24">
            <w:pPr>
              <w:spacing w:line="280" w:lineRule="auto"/>
              <w:jc w:val="left"/>
            </w:pPr>
            <w:r>
              <w:rPr>
                <w:rFonts w:ascii="Calibri" w:eastAsia="黑体"/>
                <w:b/>
                <w:bCs/>
                <w:color w:val="0B1F3A"/>
                <w:sz w:val="21"/>
                <w:szCs w:val="21"/>
              </w:rPr>
              <w:t>样本 / 口径</w:t>
            </w:r>
          </w:p>
        </w:tc>
        <w:tc>
          <w:tcPr>
            <w:tcW w:w="1300" w:type="pct"/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D9EED">
            <w:pPr>
              <w:spacing w:line="280" w:lineRule="auto"/>
              <w:jc w:val="left"/>
            </w:pPr>
            <w:r>
              <w:rPr>
                <w:rFonts w:ascii="Calibri" w:eastAsia="黑体"/>
                <w:b/>
                <w:bCs/>
                <w:color w:val="0B1F3A"/>
                <w:sz w:val="21"/>
                <w:szCs w:val="21"/>
              </w:rPr>
              <w:t>阶段性结果</w:t>
            </w:r>
          </w:p>
        </w:tc>
        <w:tc>
          <w:tcPr>
            <w:tcW w:w="1200" w:type="pct"/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48AD2">
            <w:pPr>
              <w:spacing w:line="280" w:lineRule="auto"/>
              <w:jc w:val="left"/>
            </w:pPr>
            <w:r>
              <w:rPr>
                <w:rFonts w:ascii="Calibri" w:eastAsia="黑体"/>
                <w:b/>
                <w:bCs/>
                <w:color w:val="0B1F3A"/>
                <w:sz w:val="21"/>
                <w:szCs w:val="21"/>
              </w:rPr>
              <w:t>解读与后续动作</w:t>
            </w:r>
          </w:p>
        </w:tc>
      </w:tr>
      <w:tr w14:paraId="4251DF21">
        <w:tblPrEx>
          <w:tblBorders>
            <w:top w:val="single" w:color="0B1F3A" w:sz="8" w:space="0"/>
            <w:left w:val="none" w:color="auto" w:sz="0" w:space="0"/>
            <w:bottom w:val="single" w:color="0B1F3A" w:sz="8" w:space="0"/>
            <w:right w:val="none" w:color="auto" w:sz="0" w:space="0"/>
            <w:insideH w:val="single" w:color="C9D4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2BBFF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接口自动化测试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D0DAA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18 项断言（2026-09-10 实测）</w:t>
            </w:r>
          </w:p>
        </w:tc>
        <w:tc>
          <w:tcPr>
            <w:tcW w:w="13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91E04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18/18 全部通过</w:t>
            </w:r>
          </w:p>
        </w:tc>
        <w:tc>
          <w:tcPr>
            <w:tcW w:w="12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ADB82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核心链路可一键回归，覆盖注册/登录/会话/权限</w:t>
            </w:r>
          </w:p>
        </w:tc>
      </w:tr>
      <w:tr w14:paraId="04B0DF71">
        <w:tblPrEx>
          <w:tblBorders>
            <w:top w:val="single" w:color="0B1F3A" w:sz="8" w:space="0"/>
            <w:left w:val="none" w:color="auto" w:sz="0" w:space="0"/>
            <w:bottom w:val="single" w:color="0B1F3A" w:sz="8" w:space="0"/>
            <w:right w:val="none" w:color="auto" w:sz="0" w:space="0"/>
            <w:insideH w:val="single" w:color="C9D4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34F6C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服务冷启动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D9235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CyberNWT.exe 自带运行时，双击启动至 HTTP 可访问（2026-09-11 两次实测）</w:t>
            </w:r>
          </w:p>
        </w:tc>
        <w:tc>
          <w:tcPr>
            <w:tcW w:w="13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3D5E3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1.8—2.5 秒</w:t>
            </w:r>
          </w:p>
        </w:tc>
        <w:tc>
          <w:tcPr>
            <w:tcW w:w="12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FE580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解压即用，满足现场快速拉起</w:t>
            </w:r>
          </w:p>
        </w:tc>
      </w:tr>
      <w:tr w14:paraId="755F0B7E">
        <w:tblPrEx>
          <w:tblBorders>
            <w:top w:val="single" w:color="0B1F3A" w:sz="8" w:space="0"/>
            <w:left w:val="none" w:color="auto" w:sz="0" w:space="0"/>
            <w:bottom w:val="single" w:color="0B1F3A" w:sz="8" w:space="0"/>
            <w:right w:val="none" w:color="auto" w:sz="0" w:space="0"/>
            <w:insideH w:val="single" w:color="C9D4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D8888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公网测速端到端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EEF8A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广东联通宽带 · 自动节点 · 多流模式</w:t>
            </w:r>
          </w:p>
        </w:tc>
        <w:tc>
          <w:tcPr>
            <w:tcW w:w="13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7F8EF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下行 467 Mbps；上行 57.7 Mbps</w:t>
            </w:r>
          </w:p>
        </w:tc>
        <w:tc>
          <w:tcPr>
            <w:tcW w:w="12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93E2F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带宽、样本数、字节量与时长口径界面直显，可与 Speedtest 对标</w:t>
            </w:r>
          </w:p>
        </w:tc>
      </w:tr>
      <w:tr w14:paraId="43D27B9F">
        <w:tblPrEx>
          <w:tblBorders>
            <w:top w:val="single" w:color="0B1F3A" w:sz="8" w:space="0"/>
            <w:left w:val="none" w:color="auto" w:sz="0" w:space="0"/>
            <w:bottom w:val="single" w:color="0B1F3A" w:sz="8" w:space="0"/>
            <w:right w:val="none" w:color="auto" w:sz="0" w:space="0"/>
            <w:insideH w:val="single" w:color="C9D4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D2076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诊断响应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2B4F6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真实割接故障场景提问，接入真实大模型</w:t>
            </w:r>
          </w:p>
        </w:tc>
        <w:tc>
          <w:tcPr>
            <w:tcW w:w="13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C2CD8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19 秒输出结构化排查清单（6 步）与 3 个智能追问</w:t>
            </w:r>
          </w:p>
        </w:tc>
        <w:tc>
          <w:tcPr>
            <w:tcW w:w="12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835AC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引导式输出，结论先行</w:t>
            </w:r>
          </w:p>
        </w:tc>
      </w:tr>
      <w:tr w14:paraId="14E715A1">
        <w:tblPrEx>
          <w:tblBorders>
            <w:top w:val="single" w:color="0B1F3A" w:sz="8" w:space="0"/>
            <w:left w:val="none" w:color="auto" w:sz="0" w:space="0"/>
            <w:bottom w:val="single" w:color="0B1F3A" w:sz="8" w:space="0"/>
            <w:right w:val="none" w:color="auto" w:sz="0" w:space="0"/>
            <w:insideH w:val="single" w:color="C9D4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67C0C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产品代码规模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E47E9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14 个核心文件（不含构建/测试脚本）</w:t>
            </w:r>
          </w:p>
        </w:tc>
        <w:tc>
          <w:tcPr>
            <w:tcW w:w="13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E9D40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15,043 行</w:t>
            </w:r>
          </w:p>
        </w:tc>
        <w:tc>
          <w:tcPr>
            <w:tcW w:w="12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7FEC9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轻量可维护，零第三方运行时依赖</w:t>
            </w:r>
          </w:p>
        </w:tc>
      </w:tr>
      <w:tr w14:paraId="3B3E0660">
        <w:tblPrEx>
          <w:tblBorders>
            <w:top w:val="single" w:color="0B1F3A" w:sz="8" w:space="0"/>
            <w:left w:val="none" w:color="auto" w:sz="0" w:space="0"/>
            <w:bottom w:val="single" w:color="0B1F3A" w:sz="8" w:space="0"/>
            <w:right w:val="none" w:color="auto" w:sz="0" w:space="0"/>
            <w:insideH w:val="single" w:color="C9D4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03BC2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内网拓扑获取基线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2C478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人工逐 ping 扫描 /24（串行 254 地址）vs 一键感知，同机同网实测</w:t>
            </w:r>
          </w:p>
        </w:tc>
        <w:tc>
          <w:tcPr>
            <w:tcW w:w="13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DFC80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人工 122.7 秒 vs 产品 8.9—11.8 秒，提效约 11 倍</w:t>
            </w:r>
          </w:p>
        </w:tc>
        <w:tc>
          <w:tcPr>
            <w:tcW w:w="12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D6088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产品同时输出拓扑 / VLAN 表 / 设备指纹 / 部署建议</w:t>
            </w:r>
          </w:p>
        </w:tc>
      </w:tr>
      <w:tr w14:paraId="0E7400BB">
        <w:tblPrEx>
          <w:tblBorders>
            <w:top w:val="single" w:color="0B1F3A" w:sz="8" w:space="0"/>
            <w:left w:val="none" w:color="auto" w:sz="0" w:space="0"/>
            <w:bottom w:val="single" w:color="0B1F3A" w:sz="8" w:space="0"/>
            <w:right w:val="none" w:color="auto" w:sz="0" w:space="0"/>
            <w:insideH w:val="single" w:color="C9D4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3E73C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网络测试覆盖对比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1AE69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人工 ping×10 + tracert 合计 43.5 秒（同机实测）</w:t>
            </w:r>
          </w:p>
        </w:tc>
        <w:tc>
          <w:tcPr>
            <w:tcW w:w="13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D7C1B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仅得延迟与路径；一键测速额外输出带宽 / 抖动 / 丢包 / AI 解读</w:t>
            </w:r>
          </w:p>
        </w:tc>
        <w:tc>
          <w:tcPr>
            <w:tcW w:w="12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EDDF8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口径界面直显，可对标 Speedtest</w:t>
            </w:r>
          </w:p>
        </w:tc>
      </w:tr>
      <w:tr w14:paraId="196E93EE">
        <w:tblPrEx>
          <w:tblBorders>
            <w:top w:val="single" w:color="0B1F3A" w:sz="8" w:space="0"/>
            <w:left w:val="none" w:color="auto" w:sz="0" w:space="0"/>
            <w:bottom w:val="single" w:color="0B1F3A" w:sz="8" w:space="0"/>
            <w:right w:val="none" w:color="auto" w:sz="0" w:space="0"/>
            <w:insideH w:val="single" w:color="C9D4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3EEDC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AI 输出一致性抽检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1AC47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同一割接故障问题重复 5 次（2026-09-11，接入真实大模型）</w:t>
            </w:r>
          </w:p>
        </w:tc>
        <w:tc>
          <w:tcPr>
            <w:tcW w:w="13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3B733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5/5 输出「结论先行 + 结构化清单」，平均 19.4 秒（10.7—26.8 秒）</w:t>
            </w:r>
          </w:p>
        </w:tc>
        <w:tc>
          <w:tcPr>
            <w:tcW w:w="12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957C5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结构稳定、非「抽卡式」成功；4/5 附智能追问</w:t>
            </w:r>
          </w:p>
        </w:tc>
      </w:tr>
    </w:tbl>
    <w:p w14:paraId="185BE121">
      <w:pPr>
        <w:pStyle w:val="3"/>
        <w:keepNext/>
        <w:spacing w:before="280" w:after="140" w:line="340" w:lineRule="atLeast"/>
      </w:pPr>
      <w:r>
        <w:rPr>
          <w:rFonts w:ascii="Calibri" w:eastAsia="黑体"/>
          <w:b/>
          <w:bCs/>
          <w:color w:val="0F4DBF"/>
          <w:sz w:val="27"/>
          <w:szCs w:val="27"/>
        </w:rPr>
        <w:t>4.3 安全、权限与数据合规</w:t>
      </w:r>
    </w:p>
    <w:p w14:paraId="2C598930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安全设计遵循最小权限与人工在环原则：密码以 PBKDF2-SHA256 加密存储（12 万次迭代 + 随机盐），会话使用 HttpOnly Cookie（7 天），未登录访问受保护页面被服务端重定向，由 18 项接口断言持续守护；用户、会话与测速历史存于本地 SQLite（当前实例 44 KB），数据不出本机，接入外部模型时仅转发当次问答所需上下文，也可接入自有模型将数据完全保留在内网；诊断助手对高风险操作仅作风险前置警告、不自动执行，导出、清空记录等敏感操作均有确认环节与日志可查。</w:t>
      </w:r>
    </w:p>
    <w:p w14:paraId="256497DE">
      <w:pPr>
        <w:pStyle w:val="3"/>
        <w:keepNext/>
        <w:spacing w:before="280" w:after="140" w:line="340" w:lineRule="atLeast"/>
      </w:pPr>
      <w:r>
        <w:rPr>
          <w:rFonts w:ascii="Calibri" w:eastAsia="黑体"/>
          <w:b/>
          <w:bCs/>
          <w:color w:val="0F4DBF"/>
          <w:sz w:val="27"/>
          <w:szCs w:val="27"/>
        </w:rPr>
        <w:t>4.4 真实案例与迭代验证</w:t>
      </w:r>
    </w:p>
    <w:p w14:paraId="7138E51E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v1 版本在区域赛后于同事真机完成部署验证：在未配置开发环境的普通办公电脑上解压即用，内网感知在实际办公网段中识别出网关、NAS、无线终端与工程师本机。v2 针对区域赛暴露的不足完成六项改进：全程操作指引、多网卡识别与指定线路测速、物理线路视图、随心记录快捷键与鼠标模式、诊断附件从图片升级为文档/视频（8MB 内）、案例复盘支持插图。断网兜底、演示模式降级等异常路径均已实测验证。</w:t>
      </w:r>
    </w:p>
    <w:p w14:paraId="615290B9">
      <w:pPr>
        <w:keepNext/>
        <w:spacing w:before="100" w:after="50"/>
        <w:jc w:val="center"/>
      </w:pPr>
      <w:r>
        <w:drawing>
          <wp:inline distT="0" distB="0" distL="0" distR="0">
            <wp:extent cx="2946400" cy="3047365"/>
            <wp:effectExtent l="0" t="0" r="1016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EAA5F">
      <w:pPr>
        <w:spacing w:after="120"/>
        <w:jc w:val="center"/>
      </w:pPr>
      <w:r>
        <w:rPr>
          <w:rFonts w:ascii="Calibri" w:eastAsia="黑体"/>
          <w:color w:val="595959"/>
          <w:sz w:val="20"/>
          <w:szCs w:val="20"/>
        </w:rPr>
        <w:t>图 11　真机部署验证：在同事电脑实际运行（内网感知实测拓扑）</w:t>
      </w:r>
    </w:p>
    <w:p w14:paraId="4E396A81">
      <w:pPr>
        <w:pStyle w:val="3"/>
        <w:keepNext/>
        <w:spacing w:before="280" w:after="140" w:line="340" w:lineRule="atLeast"/>
      </w:pPr>
      <w:r>
        <w:rPr>
          <w:rFonts w:ascii="Calibri" w:eastAsia="黑体"/>
          <w:b/>
          <w:bCs/>
          <w:color w:val="0F4DBF"/>
          <w:sz w:val="27"/>
          <w:szCs w:val="27"/>
        </w:rPr>
        <w:t>4.5 知识库构建过程</w:t>
      </w:r>
    </w:p>
    <w:p w14:paraId="61D3B02B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AI 能力基于 FastGPT 平台构建：资料搜集自深信服社区、aDesk 资料库与官方文档；知识库采用多模型组合（向量索引 + 文本理解 + 图片理解）；按产品线组织为 10 条目录（下一代防火墙 AF、上网行为管理 AC、桌面云 aDesk、SSLVPN、IPSec VPN、广域网优化 WOC、应用交付 AD、企业级云 aCloud、通用实施与割接方法论等），全部就绪启用；检索设置经多轮调优，配合案例复盘库形成双库结构，并通过真实故障场景测试验证命中率与引用来源。</w:t>
      </w:r>
    </w:p>
    <w:p w14:paraId="3601CDE7">
      <w:pPr>
        <w:keepNext/>
        <w:spacing w:before="100" w:after="50"/>
        <w:jc w:val="center"/>
      </w:pPr>
      <w:r>
        <w:drawing>
          <wp:inline distT="0" distB="0" distL="0" distR="0">
            <wp:extent cx="4143375" cy="200025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00975">
      <w:pPr>
        <w:spacing w:after="120"/>
        <w:jc w:val="center"/>
      </w:pPr>
      <w:r>
        <w:rPr>
          <w:rFonts w:ascii="Calibri" w:eastAsia="黑体"/>
          <w:color w:val="595959"/>
          <w:sz w:val="20"/>
          <w:szCs w:val="20"/>
        </w:rPr>
        <w:t>图 12　故障诊断知识库：按产品线分目录管理，文件列表计数 10、状态全部就绪</w:t>
      </w:r>
    </w:p>
    <w:p w14:paraId="63F7E30A">
      <w:pPr>
        <w:pStyle w:val="3"/>
        <w:keepNext/>
        <w:spacing w:before="280" w:after="140" w:line="340" w:lineRule="atLeast"/>
      </w:pPr>
      <w:r>
        <w:rPr>
          <w:rFonts w:ascii="Calibri" w:eastAsia="黑体"/>
          <w:b/>
          <w:bCs/>
          <w:color w:val="0F4DBF"/>
          <w:sz w:val="27"/>
          <w:szCs w:val="27"/>
        </w:rPr>
        <w:t>4.6 实施与推广计划</w:t>
      </w:r>
    </w:p>
    <w:p w14:paraId="7BA738B5">
      <w:pPr>
        <w:keepNext/>
        <w:spacing w:before="160" w:after="80"/>
        <w:jc w:val="center"/>
      </w:pPr>
      <w:r>
        <w:rPr>
          <w:rFonts w:ascii="Calibri" w:eastAsia="黑体"/>
          <w:color w:val="595959"/>
          <w:sz w:val="20"/>
          <w:szCs w:val="20"/>
        </w:rPr>
        <w:t>表 5　实施与推广计划</w:t>
      </w:r>
    </w:p>
    <w:tbl>
      <w:tblPr>
        <w:tblStyle w:val="11"/>
        <w:tblW w:w="5000" w:type="pct"/>
        <w:tblInd w:w="0" w:type="dxa"/>
        <w:tblBorders>
          <w:top w:val="single" w:color="0B1F3A" w:sz="8" w:space="0"/>
          <w:left w:val="none" w:color="auto" w:sz="0" w:space="0"/>
          <w:bottom w:val="single" w:color="0B1F3A" w:sz="8" w:space="0"/>
          <w:right w:val="none" w:color="auto" w:sz="0" w:space="0"/>
          <w:insideH w:val="single" w:color="C9D4E2" w:sz="2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8"/>
        <w:gridCol w:w="3515"/>
        <w:gridCol w:w="3515"/>
      </w:tblGrid>
      <w:tr w14:paraId="48CC26BE">
        <w:tblPrEx>
          <w:tblBorders>
            <w:top w:val="single" w:color="0B1F3A" w:sz="8" w:space="0"/>
            <w:left w:val="none" w:color="auto" w:sz="0" w:space="0"/>
            <w:bottom w:val="single" w:color="0B1F3A" w:sz="8" w:space="0"/>
            <w:right w:val="none" w:color="auto" w:sz="0" w:space="0"/>
            <w:insideH w:val="single" w:color="C9D4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29813">
            <w:pPr>
              <w:spacing w:line="280" w:lineRule="auto"/>
              <w:jc w:val="left"/>
            </w:pPr>
            <w:r>
              <w:rPr>
                <w:rFonts w:ascii="Calibri" w:eastAsia="黑体"/>
                <w:b/>
                <w:bCs/>
                <w:color w:val="0B1F3A"/>
                <w:sz w:val="21"/>
                <w:szCs w:val="21"/>
              </w:rPr>
              <w:t>阶段</w:t>
            </w:r>
          </w:p>
        </w:tc>
        <w:tc>
          <w:tcPr>
            <w:tcW w:w="2000" w:type="pct"/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935CB">
            <w:pPr>
              <w:spacing w:line="280" w:lineRule="auto"/>
              <w:jc w:val="left"/>
            </w:pPr>
            <w:r>
              <w:rPr>
                <w:rFonts w:ascii="Calibri" w:eastAsia="黑体"/>
                <w:b/>
                <w:bCs/>
                <w:color w:val="0B1F3A"/>
                <w:sz w:val="21"/>
                <w:szCs w:val="21"/>
              </w:rPr>
              <w:t>主要任务</w:t>
            </w:r>
          </w:p>
        </w:tc>
        <w:tc>
          <w:tcPr>
            <w:tcW w:w="2000" w:type="pct"/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D669F">
            <w:pPr>
              <w:spacing w:line="280" w:lineRule="auto"/>
              <w:jc w:val="left"/>
            </w:pPr>
            <w:r>
              <w:rPr>
                <w:rFonts w:ascii="Calibri" w:eastAsia="黑体"/>
                <w:b/>
                <w:bCs/>
                <w:color w:val="0B1F3A"/>
                <w:sz w:val="21"/>
                <w:szCs w:val="21"/>
              </w:rPr>
              <w:t>可验证产出</w:t>
            </w:r>
          </w:p>
        </w:tc>
      </w:tr>
      <w:tr w14:paraId="2FD8676F">
        <w:tblPrEx>
          <w:tblBorders>
            <w:top w:val="single" w:color="0B1F3A" w:sz="8" w:space="0"/>
            <w:left w:val="none" w:color="auto" w:sz="0" w:space="0"/>
            <w:bottom w:val="single" w:color="0B1F3A" w:sz="8" w:space="0"/>
            <w:right w:val="none" w:color="auto" w:sz="0" w:space="0"/>
            <w:insideH w:val="single" w:color="C9D4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7617E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试点验证（已完成）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8902E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五大模块闭环、双知识库、v2 六项改进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A5BA5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可运行产品包、18/18 接口断言、真实环境实测数据</w:t>
            </w:r>
          </w:p>
        </w:tc>
      </w:tr>
      <w:tr w14:paraId="63E2D997">
        <w:tblPrEx>
          <w:tblBorders>
            <w:top w:val="single" w:color="0B1F3A" w:sz="8" w:space="0"/>
            <w:left w:val="none" w:color="auto" w:sz="0" w:space="0"/>
            <w:bottom w:val="single" w:color="0B1F3A" w:sz="8" w:space="0"/>
            <w:right w:val="none" w:color="auto" w:sz="0" w:space="0"/>
            <w:insideH w:val="single" w:color="C9D4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577AA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能力完善（已完成）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378EA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AI 输出多次运行一致性统计、公网演示页上线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B0E41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一致性抽检 5/5 结构化输出（见 4.2）；演示页已上线</w:t>
            </w:r>
          </w:p>
        </w:tc>
      </w:tr>
      <w:tr w14:paraId="3960FF3E">
        <w:tblPrEx>
          <w:tblBorders>
            <w:top w:val="single" w:color="0B1F3A" w:sz="8" w:space="0"/>
            <w:left w:val="none" w:color="auto" w:sz="0" w:space="0"/>
            <w:bottom w:val="single" w:color="0B1F3A" w:sz="8" w:space="0"/>
            <w:right w:val="none" w:color="auto" w:sz="0" w:space="0"/>
            <w:insideH w:val="single" w:color="C9D4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2BD54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小范围推广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83B7F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邀请更多交付同事使用并收集反馈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F1618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试用反馈清单与改进记录</w:t>
            </w:r>
          </w:p>
        </w:tc>
      </w:tr>
      <w:tr w14:paraId="00975F0B">
        <w:tblPrEx>
          <w:tblBorders>
            <w:top w:val="single" w:color="0B1F3A" w:sz="8" w:space="0"/>
            <w:left w:val="none" w:color="auto" w:sz="0" w:space="0"/>
            <w:bottom w:val="single" w:color="0B1F3A" w:sz="8" w:space="0"/>
            <w:right w:val="none" w:color="auto" w:sz="0" w:space="0"/>
            <w:insideH w:val="single" w:color="C9D4E2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58768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持续运营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DA233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知识库按产品线持续扩充、月度复盘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5C132">
            <w:pPr>
              <w:spacing w:line="280" w:lineRule="auto"/>
              <w:jc w:val="left"/>
            </w:pPr>
            <w:r>
              <w:rPr>
                <w:rFonts w:ascii="Calibri" w:eastAsia="宋体"/>
                <w:b w:val="0"/>
                <w:bCs w:val="0"/>
                <w:color w:val="000000"/>
                <w:sz w:val="21"/>
                <w:szCs w:val="21"/>
              </w:rPr>
              <w:t>知识库覆盖率、复盘回流数量</w:t>
            </w:r>
          </w:p>
        </w:tc>
      </w:tr>
    </w:tbl>
    <w:p w14:paraId="0A5FA9B8">
      <w:pPr>
        <w:pStyle w:val="3"/>
        <w:keepNext/>
        <w:spacing w:before="280" w:after="140" w:line="340" w:lineRule="atLeast"/>
      </w:pPr>
      <w:r>
        <w:rPr>
          <w:rFonts w:ascii="Calibri" w:eastAsia="黑体"/>
          <w:b/>
          <w:bCs/>
          <w:color w:val="0F4DBF"/>
          <w:sz w:val="27"/>
          <w:szCs w:val="27"/>
        </w:rPr>
        <w:t>4.7 结论</w:t>
      </w:r>
    </w:p>
    <w:p w14:paraId="38359DB0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CyberNWT 把交付现场的测速、感知、记录、诊断与复盘接成完整闭环，让网络质量可透视、故障排查有依据、实施经验可沉淀。当前版本已完成五大模块闭环与 v2 六项增强：接口断言 18/18 通过，真实环境实测数据口径透明、可复核，人工基线对比与 AI 输出一致性抽检均已完成实测——内网拓扑感知提效约 11 倍，同一问题 5 次输出结构一致。我们相信：让 AI 的专业经验守护每一次交付，是从「会用工具」走向「用好 AI」的踏实一步。</w:t>
      </w:r>
    </w:p>
    <w:sectPr>
      <w:headerReference r:id="rId3" w:type="default"/>
      <w:footerReference r:id="rId4" w:type="default"/>
      <w:pgSz w:w="11906" w:h="16838"/>
      <w:pgMar w:top="1440" w:right="1417" w:bottom="1440" w:left="1701" w:header="708" w:footer="708" w:gutter="0"/>
      <w:pgNumType w:fmt="decimal"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DCA5EA">
    <w:pPr>
      <w:jc w:val="center"/>
    </w:pP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 xml:space="preserve"> PAGE \* arabic \* MERGEFORMAT </w:instrText>
    </w:r>
    <w:r>
      <w:rPr>
        <w:color w:val="595959"/>
        <w:sz w:val="18"/>
        <w:szCs w:val="18"/>
      </w:rPr>
      <w:fldChar w:fldCharType="separate"/>
    </w:r>
    <w:r>
      <w:rPr>
        <w:color w:val="595959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138BA0">
    <w:pPr>
      <w:jc w:val="right"/>
    </w:pPr>
    <w:r>
      <w:rPr>
        <w:rFonts w:ascii="Calibri" w:eastAsia="宋体"/>
        <w:color w:val="94A3B8"/>
        <w:sz w:val="16"/>
        <w:szCs w:val="16"/>
      </w:rPr>
      <w:t>CyberNWT · 产品文档（总决赛）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20482782"/>
    <w:rsid w:val="331023A4"/>
    <w:rsid w:val="34A822AB"/>
    <w:rsid w:val="39BC53CD"/>
    <w:rsid w:val="3FF43934"/>
    <w:rsid w:val="4C4874E2"/>
    <w:rsid w:val="4D814A59"/>
    <w:rsid w:val="4DF96CE5"/>
    <w:rsid w:val="555C1A7F"/>
    <w:rsid w:val="5EB4760F"/>
    <w:rsid w:val="6B857BA4"/>
    <w:rsid w:val="7F3D43D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eastAsia="宋体" w:hAnsiTheme="minorHAnsi" w:cstheme="minorBidi"/>
      <w:color w:val="000000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200" w:line="312" w:lineRule="auto"/>
    </w:pPr>
    <w:rPr>
      <w:rFonts w:ascii="Calibri" w:eastAsia="黑体" w:hAnsiTheme="minorHAnsi" w:cstheme="minorBidi"/>
      <w:b/>
      <w:bCs/>
      <w:color w:val="0B1F3A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40" w:line="312" w:lineRule="auto"/>
    </w:pPr>
    <w:rPr>
      <w:rFonts w:ascii="Calibri" w:eastAsia="黑体" w:hAnsiTheme="minorHAnsi" w:cstheme="minorBidi"/>
      <w:b/>
      <w:bCs/>
      <w:color w:val="0F4DBF"/>
      <w:sz w:val="27"/>
      <w:szCs w:val="27"/>
    </w:rPr>
  </w:style>
  <w:style w:type="paragraph" w:styleId="4">
    <w:name w:val="heading 3"/>
    <w:next w:val="1"/>
    <w:qFormat/>
    <w:uiPriority w:val="0"/>
    <w:pPr>
      <w:spacing w:before="220" w:after="100" w:line="312" w:lineRule="auto"/>
    </w:pPr>
    <w:rPr>
      <w:rFonts w:ascii="Calibri" w:eastAsia="黑体" w:hAnsiTheme="minorHAnsi" w:cstheme="minorBidi"/>
      <w:b/>
      <w:bCs/>
      <w:color w:val="0B1F3A"/>
      <w:sz w:val="24"/>
      <w:szCs w:val="24"/>
    </w:rPr>
  </w:style>
  <w:style w:type="paragraph" w:styleId="5">
    <w:name w:val="heading 4"/>
    <w:next w:val="1"/>
    <w:qFormat/>
    <w:uiPriority w:val="0"/>
    <w:pPr>
      <w:spacing w:line="312" w:lineRule="auto"/>
    </w:pPr>
    <w:rPr>
      <w:rFonts w:ascii="Times New Roman" w:eastAsia="宋体" w:hAnsiTheme="minorHAnsi" w:cstheme="minorBidi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line="312" w:lineRule="auto"/>
    </w:pPr>
    <w:rPr>
      <w:rFonts w:ascii="Times New Roman" w:eastAsia="宋体" w:hAnsiTheme="minorHAnsi" w:cstheme="minorBidi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line="312" w:lineRule="auto"/>
    </w:pPr>
    <w:rPr>
      <w:rFonts w:ascii="Times New Roman" w:eastAsia="宋体" w:hAnsiTheme="minorHAnsi" w:cstheme="minorBidi"/>
      <w:color w:val="1F4D78"/>
      <w:sz w:val="24"/>
      <w:szCs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Times New Roman" w:eastAsia="宋体" w:hAnsiTheme="minorHAnsi" w:cstheme="minorBidi"/>
      <w:color w:val="000000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eastAsia="宋体" w:hAnsiTheme="minorHAnsi" w:cstheme="minorBidi"/>
      <w:color w:val="000000"/>
      <w:sz w:val="20"/>
      <w:szCs w:val="20"/>
    </w:rPr>
  </w:style>
  <w:style w:type="paragraph" w:styleId="10">
    <w:name w:val="Title"/>
    <w:qFormat/>
    <w:uiPriority w:val="0"/>
    <w:pPr>
      <w:spacing w:line="312" w:lineRule="auto"/>
    </w:pPr>
    <w:rPr>
      <w:rFonts w:ascii="Times New Roman" w:eastAsia="宋体" w:hAnsiTheme="minorHAnsi" w:cstheme="minorBidi"/>
      <w:color w:val="000000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12" w:lineRule="auto"/>
    </w:pPr>
    <w:rPr>
      <w:rFonts w:ascii="Times New Roman" w:eastAsia="宋体" w:hAnsiTheme="minorHAnsi" w:cstheme="minorBidi"/>
      <w:color w:val="000000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jpe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jpe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3665</Words>
  <Characters>3876</Characters>
  <TotalTime>274</TotalTime>
  <ScaleCrop>false</ScaleCrop>
  <LinksUpToDate>false</LinksUpToDate>
  <CharactersWithSpaces>4036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2026-09-11T06:41:00Z</dcterms:created>
  <dc:creator>Un-named</dc:creator>
  <cp:lastModifiedBy>WPS_1645533690</cp:lastModifiedBy>
  <dcterms:modified xsi:type="dcterms:W3CDTF">2026-09-11T14:12:26Z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eyJoZGlkIjoiMjRhZWQ5OWNlNmVhZDBkNjViZWVmYTIxMmI0OTY4OWEiLCJ1c2VySWQiOiIxMzM2Njk5OTUxIn0=</vt:lpwstr>
  </property>
  <property fmtid="{D5CDD505-2E9C-101B-9397-08002B2CF9AE}" pid="3" name="KSOProductBuildVer">
    <vt:lpwstr>2052-12.1.0.28043</vt:lpwstr>
  </property>
  <property fmtid="{D5CDD505-2E9C-101B-9397-08002B2CF9AE}" pid="4" name="ICV">
    <vt:lpwstr>167CDD6BB313485B8A20BEA1E62C593D_12</vt:lpwstr>
  </property>
</Properties>
</file>