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64"/>
          <w:szCs w:val="64"/>
        </w:rPr>
        <w:t xml:space="preserve">Kirana-Napse</w:t>
      </w:r>
    </w:p>
    <w:p>
      <w:pPr>
        <w:spacing w:after="100" w:before="200"/>
        <w:jc w:val="center"/>
      </w:pPr>
      <w:r>
        <w:rPr>
          <w:b/>
          <w:bCs/>
          <w:color w:val="2E75B6"/>
          <w:sz w:val="30"/>
          <w:szCs w:val="30"/>
        </w:rPr>
        <w:t xml:space="preserve">Product Requirements Document</w:t>
      </w:r>
    </w:p>
    <w:p>
      <w:pPr>
        <w:spacing w:after="100"/>
        <w:jc w:val="center"/>
      </w:pPr>
      <w:r>
        <w:rPr>
          <w:i/>
          <w:iCs/>
          <w:color w:val="595959"/>
          <w:sz w:val="22"/>
          <w:szCs w:val="22"/>
        </w:rPr>
        <w:t xml:space="preserve">AI-Powered Demand Forecasting &amp; Reorder Assistant for Kirana Stores</w:t>
      </w:r>
    </w:p>
    <w:p>
      <w:pPr>
        <w:spacing w:after="600"/>
        <w:jc w:val="center"/>
      </w:pPr>
      <w:r>
        <w:rPr>
          <w:b/>
          <w:bCs/>
          <w:color w:val="C55A11"/>
          <w:sz w:val="22"/>
          <w:szCs w:val="22"/>
        </w:rPr>
        <w:t xml:space="preserve">Android-App-First Edition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Field</w:t>
            </w:r>
          </w:p>
        </w:tc>
        <w:tc>
          <w:tcPr>
            <w:tcW w:type="dxa" w:w="6300"/>
            <w:shd w:fill="1F3864" w:val="clear"/>
            <w:tcMar>
              <w:top w:type="dxa" w:w="80"/>
              <w:left w:type="dxa" w:w="100"/>
              <w:bottom w:type="dxa" w:w="80"/>
              <w:right w:type="dxa" w:w="100"/>
            </w:tcMar>
          </w:tcPr>
          <w:p>
            <w:r>
              <w:rPr>
                <w:b/>
                <w:bCs/>
                <w:color w:val="FFFFFF"/>
                <w:sz w:val="20"/>
                <w:szCs w:val="20"/>
              </w:rPr>
              <w:t xml:space="preserve">Value</w:t>
            </w:r>
          </w:p>
        </w:tc>
      </w:tr>
      <w:tr>
        <w:tc>
          <w:tcPr>
            <w:tcW w:type="dxa" w:w="3200"/>
            <w:tcMar>
              <w:top w:type="dxa" w:w="80"/>
              <w:left w:type="dxa" w:w="100"/>
              <w:bottom w:type="dxa" w:w="80"/>
              <w:right w:type="dxa" w:w="100"/>
            </w:tcMar>
          </w:tcPr>
          <w:p>
            <w:r>
              <w:rPr>
                <w:b w:val="false"/>
                <w:bCs w:val="false"/>
                <w:color w:val="1A1A1A"/>
                <w:sz w:val="20"/>
                <w:szCs w:val="20"/>
              </w:rPr>
              <w:t xml:space="preserve">Document status</w:t>
            </w:r>
          </w:p>
        </w:tc>
        <w:tc>
          <w:tcPr>
            <w:tcW w:type="dxa" w:w="6300"/>
            <w:tcMar>
              <w:top w:type="dxa" w:w="80"/>
              <w:left w:type="dxa" w:w="100"/>
              <w:bottom w:type="dxa" w:w="80"/>
              <w:right w:type="dxa" w:w="100"/>
            </w:tcMar>
          </w:tcPr>
          <w:p>
            <w:r>
              <w:rPr>
                <w:b w:val="false"/>
                <w:bCs w:val="false"/>
                <w:color w:val="1A1A1A"/>
                <w:sz w:val="20"/>
                <w:szCs w:val="20"/>
              </w:rPr>
              <w:t xml:space="preserve">Draft v1.2 (discovery-stage PRD — architecture pivot from v1.1)</w:t>
            </w:r>
          </w:p>
        </w:tc>
      </w:tr>
      <w:tr>
        <w:tc>
          <w:tcPr>
            <w:tcW w:type="dxa" w:w="3200"/>
            <w:tcMar>
              <w:top w:type="dxa" w:w="80"/>
              <w:left w:type="dxa" w:w="100"/>
              <w:bottom w:type="dxa" w:w="80"/>
              <w:right w:type="dxa" w:w="100"/>
            </w:tcMar>
          </w:tcPr>
          <w:p>
            <w:r>
              <w:rPr>
                <w:b w:val="false"/>
                <w:bCs w:val="false"/>
                <w:color w:val="1A1A1A"/>
                <w:sz w:val="20"/>
                <w:szCs w:val="20"/>
              </w:rPr>
              <w:t xml:space="preserve">Supersedes</w:t>
            </w:r>
          </w:p>
        </w:tc>
        <w:tc>
          <w:tcPr>
            <w:tcW w:type="dxa" w:w="6300"/>
            <w:tcMar>
              <w:top w:type="dxa" w:w="80"/>
              <w:left w:type="dxa" w:w="100"/>
              <w:bottom w:type="dxa" w:w="80"/>
              <w:right w:type="dxa" w:w="100"/>
            </w:tcMar>
          </w:tcPr>
          <w:p>
            <w:r>
              <w:rPr>
                <w:b w:val="false"/>
                <w:bCs w:val="false"/>
                <w:color w:val="1A1A1A"/>
                <w:sz w:val="20"/>
                <w:szCs w:val="20"/>
              </w:rPr>
              <w:t xml:space="preserve">Kirana-Napse PRD v1.1 (formerly named StockSense AI), July 30, 2026 — for all delivery-channel decisions</w:t>
            </w:r>
          </w:p>
        </w:tc>
      </w:tr>
      <w:tr>
        <w:tc>
          <w:tcPr>
            <w:tcW w:type="dxa" w:w="3200"/>
            <w:tcMar>
              <w:top w:type="dxa" w:w="80"/>
              <w:left w:type="dxa" w:w="100"/>
              <w:bottom w:type="dxa" w:w="80"/>
              <w:right w:type="dxa" w:w="100"/>
            </w:tcMar>
          </w:tcPr>
          <w:p>
            <w:r>
              <w:rPr>
                <w:b w:val="false"/>
                <w:bCs w:val="false"/>
                <w:color w:val="1A1A1A"/>
                <w:sz w:val="20"/>
                <w:szCs w:val="20"/>
              </w:rPr>
              <w:t xml:space="preserve">Owner</w:t>
            </w:r>
          </w:p>
        </w:tc>
        <w:tc>
          <w:tcPr>
            <w:tcW w:type="dxa" w:w="6300"/>
            <w:tcMar>
              <w:top w:type="dxa" w:w="80"/>
              <w:left w:type="dxa" w:w="100"/>
              <w:bottom w:type="dxa" w:w="80"/>
              <w:right w:type="dxa" w:w="100"/>
            </w:tcMar>
          </w:tcPr>
          <w:p>
            <w:r>
              <w:rPr>
                <w:b w:val="false"/>
                <w:bCs w:val="false"/>
                <w:color w:val="1A1A1A"/>
                <w:sz w:val="20"/>
                <w:szCs w:val="20"/>
              </w:rPr>
              <w:t xml:space="preserve">Product Team</w:t>
            </w:r>
          </w:p>
        </w:tc>
      </w:tr>
      <w:tr>
        <w:tc>
          <w:tcPr>
            <w:tcW w:type="dxa" w:w="3200"/>
            <w:tcMar>
              <w:top w:type="dxa" w:w="80"/>
              <w:left w:type="dxa" w:w="100"/>
              <w:bottom w:type="dxa" w:w="80"/>
              <w:right w:type="dxa" w:w="100"/>
            </w:tcMar>
          </w:tcPr>
          <w:p>
            <w:r>
              <w:rPr>
                <w:b w:val="false"/>
                <w:bCs w:val="false"/>
                <w:color w:val="1A1A1A"/>
                <w:sz w:val="20"/>
                <w:szCs w:val="20"/>
              </w:rPr>
              <w:t xml:space="preserve">Last updated</w:t>
            </w:r>
          </w:p>
        </w:tc>
        <w:tc>
          <w:tcPr>
            <w:tcW w:type="dxa" w:w="6300"/>
            <w:tcMar>
              <w:top w:type="dxa" w:w="80"/>
              <w:left w:type="dxa" w:w="100"/>
              <w:bottom w:type="dxa" w:w="80"/>
              <w:right w:type="dxa" w:w="100"/>
            </w:tcMar>
          </w:tcPr>
          <w:p>
            <w:r>
              <w:rPr>
                <w:b w:val="false"/>
                <w:bCs w:val="false"/>
                <w:color w:val="1A1A1A"/>
                <w:sz w:val="20"/>
                <w:szCs w:val="20"/>
              </w:rPr>
              <w:t xml:space="preserve">August 11, 2026</w:t>
            </w:r>
          </w:p>
        </w:tc>
      </w:tr>
    </w:tbl>
    <w:p>
      <w:pPr>
        <w:spacing w:before="500"/>
      </w:pPr>
    </w:p>
    <w:p>
      <w:pPr>
        <w:shd w:fill="FCE4D6" w:val="clear"/>
        <w:spacing w:before="200"/>
      </w:pPr>
      <w:r>
        <w:rPr>
          <w:i/>
          <w:iCs/>
          <w:color w:val="1A1A1A"/>
          <w:sz w:val="20"/>
          <w:szCs w:val="20"/>
        </w:rPr>
        <w:t xml:space="preserve">v1.2 change log: at the team's direction, this revision removes WhatsApp and SMS as delivery channels and makes the native Android app the sole interface for onboarding, daily/weekly use, and the feedback loop. This is an explicit reversal of v1.1's design principle (§7: “WhatsApp/SMS-based alerts should be a first-class interface, not an afterthought”), made without new validating research — flagged throughout as [Pivot] where it changes prior reasoning, and as [Risk — new] where it introduces a risk the original document didn't carry. Everything not tied to delivery channel (problem statement, market sizing, monetization thesis, competitive landscape) is unchanged from v1.1. Naming note: this document was subsequently renamed from “StockSense AI” to “Kirana-Napse”; all content below reflects the new name, with no other changes.</w:t>
      </w:r>
    </w:p>
    <w:p>
      <w:pPr>
        <w:sectPr>
          <w:pgSz w:w="12240" w:h="15840" w:orient="portrait"/>
          <w:pgMar w:top="1440" w:right="1350" w:bottom="1440" w:left="1350" w:header="708" w:footer="708" w:gutter="0"/>
          <w:pgNumType/>
          <w:docGrid w:linePitch="360"/>
        </w:sectPr>
      </w:pPr>
    </w:p>
    <w:p>
      <w:pPr>
        <w:pStyle w:val="Heading1"/>
        <w:pBdr>
          <w:bottom w:val="single" w:color="1F3864" w:sz="6" w:space="4"/>
        </w:pBdr>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00"/>
      </w:pPr>
      <w:r>
        <w:t xml:space="preserve">1. Problem Statement</w:t>
      </w:r>
    </w:p>
    <w:p>
      <w:pPr>
        <w:spacing w:after="160" w:line="276"/>
      </w:pPr>
      <w:r>
        <w:rPr>
          <w:sz w:val="21"/>
          <w:szCs w:val="21"/>
        </w:rPr>
        <w:t xml:space="preserve">Small retail kirana stores managing hundreds of SKUs rely on guesswork to reorder inventory, frequently running out of fast-moving items or over-stocking slow sellers because they lack affordable AI-powered predictive analytics that can forecast demand patterns based on historical sales data and seasonal trends.</w:t>
      </w:r>
    </w:p>
    <w:p>
      <w:pPr>
        <w:spacing w:after="160" w:line="276"/>
      </w:pPr>
      <w:r>
        <w:rPr>
          <w:sz w:val="21"/>
          <w:szCs w:val="21"/>
        </w:rPr>
        <w:t xml:space="preserve">This problem statement traces back to Razorpay's Fix My Itch initiative — an AI system launched around National Startup Day 2026 that mines founder and consumer conversations (social platforms, surveys, on-ground interviews) for recurring pain points and scores them for startup-worthiness. (Unchanged from v1.1.)</w:t>
      </w:r>
    </w:p>
    <w:p>
      <w:pPr>
        <w:pStyle w:val="Heading1"/>
        <w:pBdr>
          <w:bottom w:val="single" w:color="1F3864" w:sz="6" w:space="4"/>
        </w:pBdr>
        <w:spacing w:after="200" w:before="400"/>
      </w:pPr>
      <w:r>
        <w:t xml:space="preserve">2. Opportunity Validation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6100"/>
      </w:tblGrid>
      <w:tr>
        <w:trPr>
          <w:tblHeader/>
        </w:trPr>
        <w:tc>
          <w:tcPr>
            <w:tcW w:type="dxa" w:w="1600"/>
            <w:shd w:fill="1F3864" w:val="clear"/>
            <w:tcMar>
              <w:top w:type="dxa" w:w="80"/>
              <w:left w:type="dxa" w:w="100"/>
              <w:bottom w:type="dxa" w:w="80"/>
              <w:right w:type="dxa" w:w="100"/>
            </w:tcMar>
          </w:tcPr>
          <w:p>
            <w:r>
              <w:rPr>
                <w:b/>
                <w:bCs/>
                <w:color w:val="FFFFFF"/>
                <w:sz w:val="20"/>
                <w:szCs w:val="20"/>
              </w:rPr>
              <w:t xml:space="preserve">Metric</w:t>
            </w:r>
          </w:p>
        </w:tc>
        <w:tc>
          <w:tcPr>
            <w:tcW w:type="dxa" w:w="900"/>
            <w:shd w:fill="1F3864" w:val="clear"/>
            <w:tcMar>
              <w:top w:type="dxa" w:w="80"/>
              <w:left w:type="dxa" w:w="100"/>
              <w:bottom w:type="dxa" w:w="80"/>
              <w:right w:type="dxa" w:w="100"/>
            </w:tcMar>
          </w:tcPr>
          <w:p>
            <w:r>
              <w:rPr>
                <w:b/>
                <w:bCs/>
                <w:color w:val="FFFFFF"/>
                <w:sz w:val="20"/>
                <w:szCs w:val="20"/>
              </w:rPr>
              <w:t xml:space="preserve">Score</w:t>
            </w:r>
          </w:p>
        </w:tc>
        <w:tc>
          <w:tcPr>
            <w:tcW w:type="dxa" w:w="900"/>
            <w:shd w:fill="1F3864" w:val="clear"/>
            <w:tcMar>
              <w:top w:type="dxa" w:w="80"/>
              <w:left w:type="dxa" w:w="100"/>
              <w:bottom w:type="dxa" w:w="80"/>
              <w:right w:type="dxa" w:w="100"/>
            </w:tcMar>
          </w:tcPr>
          <w:p>
            <w:r>
              <w:rPr>
                <w:b/>
                <w:bCs/>
                <w:color w:val="FFFFFF"/>
                <w:sz w:val="20"/>
                <w:szCs w:val="20"/>
              </w:rPr>
              <w:t xml:space="preserve">Scale</w:t>
            </w:r>
          </w:p>
        </w:tc>
        <w:tc>
          <w:tcPr>
            <w:tcW w:type="dxa" w:w="6100"/>
            <w:shd w:fill="1F3864" w:val="clear"/>
            <w:tcMar>
              <w:top w:type="dxa" w:w="80"/>
              <w:left w:type="dxa" w:w="100"/>
              <w:bottom w:type="dxa" w:w="80"/>
              <w:right w:type="dxa" w:w="100"/>
            </w:tcMar>
          </w:tcPr>
          <w:p>
            <w:r>
              <w:rPr>
                <w:b/>
                <w:bCs/>
                <w:color w:val="FFFFFF"/>
                <w:sz w:val="20"/>
                <w:szCs w:val="20"/>
              </w:rPr>
              <w:t xml:space="preserve">What it signals here</w:t>
            </w:r>
          </w:p>
        </w:tc>
      </w:tr>
      <w:tr>
        <w:tc>
          <w:tcPr>
            <w:tcW w:type="dxa" w:w="1600"/>
            <w:tcMar>
              <w:top w:type="dxa" w:w="80"/>
              <w:left w:type="dxa" w:w="100"/>
              <w:bottom w:type="dxa" w:w="80"/>
              <w:right w:type="dxa" w:w="100"/>
            </w:tcMar>
          </w:tcPr>
          <w:p>
            <w:r>
              <w:rPr>
                <w:b w:val="false"/>
                <w:bCs w:val="false"/>
                <w:color w:val="1A1A1A"/>
                <w:sz w:val="20"/>
                <w:szCs w:val="20"/>
              </w:rPr>
              <w:t xml:space="preserve">Severity</w:t>
            </w:r>
          </w:p>
        </w:tc>
        <w:tc>
          <w:tcPr>
            <w:tcW w:type="dxa" w:w="900"/>
            <w:tcMar>
              <w:top w:type="dxa" w:w="80"/>
              <w:left w:type="dxa" w:w="100"/>
              <w:bottom w:type="dxa" w:w="80"/>
              <w:right w:type="dxa" w:w="100"/>
            </w:tcMar>
          </w:tcPr>
          <w:p>
            <w:r>
              <w:rPr>
                <w:b w:val="false"/>
                <w:bCs w:val="false"/>
                <w:color w:val="1A1A1A"/>
                <w:sz w:val="20"/>
                <w:szCs w:val="20"/>
              </w:rPr>
              <w:t xml:space="preserve">8</w:t>
            </w:r>
          </w:p>
        </w:tc>
        <w:tc>
          <w:tcPr>
            <w:tcW w:type="dxa" w:w="900"/>
            <w:tcMar>
              <w:top w:type="dxa" w:w="80"/>
              <w:left w:type="dxa" w:w="100"/>
              <w:bottom w:type="dxa" w:w="80"/>
              <w:right w:type="dxa" w:w="100"/>
            </w:tcMar>
          </w:tcPr>
          <w:p>
            <w:r>
              <w:rPr>
                <w:b w:val="false"/>
                <w:bCs w:val="false"/>
                <w:color w:val="1A1A1A"/>
                <w:sz w:val="20"/>
                <w:szCs w:val="20"/>
              </w:rPr>
              <w:t xml:space="preserve">/10</w:t>
            </w:r>
          </w:p>
        </w:tc>
        <w:tc>
          <w:tcPr>
            <w:tcW w:type="dxa" w:w="6100"/>
            <w:tcMar>
              <w:top w:type="dxa" w:w="80"/>
              <w:left w:type="dxa" w:w="100"/>
              <w:bottom w:type="dxa" w:w="80"/>
              <w:right w:type="dxa" w:w="100"/>
            </w:tcMar>
          </w:tcPr>
          <w:p>
            <w:r>
              <w:rPr>
                <w:b w:val="false"/>
                <w:bCs w:val="false"/>
                <w:color w:val="1A1A1A"/>
                <w:sz w:val="20"/>
                <w:szCs w:val="20"/>
              </w:rPr>
              <w:t xml:space="preserve">Acute pain — stockouts and dead stock hit revenue and working capital directly, not a minor annoyance</w:t>
            </w:r>
          </w:p>
        </w:tc>
      </w:tr>
      <w:tr>
        <w:tc>
          <w:tcPr>
            <w:tcW w:type="dxa" w:w="1600"/>
            <w:tcMar>
              <w:top w:type="dxa" w:w="80"/>
              <w:left w:type="dxa" w:w="100"/>
              <w:bottom w:type="dxa" w:w="80"/>
              <w:right w:type="dxa" w:w="100"/>
            </w:tcMar>
          </w:tcPr>
          <w:p>
            <w:r>
              <w:rPr>
                <w:b w:val="false"/>
                <w:bCs w:val="false"/>
                <w:color w:val="1A1A1A"/>
                <w:sz w:val="20"/>
                <w:szCs w:val="20"/>
              </w:rPr>
              <w:t xml:space="preserve">Frequency</w:t>
            </w:r>
          </w:p>
        </w:tc>
        <w:tc>
          <w:tcPr>
            <w:tcW w:type="dxa" w:w="900"/>
            <w:tcMar>
              <w:top w:type="dxa" w:w="80"/>
              <w:left w:type="dxa" w:w="100"/>
              <w:bottom w:type="dxa" w:w="80"/>
              <w:right w:type="dxa" w:w="100"/>
            </w:tcMar>
          </w:tcPr>
          <w:p>
            <w:r>
              <w:rPr>
                <w:b w:val="false"/>
                <w:bCs w:val="false"/>
                <w:color w:val="1A1A1A"/>
                <w:sz w:val="20"/>
                <w:szCs w:val="20"/>
              </w:rPr>
              <w:t xml:space="preserve">8</w:t>
            </w:r>
          </w:p>
        </w:tc>
        <w:tc>
          <w:tcPr>
            <w:tcW w:type="dxa" w:w="900"/>
            <w:tcMar>
              <w:top w:type="dxa" w:w="80"/>
              <w:left w:type="dxa" w:w="100"/>
              <w:bottom w:type="dxa" w:w="80"/>
              <w:right w:type="dxa" w:w="100"/>
            </w:tcMar>
          </w:tcPr>
          <w:p>
            <w:r>
              <w:rPr>
                <w:b w:val="false"/>
                <w:bCs w:val="false"/>
                <w:color w:val="1A1A1A"/>
                <w:sz w:val="20"/>
                <w:szCs w:val="20"/>
              </w:rPr>
              <w:t xml:space="preserve">/10</w:t>
            </w:r>
          </w:p>
        </w:tc>
        <w:tc>
          <w:tcPr>
            <w:tcW w:type="dxa" w:w="6100"/>
            <w:tcMar>
              <w:top w:type="dxa" w:w="80"/>
              <w:left w:type="dxa" w:w="100"/>
              <w:bottom w:type="dxa" w:w="80"/>
              <w:right w:type="dxa" w:w="100"/>
            </w:tcMar>
          </w:tcPr>
          <w:p>
            <w:r>
              <w:rPr>
                <w:b w:val="false"/>
                <w:bCs w:val="false"/>
                <w:color w:val="1A1A1A"/>
                <w:sz w:val="20"/>
                <w:szCs w:val="20"/>
              </w:rPr>
              <w:t xml:space="preserve">Not seasonal or rare — reordering decisions happen daily/weekly, across hundreds of SKUs, in every one of India's kirana stores</w:t>
            </w:r>
          </w:p>
        </w:tc>
      </w:tr>
      <w:tr>
        <w:tc>
          <w:tcPr>
            <w:tcW w:type="dxa" w:w="1600"/>
            <w:tcMar>
              <w:top w:type="dxa" w:w="80"/>
              <w:left w:type="dxa" w:w="100"/>
              <w:bottom w:type="dxa" w:w="80"/>
              <w:right w:type="dxa" w:w="100"/>
            </w:tcMar>
          </w:tcPr>
          <w:p>
            <w:r>
              <w:rPr>
                <w:b w:val="false"/>
                <w:bCs w:val="false"/>
                <w:color w:val="1A1A1A"/>
                <w:sz w:val="20"/>
                <w:szCs w:val="20"/>
              </w:rPr>
              <w:t xml:space="preserve">Whitespace</w:t>
            </w:r>
          </w:p>
        </w:tc>
        <w:tc>
          <w:tcPr>
            <w:tcW w:type="dxa" w:w="900"/>
            <w:tcMar>
              <w:top w:type="dxa" w:w="80"/>
              <w:left w:type="dxa" w:w="100"/>
              <w:bottom w:type="dxa" w:w="80"/>
              <w:right w:type="dxa" w:w="100"/>
            </w:tcMar>
          </w:tcPr>
          <w:p>
            <w:r>
              <w:rPr>
                <w:b w:val="false"/>
                <w:bCs w:val="false"/>
                <w:color w:val="1A1A1A"/>
                <w:sz w:val="20"/>
                <w:szCs w:val="20"/>
              </w:rPr>
              <w:t xml:space="preserve">6</w:t>
            </w:r>
          </w:p>
        </w:tc>
        <w:tc>
          <w:tcPr>
            <w:tcW w:type="dxa" w:w="900"/>
            <w:tcMar>
              <w:top w:type="dxa" w:w="80"/>
              <w:left w:type="dxa" w:w="100"/>
              <w:bottom w:type="dxa" w:w="80"/>
              <w:right w:type="dxa" w:w="100"/>
            </w:tcMar>
          </w:tcPr>
          <w:p>
            <w:r>
              <w:rPr>
                <w:b w:val="false"/>
                <w:bCs w:val="false"/>
                <w:color w:val="1A1A1A"/>
                <w:sz w:val="20"/>
                <w:szCs w:val="20"/>
              </w:rPr>
              <w:t xml:space="preserve">/10</w:t>
            </w:r>
          </w:p>
        </w:tc>
        <w:tc>
          <w:tcPr>
            <w:tcW w:type="dxa" w:w="6100"/>
            <w:tcMar>
              <w:top w:type="dxa" w:w="80"/>
              <w:left w:type="dxa" w:w="100"/>
              <w:bottom w:type="dxa" w:w="80"/>
              <w:right w:type="dxa" w:w="100"/>
            </w:tcMar>
          </w:tcPr>
          <w:p>
            <w:r>
              <w:rPr>
                <w:b w:val="false"/>
                <w:bCs w:val="false"/>
                <w:color w:val="1A1A1A"/>
                <w:sz w:val="20"/>
                <w:szCs w:val="20"/>
              </w:rPr>
              <w:t xml:space="preserve">Moderately open — the category isn't empty (FMCG brands and a few funded startups are already circling it, see §12), but no dominant, affordable, retailer-first solution owns it yet</w:t>
            </w:r>
          </w:p>
        </w:tc>
      </w:tr>
      <w:tr>
        <w:tc>
          <w:tcPr>
            <w:tcW w:type="dxa" w:w="1600"/>
            <w:tcMar>
              <w:top w:type="dxa" w:w="80"/>
              <w:left w:type="dxa" w:w="100"/>
              <w:bottom w:type="dxa" w:w="80"/>
              <w:right w:type="dxa" w:w="100"/>
            </w:tcMar>
          </w:tcPr>
          <w:p>
            <w:r>
              <w:rPr>
                <w:b w:val="false"/>
                <w:bCs w:val="false"/>
                <w:color w:val="1A1A1A"/>
                <w:sz w:val="20"/>
                <w:szCs w:val="20"/>
              </w:rPr>
              <w:t xml:space="preserve">TAM</w:t>
            </w:r>
          </w:p>
        </w:tc>
        <w:tc>
          <w:tcPr>
            <w:tcW w:type="dxa" w:w="900"/>
            <w:tcMar>
              <w:top w:type="dxa" w:w="80"/>
              <w:left w:type="dxa" w:w="100"/>
              <w:bottom w:type="dxa" w:w="80"/>
              <w:right w:type="dxa" w:w="100"/>
            </w:tcMar>
          </w:tcPr>
          <w:p>
            <w:r>
              <w:rPr>
                <w:b w:val="false"/>
                <w:bCs w:val="false"/>
                <w:color w:val="1A1A1A"/>
                <w:sz w:val="20"/>
                <w:szCs w:val="20"/>
              </w:rPr>
              <w:t xml:space="preserve">80</w:t>
            </w:r>
          </w:p>
        </w:tc>
        <w:tc>
          <w:tcPr>
            <w:tcW w:type="dxa" w:w="900"/>
            <w:tcMar>
              <w:top w:type="dxa" w:w="80"/>
              <w:left w:type="dxa" w:w="100"/>
              <w:bottom w:type="dxa" w:w="80"/>
              <w:right w:type="dxa" w:w="100"/>
            </w:tcMar>
          </w:tcPr>
          <w:p>
            <w:r>
              <w:rPr>
                <w:b w:val="false"/>
                <w:bCs w:val="false"/>
                <w:color w:val="1A1A1A"/>
                <w:sz w:val="20"/>
                <w:szCs w:val="20"/>
              </w:rPr>
              <w:t xml:space="preserve">/100</w:t>
            </w:r>
          </w:p>
        </w:tc>
        <w:tc>
          <w:tcPr>
            <w:tcW w:type="dxa" w:w="6100"/>
            <w:tcMar>
              <w:top w:type="dxa" w:w="80"/>
              <w:left w:type="dxa" w:w="100"/>
              <w:bottom w:type="dxa" w:w="80"/>
              <w:right w:type="dxa" w:w="100"/>
            </w:tcMar>
          </w:tcPr>
          <w:p>
            <w:r>
              <w:rPr>
                <w:b w:val="false"/>
                <w:bCs w:val="false"/>
                <w:color w:val="1A1A1A"/>
                <w:sz w:val="20"/>
                <w:szCs w:val="20"/>
              </w:rPr>
              <w:t xml:space="preserve">Very large — tens of millions of stores means even modest penetration supports a venture-scale outcome</w:t>
            </w:r>
          </w:p>
        </w:tc>
      </w:tr>
    </w:tbl>
    <w:p>
      <w:pPr>
        <w:spacing w:after="160" w:line="276"/>
      </w:pPr>
      <w:r>
        <w:rPr>
          <w:i/>
          <w:iCs/>
          <w:color w:val="595959"/>
          <w:sz w:val="21"/>
          <w:szCs w:val="21"/>
        </w:rPr>
        <w:t xml:space="preserve">Itch Score: 61.5 composite — a strong, fundable signal. Unchanged from v1.1; the channel pivot in this revision does not affect the underlying opportunity sizing.</w:t>
      </w:r>
    </w:p>
    <w:p>
      <w:pPr>
        <w:pStyle w:val="Heading1"/>
        <w:pBdr>
          <w:bottom w:val="single" w:color="1F3864" w:sz="6" w:space="4"/>
        </w:pBdr>
        <w:spacing w:after="200" w:before="400"/>
      </w:pPr>
      <w:r>
        <w:t xml:space="preserve">3. Market Context — Why This, Why Now</w:t>
      </w:r>
    </w:p>
    <w:p>
      <w:pPr>
        <w:pStyle w:val="ListParagraph"/>
        <w:numPr>
          <w:ilvl w:val="0"/>
          <w:numId w:val="2"/>
        </w:numPr>
        <w:spacing w:after="80"/>
      </w:pPr>
      <w:r>
        <w:rPr>
          <w:sz w:val="21"/>
          <w:szCs w:val="21"/>
        </w:rPr>
        <w:t xml:space="preserve">India has an estimated 12–15 million kirana stores (most commonly cited: ~13 million), accounting for the large majority of retail trade and an estimated 90%+ of FMCG/grocery sales.</w:t>
      </w:r>
    </w:p>
    <w:p>
      <w:pPr>
        <w:pStyle w:val="ListParagraph"/>
        <w:numPr>
          <w:ilvl w:val="0"/>
          <w:numId w:val="2"/>
        </w:numPr>
        <w:spacing w:after="80"/>
      </w:pPr>
      <w:r>
        <w:rPr>
          <w:sz w:val="21"/>
          <w:szCs w:val="21"/>
        </w:rPr>
        <w:t xml:space="preserve">Accenture research on kirana digital transformation found revenue gains of 20–300% and profit gains of 30–400% at stores that digitized, attributed more to smarter purchasing than to selling more.</w:t>
      </w:r>
    </w:p>
    <w:p>
      <w:pPr>
        <w:pStyle w:val="ListParagraph"/>
        <w:numPr>
          <w:ilvl w:val="0"/>
          <w:numId w:val="2"/>
        </w:numPr>
        <w:spacing w:after="80"/>
      </w:pPr>
      <w:r>
        <w:rPr>
          <w:sz w:val="21"/>
          <w:szCs w:val="21"/>
        </w:rPr>
        <w:t xml:space="preserve">RedSeer Consulting research found roughly 70% of urban kirana owners are now open to adopting technology to run their business, up from an estimated 3% tech-enabled in 2018.</w:t>
      </w:r>
    </w:p>
    <w:p>
      <w:pPr>
        <w:pStyle w:val="ListParagraph"/>
        <w:numPr>
          <w:ilvl w:val="0"/>
          <w:numId w:val="2"/>
        </w:numPr>
        <w:spacing w:after="80"/>
      </w:pPr>
      <w:r>
        <w:rPr>
          <w:sz w:val="21"/>
          <w:szCs w:val="21"/>
        </w:rPr>
        <w:t xml:space="preserve">UPI processed over 228 billion transactions (~$3.6T) in 2025 alone — proof that small-value digital infrastructure, including app-based tools, works economically at kirana scale.</w:t>
      </w:r>
    </w:p>
    <w:p>
      <w:pPr>
        <w:pStyle w:val="ListParagraph"/>
        <w:numPr>
          <w:ilvl w:val="0"/>
          <w:numId w:val="2"/>
        </w:numPr>
        <w:spacing w:after="80"/>
      </w:pPr>
      <w:r>
        <w:rPr>
          <w:sz w:val="21"/>
          <w:szCs w:val="21"/>
        </w:rPr>
        <w:t xml:space="preserve">ONDC's public roadmap includes AI-assisted cataloging and multilingual, voice-enabled interfaces (hypothesis) — a tailwind for any retailer-facing app in this space.</w:t>
      </w:r>
    </w:p>
    <w:p>
      <w:pPr>
        <w:shd w:fill="FCE4D6" w:val="clear"/>
        <w:spacing w:after="200" w:before="120"/>
      </w:pPr>
      <w:r>
        <w:rPr>
          <w:i/>
          <w:iCs/>
          <w:color w:val="1A1A1A"/>
          <w:sz w:val="20"/>
          <w:szCs w:val="20"/>
        </w:rPr>
        <w:t xml:space="preserve">[Pivot — read carefully] The v1.1 “willingness to adopt” evidence above (RedSeer's 70% figure) was gathered and cited to support technology adoption in general, not app-installation specifically. It does not, on its own, validate that owners will install and habitually open a dedicated app rather than use a channel they already have open daily (WhatsApp). This gap is now the single biggest unvalidated assumption in the product (see §10, §14).</w:t>
      </w:r>
    </w:p>
    <w:p>
      <w:pPr>
        <w:pStyle w:val="Heading1"/>
        <w:pBdr>
          <w:bottom w:val="single" w:color="1F3864" w:sz="6" w:space="4"/>
        </w:pBdr>
        <w:spacing w:after="200" w:before="400"/>
      </w:pPr>
      <w:r>
        <w:t xml:space="preserve">4. Goals &amp; Objectives</w:t>
      </w:r>
    </w:p>
    <w:p>
      <w:pPr>
        <w:pStyle w:val="Heading2"/>
        <w:spacing w:after="120" w:before="300"/>
      </w:pPr>
      <w:r>
        <w:t xml:space="preserve">4.1 Business Goals</w:t>
      </w:r>
    </w:p>
    <w:p>
      <w:pPr>
        <w:pStyle w:val="ListParagraph"/>
        <w:numPr>
          <w:ilvl w:val="0"/>
          <w:numId w:val="2"/>
        </w:numPr>
        <w:spacing w:after="80"/>
      </w:pPr>
      <w:r>
        <w:rPr>
          <w:sz w:val="21"/>
          <w:szCs w:val="21"/>
        </w:rPr>
        <w:t xml:space="preserve">Validate a repeatable, low-cost-to-serve model for AI-driven reorder recommendations at kirana-store economics.</w:t>
      </w:r>
    </w:p>
    <w:p>
      <w:pPr>
        <w:pStyle w:val="ListParagraph"/>
        <w:numPr>
          <w:ilvl w:val="0"/>
          <w:numId w:val="2"/>
        </w:numPr>
        <w:spacing w:after="80"/>
      </w:pPr>
      <w:r>
        <w:rPr>
          <w:sz w:val="21"/>
          <w:szCs w:val="21"/>
        </w:rPr>
        <w:t xml:space="preserve">Reach a pilot cohort large enough to prove forecast accuracy and behavior change (target: 200–500 stores across 2–3 cities in Phase 1 — see §16).</w:t>
      </w:r>
    </w:p>
    <w:p>
      <w:pPr>
        <w:pStyle w:val="ListParagraph"/>
        <w:numPr>
          <w:ilvl w:val="0"/>
          <w:numId w:val="2"/>
        </w:numPr>
        <w:spacing w:after="80"/>
      </w:pPr>
      <w:r>
        <w:rPr>
          <w:sz w:val="21"/>
          <w:szCs w:val="21"/>
        </w:rPr>
        <w:t xml:space="preserve">Build a defensible data asset (store-level historical demand + local seasonal patterns) that improves with scale.</w:t>
      </w:r>
    </w:p>
    <w:p>
      <w:pPr>
        <w:pStyle w:val="ListParagraph"/>
        <w:numPr>
          <w:ilvl w:val="0"/>
          <w:numId w:val="2"/>
        </w:numPr>
        <w:spacing w:after="80"/>
      </w:pPr>
      <w:r>
        <w:rPr>
          <w:sz w:val="21"/>
          <w:szCs w:val="21"/>
        </w:rPr>
        <w:t xml:space="preserve">[Pivot] Validate that a standalone Android app can reach and retain kirana owners without a chat-based on-ramp — this is now a business goal in its own right, not an assumed given.</w:t>
      </w:r>
    </w:p>
    <w:p>
      <w:pPr>
        <w:pStyle w:val="Heading2"/>
        <w:spacing w:after="120" w:before="300"/>
      </w:pPr>
      <w:r>
        <w:t xml:space="preserve">4.2 User Goals</w:t>
      </w:r>
    </w:p>
    <w:p>
      <w:pPr>
        <w:pStyle w:val="ListParagraph"/>
        <w:numPr>
          <w:ilvl w:val="0"/>
          <w:numId w:val="2"/>
        </w:numPr>
        <w:spacing w:after="80"/>
      </w:pPr>
      <w:r>
        <w:rPr>
          <w:sz w:val="21"/>
          <w:szCs w:val="21"/>
        </w:rPr>
        <w:t xml:space="preserve">Stop losing sales to stockouts on the items that matter most.</w:t>
      </w:r>
    </w:p>
    <w:p>
      <w:pPr>
        <w:pStyle w:val="ListParagraph"/>
        <w:numPr>
          <w:ilvl w:val="0"/>
          <w:numId w:val="2"/>
        </w:numPr>
        <w:spacing w:after="80"/>
      </w:pPr>
      <w:r>
        <w:rPr>
          <w:sz w:val="21"/>
          <w:szCs w:val="21"/>
        </w:rPr>
        <w:t xml:space="preserve">Stop tying up cash and shelf space in slow-moving or expiring stock.</w:t>
      </w:r>
    </w:p>
    <w:p>
      <w:pPr>
        <w:pStyle w:val="ListParagraph"/>
        <w:numPr>
          <w:ilvl w:val="0"/>
          <w:numId w:val="2"/>
        </w:numPr>
        <w:spacing w:after="80"/>
      </w:pPr>
      <w:r>
        <w:rPr>
          <w:sz w:val="21"/>
          <w:szCs w:val="21"/>
        </w:rPr>
        <w:t xml:space="preserve">Spend less time and mental energy deciding what to reorder, in a way that fits into an already-busy day running the store.</w:t>
      </w:r>
    </w:p>
    <w:p>
      <w:pPr>
        <w:pStyle w:val="Heading2"/>
        <w:spacing w:after="120" w:before="300"/>
      </w:pPr>
      <w:r>
        <w:t xml:space="preserve">4.3 Non-Goals (out of scope for this PRD)</w:t>
      </w:r>
    </w:p>
    <w:p>
      <w:pPr>
        <w:pStyle w:val="ListParagraph"/>
        <w:numPr>
          <w:ilvl w:val="0"/>
          <w:numId w:val="2"/>
        </w:numPr>
        <w:spacing w:after="80"/>
      </w:pPr>
      <w:r>
        <w:rPr>
          <w:sz w:val="21"/>
          <w:szCs w:val="21"/>
        </w:rPr>
        <w:t xml:space="preserve">Replacing the store's existing billing/POS system.</w:t>
      </w:r>
    </w:p>
    <w:p>
      <w:pPr>
        <w:pStyle w:val="ListParagraph"/>
        <w:numPr>
          <w:ilvl w:val="0"/>
          <w:numId w:val="2"/>
        </w:numPr>
        <w:spacing w:after="80"/>
      </w:pPr>
      <w:r>
        <w:rPr>
          <w:sz w:val="21"/>
          <w:szCs w:val="21"/>
        </w:rPr>
        <w:t xml:space="preserve">Payments, credit, or lending products.</w:t>
      </w:r>
    </w:p>
    <w:p>
      <w:pPr>
        <w:pStyle w:val="ListParagraph"/>
        <w:numPr>
          <w:ilvl w:val="0"/>
          <w:numId w:val="2"/>
        </w:numPr>
        <w:spacing w:after="80"/>
      </w:pPr>
      <w:r>
        <w:rPr>
          <w:sz w:val="21"/>
          <w:szCs w:val="21"/>
        </w:rPr>
        <w:t xml:space="preserve">Delivery/logistics execution.</w:t>
      </w:r>
    </w:p>
    <w:p>
      <w:pPr>
        <w:pStyle w:val="ListParagraph"/>
        <w:numPr>
          <w:ilvl w:val="0"/>
          <w:numId w:val="2"/>
        </w:numPr>
        <w:spacing w:after="80"/>
      </w:pPr>
      <w:r>
        <w:rPr>
          <w:sz w:val="21"/>
          <w:szCs w:val="21"/>
        </w:rPr>
        <w:t xml:space="preserve">Automating orders to distributors without owner approval (v1 keeps a human in the loop — see §8).</w:t>
      </w:r>
    </w:p>
    <w:p>
      <w:pPr>
        <w:pStyle w:val="ListParagraph"/>
        <w:numPr>
          <w:ilvl w:val="0"/>
          <w:numId w:val="2"/>
        </w:numPr>
        <w:spacing w:after="80"/>
      </w:pPr>
      <w:r>
        <w:rPr>
          <w:sz w:val="21"/>
          <w:szCs w:val="21"/>
        </w:rPr>
        <w:t xml:space="preserve">[Pivot, new] WhatsApp or SMS as a delivery channel — explicitly out of scope for this edition; all owner-facing delivery happens inside the Android app (see §7, §8).</w:t>
      </w:r>
    </w:p>
    <w:p>
      <w:pPr>
        <w:pStyle w:val="Heading1"/>
        <w:pBdr>
          <w:bottom w:val="single" w:color="1F3864" w:sz="6" w:space="4"/>
        </w:pBdr>
        <w:spacing w:after="200" w:before="400"/>
      </w:pPr>
      <w:r>
        <w:t xml:space="preserve">5. Target Users</w:t>
      </w:r>
    </w:p>
    <w:p>
      <w:pPr>
        <w:pStyle w:val="Heading2"/>
        <w:spacing w:after="120" w:before="300"/>
      </w:pPr>
      <w:r>
        <w:t xml:space="preserve">5.1 Primary — The Kirana Store Owner/Operator (persona, hypothesis — to validate with interviews)</w:t>
      </w:r>
    </w:p>
    <w:p>
      <w:pPr>
        <w:spacing w:after="160" w:line="276"/>
      </w:pPr>
      <w:r>
        <w:rPr>
          <w:sz w:val="21"/>
          <w:szCs w:val="21"/>
        </w:rPr>
        <w:t xml:space="preserve">“Ramesh,” 48, Lucknow — runs a single ~500 sq. ft. general store for 18 years, stocking 500–700 SKUs across grocery, personal care, snacks, and beverages. Tracks sales through a mix of memory, a paper register, and a basic billing app used mainly for GST purposes. Reorders by walking the shelves and going on feel, topped up by whatever the distributor's salesman pushes that week. Owns an Android phone, uses WhatsApp daily, is comfortable in Hindi with functional English. Margins are thin (5–15% depending on category), so a single bad ordering week is felt immediately in cash flow.</w:t>
      </w:r>
    </w:p>
    <w:p>
      <w:pPr>
        <w:shd w:fill="FCE4D6" w:val="clear"/>
        <w:spacing w:after="200" w:before="120"/>
      </w:pPr>
      <w:r>
        <w:rPr>
          <w:i/>
          <w:iCs/>
          <w:color w:val="1A1A1A"/>
          <w:sz w:val="20"/>
          <w:szCs w:val="20"/>
        </w:rPr>
        <w:t xml:space="preserve">[Pivot — read carefully] Ramesh's persona description explicitly states he “uses WhatsApp daily” but says nothing about installing or regularly opening standalone apps beyond one billing app used narrowly for GST. This edition asks him to form a new daily-app habit rather than meeting him in an app he already opens. That gap is this PRD's central risk (see §14, §15).</w:t>
      </w:r>
    </w:p>
    <w:p>
      <w:pPr>
        <w:pStyle w:val="Heading2"/>
        <w:spacing w:after="120" w:before="300"/>
      </w:pPr>
      <w:r>
        <w:t xml:space="preserve">5.2 Secondary — The Next-Generation Operator</w:t>
      </w:r>
    </w:p>
    <w:p>
      <w:pPr>
        <w:spacing w:after="160" w:line="276"/>
      </w:pPr>
      <w:r>
        <w:rPr>
          <w:sz w:val="21"/>
          <w:szCs w:val="21"/>
        </w:rPr>
        <w:t xml:space="preserve">“Priya,” 31 — recently took over or expanded a family store, more comfortable with apps and data, already uses a billing/inventory app, and is actively looking for an edge against quick-commerce and larger chains encroaching on her catchment. Likely early adopter and word-of-mouth champion within local kirana owner networks.</w:t>
      </w:r>
    </w:p>
    <w:p>
      <w:pPr>
        <w:shd w:fill="DCE6F1" w:val="clear"/>
        <w:spacing w:after="200" w:before="120"/>
      </w:pPr>
      <w:r>
        <w:rPr>
          <w:i/>
          <w:iCs/>
          <w:color w:val="1A1A1A"/>
          <w:sz w:val="20"/>
          <w:szCs w:val="20"/>
        </w:rPr>
        <w:t xml:space="preserve">[Pivot implication] Priya is now the persona this edition's channel choice fits best — she's already app-comfortable and the app-only design plays to her strengths. Consider whether Phase 0 pilot recruiting should skew toward Priya-type owners to de-risk the channel bet, at least until app-adoption data exists for Ramesh-type owners.</w:t>
      </w:r>
    </w:p>
    <w:p>
      <w:pPr>
        <w:pStyle w:val="Heading2"/>
        <w:spacing w:after="120" w:before="300"/>
      </w:pPr>
      <w:r>
        <w:t xml:space="preserve">5.3 Tertiary Stakeholder — Local Distributors/Wholesalers</w:t>
      </w:r>
    </w:p>
    <w:p>
      <w:pPr>
        <w:spacing w:after="160" w:line="276"/>
      </w:pPr>
      <w:r>
        <w:rPr>
          <w:sz w:val="21"/>
          <w:szCs w:val="21"/>
        </w:rPr>
        <w:t xml:space="preserve">Not a primary user in v1, but a forecasting tool that changes what and when a store orders will change distributor demand patterns too — worth engaging early rather than surprising them (see risk in §15).</w:t>
      </w:r>
    </w:p>
    <w:p>
      <w:pPr>
        <w:pStyle w:val="Heading1"/>
        <w:pBdr>
          <w:bottom w:val="single" w:color="1F3864" w:sz="6" w:space="4"/>
        </w:pBdr>
        <w:spacing w:after="200" w:before="400"/>
      </w:pPr>
      <w:r>
        <w:t xml:space="preserve">6. Core User Problems (Jobs to Be Done)</w:t>
      </w:r>
    </w:p>
    <w:p>
      <w:pPr>
        <w:spacing w:after="160" w:line="276"/>
      </w:pPr>
      <w:r>
        <w:rPr>
          <w:sz w:val="21"/>
          <w:szCs w:val="21"/>
        </w:rPr>
        <w:t xml:space="preserve">When a kirana owner sits down, or stands at the counter, to decide what to reorder, they're really trying to:</w:t>
      </w:r>
    </w:p>
    <w:p>
      <w:pPr>
        <w:pStyle w:val="ListParagraph"/>
        <w:numPr>
          <w:ilvl w:val="0"/>
          <w:numId w:val="3"/>
        </w:numPr>
        <w:spacing w:after="80"/>
      </w:pPr>
      <w:r>
        <w:rPr>
          <w:sz w:val="21"/>
          <w:szCs w:val="21"/>
        </w:rPr>
        <w:t xml:space="preserve">“Tell me what's about to run out” — before it actually does, with enough lead time to reorder.</w:t>
      </w:r>
    </w:p>
    <w:p>
      <w:pPr>
        <w:pStyle w:val="ListParagraph"/>
        <w:numPr>
          <w:ilvl w:val="0"/>
          <w:numId w:val="3"/>
        </w:numPr>
        <w:spacing w:after="80"/>
      </w:pPr>
      <w:r>
        <w:rPr>
          <w:sz w:val="21"/>
          <w:szCs w:val="21"/>
        </w:rPr>
        <w:t xml:space="preserve">“Tell me what's not moving” — before more cash gets sunk into it or it expires.</w:t>
      </w:r>
    </w:p>
    <w:p>
      <w:pPr>
        <w:pStyle w:val="ListParagraph"/>
        <w:numPr>
          <w:ilvl w:val="0"/>
          <w:numId w:val="3"/>
        </w:numPr>
        <w:spacing w:after="80"/>
      </w:pPr>
      <w:r>
        <w:rPr>
          <w:sz w:val="21"/>
          <w:szCs w:val="21"/>
        </w:rPr>
        <w:t xml:space="preserve">“Tell me how much to order, not just what” — quantity is the harder, more anxiety-inducing decision than the item list.</w:t>
      </w:r>
    </w:p>
    <w:p>
      <w:pPr>
        <w:pStyle w:val="ListParagraph"/>
        <w:numPr>
          <w:ilvl w:val="0"/>
          <w:numId w:val="3"/>
        </w:numPr>
        <w:spacing w:after="80"/>
      </w:pPr>
      <w:r>
        <w:rPr>
          <w:sz w:val="21"/>
          <w:szCs w:val="21"/>
        </w:rPr>
        <w:t xml:space="preserve">“Account for the calendar” — festivals, weather, local events, and month-start/payday spikes all shift demand in ways gut-feel ordering often misses.</w:t>
      </w:r>
    </w:p>
    <w:p>
      <w:pPr>
        <w:pStyle w:val="ListParagraph"/>
        <w:numPr>
          <w:ilvl w:val="0"/>
          <w:numId w:val="3"/>
        </w:numPr>
        <w:spacing w:after="80"/>
      </w:pPr>
      <w:r>
        <w:rPr>
          <w:sz w:val="21"/>
          <w:szCs w:val="21"/>
        </w:rPr>
        <w:t xml:space="preserve">“Don't make this another chore” — whatever the tool asks of them daily needs to take seconds, not minutes, and work in their language.</w:t>
      </w:r>
    </w:p>
    <w:p>
      <w:pPr>
        <w:shd w:fill="FCE4D6" w:val="clear"/>
        <w:spacing w:after="200" w:before="120"/>
      </w:pPr>
      <w:r>
        <w:rPr>
          <w:i/>
          <w:iCs/>
          <w:color w:val="1A1A1A"/>
          <w:sz w:val="20"/>
          <w:szCs w:val="20"/>
        </w:rPr>
        <w:t xml:space="preserve">[Pivot tension] JTBD #5 is the one most directly stressed by this edition's channel choice: an app that has to be remembered, found, and opened is inherently more of “a chore” than a message that simply arrives in an app already open all day. Push notifications (§7) are this PRD's answer to that tension — their reliability and tap-through rate become a proxy for whether #5 is actually being met.</w:t>
      </w:r>
    </w:p>
    <w:p>
      <w:pPr>
        <w:pStyle w:val="Heading1"/>
        <w:pBdr>
          <w:bottom w:val="single" w:color="1F3864" w:sz="6" w:space="4"/>
        </w:pBdr>
        <w:spacing w:after="200" w:before="400"/>
      </w:pPr>
      <w:r>
        <w:t xml:space="preserve">7. Proposed Solution Overview</w:t>
      </w:r>
    </w:p>
    <w:p>
      <w:pPr>
        <w:spacing w:after="160" w:line="276"/>
      </w:pPr>
      <w:r>
        <w:rPr>
          <w:sz w:val="21"/>
          <w:szCs w:val="21"/>
        </w:rPr>
        <w:t xml:space="preserve">Kirana-Napse is an AI layer that sits on top of a kirana store's existing sales data, however it's captured, and turns it into two things delivered daily inside a native Android app: a shortlist of what to reorder and how much, and an early warning on what's overstocked or close to expiry.</w:t>
      </w:r>
    </w:p>
    <w:p>
      <w:pPr>
        <w:pStyle w:val="Heading2"/>
        <w:spacing w:after="120" w:before="300"/>
      </w:pPr>
      <w:r>
        <w:t xml:space="preserve">7.1 Design Principles (revised for this edition)</w:t>
      </w:r>
    </w:p>
    <w:p>
      <w:pPr>
        <w:pStyle w:val="ListParagraph"/>
        <w:numPr>
          <w:ilvl w:val="0"/>
          <w:numId w:val="2"/>
        </w:numPr>
        <w:spacing w:after="80"/>
      </w:pPr>
      <w:r>
        <w:rPr>
          <w:sz w:val="21"/>
          <w:szCs w:val="21"/>
        </w:rPr>
        <w:t xml:space="preserve">[Pivot] App-first, not chat-first. The Android app is the single interface for onboarding, daily/weekly use, and feedback — no WhatsApp or SMS dependency in this edition.</w:t>
      </w:r>
    </w:p>
    <w:p>
      <w:pPr>
        <w:pStyle w:val="ListParagraph"/>
        <w:numPr>
          <w:ilvl w:val="0"/>
          <w:numId w:val="2"/>
        </w:numPr>
        <w:spacing w:after="80"/>
      </w:pPr>
      <w:r>
        <w:rPr>
          <w:sz w:val="21"/>
          <w:szCs w:val="21"/>
        </w:rPr>
        <w:t xml:space="preserve">Push notifications replace WhatsApp's daily alert as the “arrives without being opened” mechanism — free and unlimited once installed, but dependent on the owner granting notification permission and not disabling it (a new failure mode WhatsApp didn't have, see §15).</w:t>
      </w:r>
    </w:p>
    <w:p>
      <w:pPr>
        <w:pStyle w:val="ListParagraph"/>
        <w:numPr>
          <w:ilvl w:val="0"/>
          <w:numId w:val="2"/>
        </w:numPr>
        <w:spacing w:after="80"/>
      </w:pPr>
      <w:r>
        <w:rPr>
          <w:sz w:val="21"/>
          <w:szCs w:val="21"/>
        </w:rPr>
        <w:t xml:space="preserve">Cold-start gracefully. Unchanged from v1.1: the app needs a usable v1 experience (category-level and comparable-store benchmarks) before it has three months of the store's own data.</w:t>
      </w:r>
    </w:p>
    <w:p>
      <w:pPr>
        <w:pStyle w:val="ListParagraph"/>
        <w:numPr>
          <w:ilvl w:val="0"/>
          <w:numId w:val="2"/>
        </w:numPr>
        <w:spacing w:after="80"/>
      </w:pPr>
      <w:r>
        <w:rPr>
          <w:sz w:val="21"/>
          <w:szCs w:val="21"/>
        </w:rPr>
        <w:t xml:space="preserve">Minimize data entry. Unchanged: pull from what already exists — billing app exports, distributor invoices, barcode/photo capture — rather than asking owners to type in sales manually.</w:t>
      </w:r>
    </w:p>
    <w:p>
      <w:pPr>
        <w:pStyle w:val="ListParagraph"/>
        <w:numPr>
          <w:ilvl w:val="0"/>
          <w:numId w:val="2"/>
        </w:numPr>
        <w:spacing w:after="80"/>
      </w:pPr>
      <w:r>
        <w:rPr>
          <w:sz w:val="21"/>
          <w:szCs w:val="21"/>
        </w:rPr>
        <w:t xml:space="preserve">Work offline, on low-end Android, on patchy data. Unchanged and, if anything, more important now — an app with no chat fallback needs its offline mode to genuinely carry the experience during connectivity gaps.</w:t>
      </w:r>
    </w:p>
    <w:p>
      <w:pPr>
        <w:pStyle w:val="ListParagraph"/>
        <w:numPr>
          <w:ilvl w:val="0"/>
          <w:numId w:val="2"/>
        </w:numPr>
        <w:spacing w:after="80"/>
      </w:pPr>
      <w:r>
        <w:rPr>
          <w:sz w:val="21"/>
          <w:szCs w:val="21"/>
        </w:rPr>
        <w:t xml:space="preserve">Multilingual by default. Unchanged: Hindi + English at minimum, plus 1–2 regional languages at MVP.</w:t>
      </w:r>
    </w:p>
    <w:p>
      <w:pPr>
        <w:pStyle w:val="ListParagraph"/>
        <w:numPr>
          <w:ilvl w:val="0"/>
          <w:numId w:val="2"/>
        </w:numPr>
        <w:spacing w:after="80"/>
      </w:pPr>
      <w:r>
        <w:rPr>
          <w:sz w:val="21"/>
          <w:szCs w:val="21"/>
        </w:rPr>
        <w:t xml:space="preserve">Be cheap to run and cheap to buy. Removing WhatsApp Business API and SMS gateway costs simplifies the cost model (no per-message fees, no BSP platform fee) — a genuine cost benefit of this pivot, see §16.</w:t>
      </w:r>
    </w:p>
    <w:p>
      <w:pPr>
        <w:pStyle w:val="ListParagraph"/>
        <w:numPr>
          <w:ilvl w:val="0"/>
          <w:numId w:val="2"/>
        </w:numPr>
        <w:spacing w:after="80"/>
      </w:pPr>
      <w:r>
        <w:rPr>
          <w:sz w:val="21"/>
          <w:szCs w:val="21"/>
        </w:rPr>
        <w:t xml:space="preserve">Distributor sharing happens via the Android share-sheet (the owner's existing WhatsApp-to-distributor relationship is preserved one layer down — Kirana-Napse hands off to whatever app the owner already uses to reach their distributor).</w:t>
      </w:r>
    </w:p>
    <w:p>
      <w:pPr>
        <w:pStyle w:val="Heading1"/>
        <w:pBdr>
          <w:bottom w:val="single" w:color="1F3864" w:sz="6" w:space="4"/>
        </w:pBdr>
        <w:spacing w:after="200" w:before="400"/>
      </w:pPr>
      <w:r>
        <w:t xml:space="preserve">8. Scope</w:t>
      </w:r>
    </w:p>
    <w:p>
      <w:pPr>
        <w:pStyle w:val="Heading2"/>
        <w:spacing w:after="120" w:before="300"/>
      </w:pPr>
      <w:r>
        <w:t xml:space="preserve">8.1 In Scope — MVP (Phase 1)</w:t>
      </w:r>
    </w:p>
    <w:p>
      <w:pPr>
        <w:pStyle w:val="ListParagraph"/>
        <w:numPr>
          <w:ilvl w:val="0"/>
          <w:numId w:val="2"/>
        </w:numPr>
        <w:spacing w:after="80"/>
      </w:pPr>
      <w:r>
        <w:rPr>
          <w:sz w:val="21"/>
          <w:szCs w:val="21"/>
        </w:rPr>
        <w:t xml:space="preserve">Manual + assisted (photo/OCR of paper bills, or CSV/API import from common billing apps) sales data capture, inside the app.</w:t>
      </w:r>
    </w:p>
    <w:p>
      <w:pPr>
        <w:pStyle w:val="ListParagraph"/>
        <w:numPr>
          <w:ilvl w:val="0"/>
          <w:numId w:val="2"/>
        </w:numPr>
        <w:spacing w:after="80"/>
      </w:pPr>
      <w:r>
        <w:rPr>
          <w:sz w:val="21"/>
          <w:szCs w:val="21"/>
        </w:rPr>
        <w:t xml:space="preserve">Per-SKU demand forecast (7–14 day horizon).</w:t>
      </w:r>
    </w:p>
    <w:p>
      <w:pPr>
        <w:pStyle w:val="ListParagraph"/>
        <w:numPr>
          <w:ilvl w:val="0"/>
          <w:numId w:val="2"/>
        </w:numPr>
        <w:spacing w:after="80"/>
      </w:pPr>
      <w:r>
        <w:rPr>
          <w:sz w:val="21"/>
          <w:szCs w:val="21"/>
        </w:rPr>
        <w:t xml:space="preserve">Daily reorder recommendation: item + suggested quantity, with the reasoning shown in plain language (e.g., “you sold 40% more atta last week than usual”).</w:t>
      </w:r>
    </w:p>
    <w:p>
      <w:pPr>
        <w:pStyle w:val="ListParagraph"/>
        <w:numPr>
          <w:ilvl w:val="0"/>
          <w:numId w:val="2"/>
        </w:numPr>
        <w:spacing w:after="80"/>
      </w:pPr>
      <w:r>
        <w:rPr>
          <w:sz w:val="21"/>
          <w:szCs w:val="21"/>
        </w:rPr>
        <w:t xml:space="preserve">Overstock/expiry-risk alerts.</w:t>
      </w:r>
    </w:p>
    <w:p>
      <w:pPr>
        <w:pStyle w:val="ListParagraph"/>
        <w:numPr>
          <w:ilvl w:val="0"/>
          <w:numId w:val="2"/>
        </w:numPr>
        <w:spacing w:after="80"/>
      </w:pPr>
      <w:r>
        <w:rPr>
          <w:sz w:val="21"/>
          <w:szCs w:val="21"/>
        </w:rPr>
        <w:t xml:space="preserve">Basic seasonal/festival calendar adjustment (national holidays + a curated set of regional festivals).</w:t>
      </w:r>
    </w:p>
    <w:p>
      <w:pPr>
        <w:pStyle w:val="ListParagraph"/>
        <w:numPr>
          <w:ilvl w:val="0"/>
          <w:numId w:val="2"/>
        </w:numPr>
        <w:spacing w:after="80"/>
      </w:pPr>
      <w:r>
        <w:rPr>
          <w:sz w:val="21"/>
          <w:szCs w:val="21"/>
        </w:rPr>
        <w:t xml:space="preserve">[Pivot] Native Android app as the sole interface — home screen, reorder list, overstock/expiry view, item detail, distributor export, settings.</w:t>
      </w:r>
    </w:p>
    <w:p>
      <w:pPr>
        <w:pStyle w:val="ListParagraph"/>
        <w:numPr>
          <w:ilvl w:val="0"/>
          <w:numId w:val="2"/>
        </w:numPr>
        <w:spacing w:after="80"/>
      </w:pPr>
      <w:r>
        <w:rPr>
          <w:sz w:val="21"/>
          <w:szCs w:val="21"/>
        </w:rPr>
        <w:t xml:space="preserve">[Pivot] Push notifications for daily alerts and low-stock/overstock warnings, replacing the WhatsApp daily message.</w:t>
      </w:r>
    </w:p>
    <w:p>
      <w:pPr>
        <w:pStyle w:val="ListParagraph"/>
        <w:numPr>
          <w:ilvl w:val="0"/>
          <w:numId w:val="2"/>
        </w:numPr>
        <w:spacing w:after="80"/>
      </w:pPr>
      <w:r>
        <w:rPr>
          <w:sz w:val="21"/>
          <w:szCs w:val="21"/>
        </w:rPr>
        <w:t xml:space="preserve">Hindi + English, plus 1–2 additional regional languages, in-app.</w:t>
      </w:r>
    </w:p>
    <w:p>
      <w:pPr>
        <w:pStyle w:val="ListParagraph"/>
        <w:numPr>
          <w:ilvl w:val="0"/>
          <w:numId w:val="2"/>
        </w:numPr>
        <w:spacing w:after="80"/>
      </w:pPr>
      <w:r>
        <w:rPr>
          <w:sz w:val="21"/>
          <w:szCs w:val="21"/>
        </w:rPr>
        <w:t xml:space="preserve">Human-in-the-loop by design: the owner reviews and can edit every recommendation before acting on it.</w:t>
      </w:r>
    </w:p>
    <w:p>
      <w:pPr>
        <w:pStyle w:val="ListParagraph"/>
        <w:numPr>
          <w:ilvl w:val="0"/>
          <w:numId w:val="2"/>
        </w:numPr>
        <w:spacing w:after="80"/>
      </w:pPr>
      <w:r>
        <w:rPr>
          <w:sz w:val="21"/>
          <w:szCs w:val="21"/>
        </w:rPr>
        <w:t xml:space="preserve">Offline-tolerant local cache with queued sync for owner actions taken without connectivity.</w:t>
      </w:r>
    </w:p>
    <w:p>
      <w:pPr>
        <w:pStyle w:val="Heading2"/>
        <w:spacing w:after="120" w:before="300"/>
      </w:pPr>
      <w:r>
        <w:t xml:space="preserve">8.2 Explicitly Out of Scope for MVP</w:t>
      </w:r>
    </w:p>
    <w:p>
      <w:pPr>
        <w:pStyle w:val="ListParagraph"/>
        <w:numPr>
          <w:ilvl w:val="0"/>
          <w:numId w:val="2"/>
        </w:numPr>
        <w:spacing w:after="80"/>
      </w:pPr>
      <w:r>
        <w:rPr>
          <w:sz w:val="21"/>
          <w:szCs w:val="21"/>
        </w:rPr>
        <w:t xml:space="preserve">[Pivot, new] WhatsApp Business API integration and SMS fallback — removed from this edition.</w:t>
      </w:r>
    </w:p>
    <w:p>
      <w:pPr>
        <w:pStyle w:val="ListParagraph"/>
        <w:numPr>
          <w:ilvl w:val="0"/>
          <w:numId w:val="2"/>
        </w:numPr>
        <w:spacing w:after="80"/>
      </w:pPr>
      <w:r>
        <w:rPr>
          <w:sz w:val="21"/>
          <w:szCs w:val="21"/>
        </w:rPr>
        <w:t xml:space="preserve">Automated ordering or payment to distributors.</w:t>
      </w:r>
    </w:p>
    <w:p>
      <w:pPr>
        <w:pStyle w:val="ListParagraph"/>
        <w:numPr>
          <w:ilvl w:val="0"/>
          <w:numId w:val="2"/>
        </w:numPr>
        <w:spacing w:after="80"/>
      </w:pPr>
      <w:r>
        <w:rPr>
          <w:sz w:val="21"/>
          <w:szCs w:val="21"/>
        </w:rPr>
        <w:t xml:space="preserve">Dynamic/AI-driven pricing recommendations.</w:t>
      </w:r>
    </w:p>
    <w:p>
      <w:pPr>
        <w:pStyle w:val="ListParagraph"/>
        <w:numPr>
          <w:ilvl w:val="0"/>
          <w:numId w:val="2"/>
        </w:numPr>
        <w:spacing w:after="80"/>
      </w:pPr>
      <w:r>
        <w:rPr>
          <w:sz w:val="21"/>
          <w:szCs w:val="21"/>
        </w:rPr>
        <w:t xml:space="preserve">Multi-store/enterprise console.</w:t>
      </w:r>
    </w:p>
    <w:p>
      <w:pPr>
        <w:pStyle w:val="ListParagraph"/>
        <w:numPr>
          <w:ilvl w:val="0"/>
          <w:numId w:val="2"/>
        </w:numPr>
        <w:spacing w:after="80"/>
      </w:pPr>
      <w:r>
        <w:rPr>
          <w:sz w:val="21"/>
          <w:szCs w:val="21"/>
        </w:rPr>
        <w:t xml:space="preserve">Full POS or accounting replacement.</w:t>
      </w:r>
    </w:p>
    <w:p>
      <w:pPr>
        <w:pStyle w:val="ListParagraph"/>
        <w:numPr>
          <w:ilvl w:val="0"/>
          <w:numId w:val="2"/>
        </w:numPr>
        <w:spacing w:after="80"/>
      </w:pPr>
      <w:r>
        <w:rPr>
          <w:sz w:val="21"/>
          <w:szCs w:val="21"/>
        </w:rPr>
        <w:t xml:space="preserve">Demand-sensing from external signals like social trends, footfall, or satellite/weather data — a Phase 3+ differentiator.</w:t>
      </w:r>
    </w:p>
    <w:p>
      <w:pPr>
        <w:pStyle w:val="ListParagraph"/>
        <w:numPr>
          <w:ilvl w:val="0"/>
          <w:numId w:val="2"/>
        </w:numPr>
        <w:spacing w:after="80"/>
      </w:pPr>
      <w:r>
        <w:rPr>
          <w:sz w:val="21"/>
          <w:szCs w:val="21"/>
        </w:rPr>
        <w:t xml:space="preserve">Voice input/output — Phase 3, per roadmap (§16).</w:t>
      </w:r>
    </w:p>
    <w:p>
      <w:pPr>
        <w:pStyle w:val="Heading1"/>
        <w:pBdr>
          <w:bottom w:val="single" w:color="1F3864" w:sz="6" w:space="4"/>
        </w:pBdr>
        <w:spacing w:after="200" w:before="400"/>
      </w:pPr>
      <w:r>
        <w:t xml:space="preserve">9. Features &amp;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14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Feature</w:t>
            </w:r>
          </w:p>
        </w:tc>
        <w:tc>
          <w:tcPr>
            <w:tcW w:type="dxa" w:w="5300"/>
            <w:shd w:fill="1F3864" w:val="clear"/>
            <w:tcMar>
              <w:top w:type="dxa" w:w="80"/>
              <w:left w:type="dxa" w:w="100"/>
              <w:bottom w:type="dxa" w:w="80"/>
              <w:right w:type="dxa" w:w="100"/>
            </w:tcMar>
          </w:tcPr>
          <w:p>
            <w:r>
              <w:rPr>
                <w:b/>
                <w:bCs/>
                <w:color w:val="FFFFFF"/>
                <w:sz w:val="20"/>
                <w:szCs w:val="20"/>
              </w:rPr>
              <w:t xml:space="preserve">Description</w:t>
            </w:r>
          </w:p>
        </w:tc>
        <w:tc>
          <w:tcPr>
            <w:tcW w:type="dxa" w:w="1400"/>
            <w:shd w:fill="1F3864" w:val="clear"/>
            <w:tcMar>
              <w:top w:type="dxa" w:w="80"/>
              <w:left w:type="dxa" w:w="100"/>
              <w:bottom w:type="dxa" w:w="80"/>
              <w:right w:type="dxa" w:w="100"/>
            </w:tcMar>
          </w:tcPr>
          <w:p>
            <w:r>
              <w:rPr>
                <w:b/>
                <w:bCs/>
                <w:color w:val="FFFFFF"/>
                <w:sz w:val="20"/>
                <w:szCs w:val="20"/>
              </w:rPr>
              <w:t xml:space="preserve">Priority</w:t>
            </w:r>
          </w:p>
        </w:tc>
      </w:tr>
      <w:tr>
        <w:tc>
          <w:tcPr>
            <w:tcW w:type="dxa" w:w="2400"/>
            <w:tcMar>
              <w:top w:type="dxa" w:w="80"/>
              <w:left w:type="dxa" w:w="100"/>
              <w:bottom w:type="dxa" w:w="80"/>
              <w:right w:type="dxa" w:w="100"/>
            </w:tcMar>
          </w:tcPr>
          <w:p>
            <w:r>
              <w:rPr>
                <w:b w:val="false"/>
                <w:bCs w:val="false"/>
                <w:color w:val="1A1A1A"/>
                <w:sz w:val="20"/>
                <w:szCs w:val="20"/>
              </w:rPr>
              <w:t xml:space="preserve">Sales data ingestion</w:t>
            </w:r>
          </w:p>
        </w:tc>
        <w:tc>
          <w:tcPr>
            <w:tcW w:type="dxa" w:w="5300"/>
            <w:tcMar>
              <w:top w:type="dxa" w:w="80"/>
              <w:left w:type="dxa" w:w="100"/>
              <w:bottom w:type="dxa" w:w="80"/>
              <w:right w:type="dxa" w:w="100"/>
            </w:tcMar>
          </w:tcPr>
          <w:p>
            <w:r>
              <w:rPr>
                <w:b w:val="false"/>
                <w:bCs w:val="false"/>
                <w:color w:val="1A1A1A"/>
                <w:sz w:val="20"/>
                <w:szCs w:val="20"/>
              </w:rPr>
              <w:t xml:space="preserve">Manual entry, CSV import, photo/OCR of bills, optional billing-app integration — all in-app</w:t>
            </w:r>
          </w:p>
        </w:tc>
        <w:tc>
          <w:tcPr>
            <w:tcW w:type="dxa" w:w="1400"/>
            <w:tcMar>
              <w:top w:type="dxa" w:w="80"/>
              <w:left w:type="dxa" w:w="100"/>
              <w:bottom w:type="dxa" w:w="80"/>
              <w:right w:type="dxa" w:w="100"/>
            </w:tcMar>
          </w:tcPr>
          <w:p>
            <w:r>
              <w:rPr>
                <w:b w:val="false"/>
                <w:bCs w:val="false"/>
                <w:color w:val="1A1A1A"/>
                <w:sz w:val="20"/>
                <w:szCs w:val="20"/>
              </w:rPr>
              <w:t xml:space="preserve">Must</w:t>
            </w:r>
          </w:p>
        </w:tc>
      </w:tr>
      <w:tr>
        <w:tc>
          <w:tcPr>
            <w:tcW w:type="dxa" w:w="2400"/>
            <w:tcMar>
              <w:top w:type="dxa" w:w="80"/>
              <w:left w:type="dxa" w:w="100"/>
              <w:bottom w:type="dxa" w:w="80"/>
              <w:right w:type="dxa" w:w="100"/>
            </w:tcMar>
          </w:tcPr>
          <w:p>
            <w:r>
              <w:rPr>
                <w:b w:val="false"/>
                <w:bCs w:val="false"/>
                <w:color w:val="1A1A1A"/>
                <w:sz w:val="20"/>
                <w:szCs w:val="20"/>
              </w:rPr>
              <w:t xml:space="preserve">Demand forecasting engine</w:t>
            </w:r>
          </w:p>
        </w:tc>
        <w:tc>
          <w:tcPr>
            <w:tcW w:type="dxa" w:w="5300"/>
            <w:tcMar>
              <w:top w:type="dxa" w:w="80"/>
              <w:left w:type="dxa" w:w="100"/>
              <w:bottom w:type="dxa" w:w="80"/>
              <w:right w:type="dxa" w:w="100"/>
            </w:tcMar>
          </w:tcPr>
          <w:p>
            <w:r>
              <w:rPr>
                <w:b w:val="false"/>
                <w:bCs w:val="false"/>
                <w:color w:val="1A1A1A"/>
                <w:sz w:val="20"/>
                <w:szCs w:val="20"/>
              </w:rPr>
              <w:t xml:space="preserve">Per-SKU forecast using historical sales + seasonality; degrades gracefully with sparse data</w:t>
            </w:r>
          </w:p>
        </w:tc>
        <w:tc>
          <w:tcPr>
            <w:tcW w:type="dxa" w:w="1400"/>
            <w:tcMar>
              <w:top w:type="dxa" w:w="80"/>
              <w:left w:type="dxa" w:w="100"/>
              <w:bottom w:type="dxa" w:w="80"/>
              <w:right w:type="dxa" w:w="100"/>
            </w:tcMar>
          </w:tcPr>
          <w:p>
            <w:r>
              <w:rPr>
                <w:b w:val="false"/>
                <w:bCs w:val="false"/>
                <w:color w:val="1A1A1A"/>
                <w:sz w:val="20"/>
                <w:szCs w:val="20"/>
              </w:rPr>
              <w:t xml:space="preserve">Must</w:t>
            </w:r>
          </w:p>
        </w:tc>
      </w:tr>
      <w:tr>
        <w:tc>
          <w:tcPr>
            <w:tcW w:type="dxa" w:w="2400"/>
            <w:tcMar>
              <w:top w:type="dxa" w:w="80"/>
              <w:left w:type="dxa" w:w="100"/>
              <w:bottom w:type="dxa" w:w="80"/>
              <w:right w:type="dxa" w:w="100"/>
            </w:tcMar>
          </w:tcPr>
          <w:p>
            <w:r>
              <w:rPr>
                <w:b w:val="false"/>
                <w:bCs w:val="false"/>
                <w:color w:val="1A1A1A"/>
                <w:sz w:val="20"/>
                <w:szCs w:val="20"/>
              </w:rPr>
              <w:t xml:space="preserve">Reorder recommendation</w:t>
            </w:r>
          </w:p>
        </w:tc>
        <w:tc>
          <w:tcPr>
            <w:tcW w:type="dxa" w:w="5300"/>
            <w:tcMar>
              <w:top w:type="dxa" w:w="80"/>
              <w:left w:type="dxa" w:w="100"/>
              <w:bottom w:type="dxa" w:w="80"/>
              <w:right w:type="dxa" w:w="100"/>
            </w:tcMar>
          </w:tcPr>
          <w:p>
            <w:r>
              <w:rPr>
                <w:b w:val="false"/>
                <w:bCs w:val="false"/>
                <w:color w:val="1A1A1A"/>
                <w:sz w:val="20"/>
                <w:szCs w:val="20"/>
              </w:rPr>
              <w:t xml:space="preserve">Daily/weekly suggested reorder list with quantities, editable by the owner</w:t>
            </w:r>
          </w:p>
        </w:tc>
        <w:tc>
          <w:tcPr>
            <w:tcW w:type="dxa" w:w="1400"/>
            <w:tcMar>
              <w:top w:type="dxa" w:w="80"/>
              <w:left w:type="dxa" w:w="100"/>
              <w:bottom w:type="dxa" w:w="80"/>
              <w:right w:type="dxa" w:w="100"/>
            </w:tcMar>
          </w:tcPr>
          <w:p>
            <w:r>
              <w:rPr>
                <w:b w:val="false"/>
                <w:bCs w:val="false"/>
                <w:color w:val="1A1A1A"/>
                <w:sz w:val="20"/>
                <w:szCs w:val="20"/>
              </w:rPr>
              <w:t xml:space="preserve">Must</w:t>
            </w:r>
          </w:p>
        </w:tc>
      </w:tr>
      <w:tr>
        <w:tc>
          <w:tcPr>
            <w:tcW w:type="dxa" w:w="2400"/>
            <w:tcMar>
              <w:top w:type="dxa" w:w="80"/>
              <w:left w:type="dxa" w:w="100"/>
              <w:bottom w:type="dxa" w:w="80"/>
              <w:right w:type="dxa" w:w="100"/>
            </w:tcMar>
          </w:tcPr>
          <w:p>
            <w:r>
              <w:rPr>
                <w:b w:val="false"/>
                <w:bCs w:val="false"/>
                <w:color w:val="1A1A1A"/>
                <w:sz w:val="20"/>
                <w:szCs w:val="20"/>
              </w:rPr>
              <w:t xml:space="preserve">Low-stock alert</w:t>
            </w:r>
          </w:p>
        </w:tc>
        <w:tc>
          <w:tcPr>
            <w:tcW w:type="dxa" w:w="5300"/>
            <w:tcMar>
              <w:top w:type="dxa" w:w="80"/>
              <w:left w:type="dxa" w:w="100"/>
              <w:bottom w:type="dxa" w:w="80"/>
              <w:right w:type="dxa" w:w="100"/>
            </w:tcMar>
          </w:tcPr>
          <w:p>
            <w:r>
              <w:rPr>
                <w:b w:val="false"/>
                <w:bCs w:val="false"/>
                <w:color w:val="1A1A1A"/>
                <w:sz w:val="20"/>
                <w:szCs w:val="20"/>
              </w:rPr>
              <w:t xml:space="preserve">Push notification when a fast-mover is projected to stock out within lead time</w:t>
            </w:r>
          </w:p>
        </w:tc>
        <w:tc>
          <w:tcPr>
            <w:tcW w:type="dxa" w:w="1400"/>
            <w:tcMar>
              <w:top w:type="dxa" w:w="80"/>
              <w:left w:type="dxa" w:w="100"/>
              <w:bottom w:type="dxa" w:w="80"/>
              <w:right w:type="dxa" w:w="100"/>
            </w:tcMar>
          </w:tcPr>
          <w:p>
            <w:r>
              <w:rPr>
                <w:b w:val="false"/>
                <w:bCs w:val="false"/>
                <w:color w:val="1A1A1A"/>
                <w:sz w:val="20"/>
                <w:szCs w:val="20"/>
              </w:rPr>
              <w:t xml:space="preserve">Must</w:t>
            </w:r>
          </w:p>
        </w:tc>
      </w:tr>
      <w:tr>
        <w:tc>
          <w:tcPr>
            <w:tcW w:type="dxa" w:w="2400"/>
            <w:tcMar>
              <w:top w:type="dxa" w:w="80"/>
              <w:left w:type="dxa" w:w="100"/>
              <w:bottom w:type="dxa" w:w="80"/>
              <w:right w:type="dxa" w:w="100"/>
            </w:tcMar>
          </w:tcPr>
          <w:p>
            <w:r>
              <w:rPr>
                <w:b w:val="false"/>
                <w:bCs w:val="false"/>
                <w:color w:val="1A1A1A"/>
                <w:sz w:val="20"/>
                <w:szCs w:val="20"/>
              </w:rPr>
              <w:t xml:space="preserve">Overstock / expiry alert</w:t>
            </w:r>
          </w:p>
        </w:tc>
        <w:tc>
          <w:tcPr>
            <w:tcW w:type="dxa" w:w="5300"/>
            <w:tcMar>
              <w:top w:type="dxa" w:w="80"/>
              <w:left w:type="dxa" w:w="100"/>
              <w:bottom w:type="dxa" w:w="80"/>
              <w:right w:type="dxa" w:w="100"/>
            </w:tcMar>
          </w:tcPr>
          <w:p>
            <w:r>
              <w:rPr>
                <w:b w:val="false"/>
                <w:bCs w:val="false"/>
                <w:color w:val="1A1A1A"/>
                <w:sz w:val="20"/>
                <w:szCs w:val="20"/>
              </w:rPr>
              <w:t xml:space="preserve">Flags slow-movers and perishables at risk, with a suggested action</w:t>
            </w:r>
          </w:p>
        </w:tc>
        <w:tc>
          <w:tcPr>
            <w:tcW w:type="dxa" w:w="1400"/>
            <w:tcMar>
              <w:top w:type="dxa" w:w="80"/>
              <w:left w:type="dxa" w:w="100"/>
              <w:bottom w:type="dxa" w:w="80"/>
              <w:right w:type="dxa" w:w="100"/>
            </w:tcMar>
          </w:tcPr>
          <w:p>
            <w:r>
              <w:rPr>
                <w:b w:val="false"/>
                <w:bCs w:val="false"/>
                <w:color w:val="1A1A1A"/>
                <w:sz w:val="20"/>
                <w:szCs w:val="20"/>
              </w:rPr>
              <w:t xml:space="preserve">Must</w:t>
            </w:r>
          </w:p>
        </w:tc>
      </w:tr>
      <w:tr>
        <w:tc>
          <w:tcPr>
            <w:tcW w:type="dxa" w:w="2400"/>
            <w:tcMar>
              <w:top w:type="dxa" w:w="80"/>
              <w:left w:type="dxa" w:w="100"/>
              <w:bottom w:type="dxa" w:w="80"/>
              <w:right w:type="dxa" w:w="100"/>
            </w:tcMar>
          </w:tcPr>
          <w:p>
            <w:r>
              <w:rPr>
                <w:b w:val="false"/>
                <w:bCs w:val="false"/>
                <w:color w:val="1A1A1A"/>
                <w:sz w:val="20"/>
                <w:szCs w:val="20"/>
              </w:rPr>
              <w:t xml:space="preserve">Seasonal/festival adjustment</w:t>
            </w:r>
          </w:p>
        </w:tc>
        <w:tc>
          <w:tcPr>
            <w:tcW w:type="dxa" w:w="5300"/>
            <w:tcMar>
              <w:top w:type="dxa" w:w="80"/>
              <w:left w:type="dxa" w:w="100"/>
              <w:bottom w:type="dxa" w:w="80"/>
              <w:right w:type="dxa" w:w="100"/>
            </w:tcMar>
          </w:tcPr>
          <w:p>
            <w:r>
              <w:rPr>
                <w:b w:val="false"/>
                <w:bCs w:val="false"/>
                <w:color w:val="1A1A1A"/>
                <w:sz w:val="20"/>
                <w:szCs w:val="20"/>
              </w:rPr>
              <w:t xml:space="preserve">Auto-adjusts forecasts ahead of known regional festivals and month-start payday effects</w:t>
            </w:r>
          </w:p>
        </w:tc>
        <w:tc>
          <w:tcPr>
            <w:tcW w:type="dxa" w:w="1400"/>
            <w:tcMar>
              <w:top w:type="dxa" w:w="80"/>
              <w:left w:type="dxa" w:w="100"/>
              <w:bottom w:type="dxa" w:w="80"/>
              <w:right w:type="dxa" w:w="100"/>
            </w:tcMar>
          </w:tcPr>
          <w:p>
            <w:r>
              <w:rPr>
                <w:b w:val="false"/>
                <w:bCs w:val="false"/>
                <w:color w:val="1A1A1A"/>
                <w:sz w:val="20"/>
                <w:szCs w:val="20"/>
              </w:rPr>
              <w:t xml:space="preserve">Must</w:t>
            </w:r>
          </w:p>
        </w:tc>
      </w:tr>
      <w:tr>
        <w:tc>
          <w:tcPr>
            <w:tcW w:type="dxa" w:w="2400"/>
            <w:tcMar>
              <w:top w:type="dxa" w:w="80"/>
              <w:left w:type="dxa" w:w="100"/>
              <w:bottom w:type="dxa" w:w="80"/>
              <w:right w:type="dxa" w:w="100"/>
            </w:tcMar>
          </w:tcPr>
          <w:p>
            <w:r>
              <w:rPr>
                <w:b w:val="false"/>
                <w:bCs w:val="false"/>
                <w:color w:val="1A1A1A"/>
                <w:sz w:val="20"/>
                <w:szCs w:val="20"/>
              </w:rPr>
              <w:t xml:space="preserve">Push notification delivery</w:t>
            </w:r>
          </w:p>
        </w:tc>
        <w:tc>
          <w:tcPr>
            <w:tcW w:type="dxa" w:w="5300"/>
            <w:tcMar>
              <w:top w:type="dxa" w:w="80"/>
              <w:left w:type="dxa" w:w="100"/>
              <w:bottom w:type="dxa" w:w="80"/>
              <w:right w:type="dxa" w:w="100"/>
            </w:tcMar>
          </w:tcPr>
          <w:p>
            <w:r>
              <w:rPr>
                <w:b w:val="false"/>
                <w:bCs w:val="false"/>
                <w:color w:val="1A1A1A"/>
                <w:sz w:val="20"/>
                <w:szCs w:val="20"/>
              </w:rPr>
              <w:t xml:space="preserve">[Pivot] Daily summary and alerts via Android push — replaces WhatsApp delivery channel</w:t>
            </w:r>
          </w:p>
        </w:tc>
        <w:tc>
          <w:tcPr>
            <w:tcW w:type="dxa" w:w="1400"/>
            <w:tcMar>
              <w:top w:type="dxa" w:w="80"/>
              <w:left w:type="dxa" w:w="100"/>
              <w:bottom w:type="dxa" w:w="80"/>
              <w:right w:type="dxa" w:w="100"/>
            </w:tcMar>
          </w:tcPr>
          <w:p>
            <w:r>
              <w:rPr>
                <w:b w:val="false"/>
                <w:bCs w:val="false"/>
                <w:color w:val="1A1A1A"/>
                <w:sz w:val="20"/>
                <w:szCs w:val="20"/>
              </w:rPr>
              <w:t xml:space="preserve">Must</w:t>
            </w:r>
          </w:p>
        </w:tc>
      </w:tr>
      <w:tr>
        <w:tc>
          <w:tcPr>
            <w:tcW w:type="dxa" w:w="2400"/>
            <w:tcMar>
              <w:top w:type="dxa" w:w="80"/>
              <w:left w:type="dxa" w:w="100"/>
              <w:bottom w:type="dxa" w:w="80"/>
              <w:right w:type="dxa" w:w="100"/>
            </w:tcMar>
          </w:tcPr>
          <w:p>
            <w:r>
              <w:rPr>
                <w:b w:val="false"/>
                <w:bCs w:val="false"/>
                <w:color w:val="1A1A1A"/>
                <w:sz w:val="20"/>
                <w:szCs w:val="20"/>
              </w:rPr>
              <w:t xml:space="preserve">Home / dashboard screen</w:t>
            </w:r>
          </w:p>
        </w:tc>
        <w:tc>
          <w:tcPr>
            <w:tcW w:type="dxa" w:w="5300"/>
            <w:tcMar>
              <w:top w:type="dxa" w:w="80"/>
              <w:left w:type="dxa" w:w="100"/>
              <w:bottom w:type="dxa" w:w="80"/>
              <w:right w:type="dxa" w:w="100"/>
            </w:tcMar>
          </w:tcPr>
          <w:p>
            <w:r>
              <w:rPr>
                <w:b w:val="false"/>
                <w:bCs w:val="false"/>
                <w:color w:val="1A1A1A"/>
                <w:sz w:val="20"/>
                <w:szCs w:val="20"/>
              </w:rPr>
              <w:t xml:space="preserve">Top movers, slow movers, stockout risk, in the owner's language</w:t>
            </w:r>
          </w:p>
        </w:tc>
        <w:tc>
          <w:tcPr>
            <w:tcW w:type="dxa" w:w="1400"/>
            <w:tcMar>
              <w:top w:type="dxa" w:w="80"/>
              <w:left w:type="dxa" w:w="100"/>
              <w:bottom w:type="dxa" w:w="80"/>
              <w:right w:type="dxa" w:w="100"/>
            </w:tcMar>
          </w:tcPr>
          <w:p>
            <w:r>
              <w:rPr>
                <w:b w:val="false"/>
                <w:bCs w:val="false"/>
                <w:color w:val="1A1A1A"/>
                <w:sz w:val="20"/>
                <w:szCs w:val="20"/>
              </w:rPr>
              <w:t xml:space="preserve">Must</w:t>
            </w:r>
          </w:p>
        </w:tc>
      </w:tr>
      <w:tr>
        <w:tc>
          <w:tcPr>
            <w:tcW w:type="dxa" w:w="2400"/>
            <w:tcMar>
              <w:top w:type="dxa" w:w="80"/>
              <w:left w:type="dxa" w:w="100"/>
              <w:bottom w:type="dxa" w:w="80"/>
              <w:right w:type="dxa" w:w="100"/>
            </w:tcMar>
          </w:tcPr>
          <w:p>
            <w:r>
              <w:rPr>
                <w:b w:val="false"/>
                <w:bCs w:val="false"/>
                <w:color w:val="1A1A1A"/>
                <w:sz w:val="20"/>
                <w:szCs w:val="20"/>
              </w:rPr>
              <w:t xml:space="preserve">Multi-language UI</w:t>
            </w:r>
          </w:p>
        </w:tc>
        <w:tc>
          <w:tcPr>
            <w:tcW w:type="dxa" w:w="5300"/>
            <w:tcMar>
              <w:top w:type="dxa" w:w="80"/>
              <w:left w:type="dxa" w:w="100"/>
              <w:bottom w:type="dxa" w:w="80"/>
              <w:right w:type="dxa" w:w="100"/>
            </w:tcMar>
          </w:tcPr>
          <w:p>
            <w:r>
              <w:rPr>
                <w:b w:val="false"/>
                <w:bCs w:val="false"/>
                <w:color w:val="1A1A1A"/>
                <w:sz w:val="20"/>
                <w:szCs w:val="20"/>
              </w:rPr>
              <w:t xml:space="preserve">Hindi, English + 2 regional languages at launch</w:t>
            </w:r>
          </w:p>
        </w:tc>
        <w:tc>
          <w:tcPr>
            <w:tcW w:type="dxa" w:w="1400"/>
            <w:tcMar>
              <w:top w:type="dxa" w:w="80"/>
              <w:left w:type="dxa" w:w="100"/>
              <w:bottom w:type="dxa" w:w="80"/>
              <w:right w:type="dxa" w:w="100"/>
            </w:tcMar>
          </w:tcPr>
          <w:p>
            <w:r>
              <w:rPr>
                <w:b w:val="false"/>
                <w:bCs w:val="false"/>
                <w:color w:val="1A1A1A"/>
                <w:sz w:val="20"/>
                <w:szCs w:val="20"/>
              </w:rPr>
              <w:t xml:space="preserve">Should</w:t>
            </w:r>
          </w:p>
        </w:tc>
      </w:tr>
      <w:tr>
        <w:tc>
          <w:tcPr>
            <w:tcW w:type="dxa" w:w="2400"/>
            <w:tcMar>
              <w:top w:type="dxa" w:w="80"/>
              <w:left w:type="dxa" w:w="100"/>
              <w:bottom w:type="dxa" w:w="80"/>
              <w:right w:type="dxa" w:w="100"/>
            </w:tcMar>
          </w:tcPr>
          <w:p>
            <w:r>
              <w:rPr>
                <w:b w:val="false"/>
                <w:bCs w:val="false"/>
                <w:color w:val="1A1A1A"/>
                <w:sz w:val="20"/>
                <w:szCs w:val="20"/>
              </w:rPr>
              <w:t xml:space="preserve">Distributor order-list export</w:t>
            </w:r>
          </w:p>
        </w:tc>
        <w:tc>
          <w:tcPr>
            <w:tcW w:type="dxa" w:w="5300"/>
            <w:tcMar>
              <w:top w:type="dxa" w:w="80"/>
              <w:left w:type="dxa" w:w="100"/>
              <w:bottom w:type="dxa" w:w="80"/>
              <w:right w:type="dxa" w:w="100"/>
            </w:tcMar>
          </w:tcPr>
          <w:p>
            <w:r>
              <w:rPr>
                <w:b w:val="false"/>
                <w:bCs w:val="false"/>
                <w:color w:val="1A1A1A"/>
                <w:sz w:val="20"/>
                <w:szCs w:val="20"/>
              </w:rPr>
              <w:t xml:space="preserve">One-tap shareable reorder list via Android share-sheet (to WhatsApp, print, etc.) — no auto-ordering</w:t>
            </w:r>
          </w:p>
        </w:tc>
        <w:tc>
          <w:tcPr>
            <w:tcW w:type="dxa" w:w="1400"/>
            <w:tcMar>
              <w:top w:type="dxa" w:w="80"/>
              <w:left w:type="dxa" w:w="100"/>
              <w:bottom w:type="dxa" w:w="80"/>
              <w:right w:type="dxa" w:w="100"/>
            </w:tcMar>
          </w:tcPr>
          <w:p>
            <w:r>
              <w:rPr>
                <w:b w:val="false"/>
                <w:bCs w:val="false"/>
                <w:color w:val="1A1A1A"/>
                <w:sz w:val="20"/>
                <w:szCs w:val="20"/>
              </w:rPr>
              <w:t xml:space="preserve">Should</w:t>
            </w:r>
          </w:p>
        </w:tc>
      </w:tr>
      <w:tr>
        <w:tc>
          <w:tcPr>
            <w:tcW w:type="dxa" w:w="2400"/>
            <w:tcMar>
              <w:top w:type="dxa" w:w="80"/>
              <w:left w:type="dxa" w:w="100"/>
              <w:bottom w:type="dxa" w:w="80"/>
              <w:right w:type="dxa" w:w="100"/>
            </w:tcMar>
          </w:tcPr>
          <w:p>
            <w:r>
              <w:rPr>
                <w:b w:val="false"/>
                <w:bCs w:val="false"/>
                <w:color w:val="1A1A1A"/>
                <w:sz w:val="20"/>
                <w:szCs w:val="20"/>
              </w:rPr>
              <w:t xml:space="preserve">Offline mode with sync queue</w:t>
            </w:r>
          </w:p>
        </w:tc>
        <w:tc>
          <w:tcPr>
            <w:tcW w:type="dxa" w:w="5300"/>
            <w:tcMar>
              <w:top w:type="dxa" w:w="80"/>
              <w:left w:type="dxa" w:w="100"/>
              <w:bottom w:type="dxa" w:w="80"/>
              <w:right w:type="dxa" w:w="100"/>
            </w:tcMar>
          </w:tcPr>
          <w:p>
            <w:r>
              <w:rPr>
                <w:b w:val="false"/>
                <w:bCs w:val="false"/>
                <w:color w:val="1A1A1A"/>
                <w:sz w:val="20"/>
                <w:szCs w:val="20"/>
              </w:rPr>
              <w:t xml:space="preserve">[Pivot, elevated] Cached read access + queued owner actions when offline — now load-bearing since there's no chat fallback</w:t>
            </w:r>
          </w:p>
        </w:tc>
        <w:tc>
          <w:tcPr>
            <w:tcW w:type="dxa" w:w="1400"/>
            <w:tcMar>
              <w:top w:type="dxa" w:w="80"/>
              <w:left w:type="dxa" w:w="100"/>
              <w:bottom w:type="dxa" w:w="80"/>
              <w:right w:type="dxa" w:w="100"/>
            </w:tcMar>
          </w:tcPr>
          <w:p>
            <w:r>
              <w:rPr>
                <w:b w:val="false"/>
                <w:bCs w:val="false"/>
                <w:color w:val="1A1A1A"/>
                <w:sz w:val="20"/>
                <w:szCs w:val="20"/>
              </w:rPr>
              <w:t xml:space="preserve">Must</w:t>
            </w:r>
          </w:p>
        </w:tc>
      </w:tr>
      <w:tr>
        <w:tc>
          <w:tcPr>
            <w:tcW w:type="dxa" w:w="2400"/>
            <w:tcMar>
              <w:top w:type="dxa" w:w="80"/>
              <w:left w:type="dxa" w:w="100"/>
              <w:bottom w:type="dxa" w:w="80"/>
              <w:right w:type="dxa" w:w="100"/>
            </w:tcMar>
          </w:tcPr>
          <w:p>
            <w:r>
              <w:rPr>
                <w:b w:val="false"/>
                <w:bCs w:val="false"/>
                <w:color w:val="1A1A1A"/>
                <w:sz w:val="20"/>
                <w:szCs w:val="20"/>
              </w:rPr>
              <w:t xml:space="preserve">Onboarding-without-install nudge</w:t>
            </w:r>
          </w:p>
        </w:tc>
        <w:tc>
          <w:tcPr>
            <w:tcW w:type="dxa" w:w="5300"/>
            <w:tcMar>
              <w:top w:type="dxa" w:w="80"/>
              <w:left w:type="dxa" w:w="100"/>
              <w:bottom w:type="dxa" w:w="80"/>
              <w:right w:type="dxa" w:w="100"/>
            </w:tcMar>
          </w:tcPr>
          <w:p>
            <w:r>
              <w:rPr>
                <w:b w:val="false"/>
                <w:bCs w:val="false"/>
                <w:color w:val="1A1A1A"/>
                <w:sz w:val="20"/>
                <w:szCs w:val="20"/>
              </w:rPr>
              <w:t xml:space="preserve">[Pivot, new] Lightweight pre-install flow (e.g., a web landing page or field-agent-assisted setup) to reduce the drop-off risk between “interested” and “app installed”</w:t>
            </w:r>
          </w:p>
        </w:tc>
        <w:tc>
          <w:tcPr>
            <w:tcW w:type="dxa" w:w="1400"/>
            <w:tcMar>
              <w:top w:type="dxa" w:w="80"/>
              <w:left w:type="dxa" w:w="100"/>
              <w:bottom w:type="dxa" w:w="80"/>
              <w:right w:type="dxa" w:w="100"/>
            </w:tcMar>
          </w:tcPr>
          <w:p>
            <w:r>
              <w:rPr>
                <w:b w:val="false"/>
                <w:bCs w:val="false"/>
                <w:color w:val="1A1A1A"/>
                <w:sz w:val="20"/>
                <w:szCs w:val="20"/>
              </w:rPr>
              <w:t xml:space="preserve">Should</w:t>
            </w:r>
          </w:p>
        </w:tc>
      </w:tr>
      <w:tr>
        <w:tc>
          <w:tcPr>
            <w:tcW w:type="dxa" w:w="2400"/>
            <w:tcMar>
              <w:top w:type="dxa" w:w="80"/>
              <w:left w:type="dxa" w:w="100"/>
              <w:bottom w:type="dxa" w:w="80"/>
              <w:right w:type="dxa" w:w="100"/>
            </w:tcMar>
          </w:tcPr>
          <w:p>
            <w:r>
              <w:rPr>
                <w:b w:val="false"/>
                <w:bCs w:val="false"/>
                <w:color w:val="1A1A1A"/>
                <w:sz w:val="20"/>
                <w:szCs w:val="20"/>
              </w:rPr>
              <w:t xml:space="preserve">Voice input/output</w:t>
            </w:r>
          </w:p>
        </w:tc>
        <w:tc>
          <w:tcPr>
            <w:tcW w:type="dxa" w:w="5300"/>
            <w:tcMar>
              <w:top w:type="dxa" w:w="80"/>
              <w:left w:type="dxa" w:w="100"/>
              <w:bottom w:type="dxa" w:w="80"/>
              <w:right w:type="dxa" w:w="100"/>
            </w:tcMar>
          </w:tcPr>
          <w:p>
            <w:r>
              <w:rPr>
                <w:b w:val="false"/>
                <w:bCs w:val="false"/>
                <w:color w:val="1A1A1A"/>
                <w:sz w:val="20"/>
                <w:szCs w:val="20"/>
              </w:rPr>
              <w:t xml:space="preserve">For low-literacy or low-typing-comfort owners</w:t>
            </w:r>
          </w:p>
        </w:tc>
        <w:tc>
          <w:tcPr>
            <w:tcW w:type="dxa" w:w="1400"/>
            <w:tcMar>
              <w:top w:type="dxa" w:w="80"/>
              <w:left w:type="dxa" w:w="100"/>
              <w:bottom w:type="dxa" w:w="80"/>
              <w:right w:type="dxa" w:w="100"/>
            </w:tcMar>
          </w:tcPr>
          <w:p>
            <w:r>
              <w:rPr>
                <w:b w:val="false"/>
                <w:bCs w:val="false"/>
                <w:color w:val="1A1A1A"/>
                <w:sz w:val="20"/>
                <w:szCs w:val="20"/>
              </w:rPr>
              <w:t xml:space="preserve">Could</w:t>
            </w:r>
          </w:p>
        </w:tc>
      </w:tr>
      <w:tr>
        <w:tc>
          <w:tcPr>
            <w:tcW w:type="dxa" w:w="2400"/>
            <w:tcMar>
              <w:top w:type="dxa" w:w="80"/>
              <w:left w:type="dxa" w:w="100"/>
              <w:bottom w:type="dxa" w:w="80"/>
              <w:right w:type="dxa" w:w="100"/>
            </w:tcMar>
          </w:tcPr>
          <w:p>
            <w:r>
              <w:rPr>
                <w:b w:val="false"/>
                <w:bCs w:val="false"/>
                <w:color w:val="1A1A1A"/>
                <w:sz w:val="20"/>
                <w:szCs w:val="20"/>
              </w:rPr>
              <w:t xml:space="preserve">Multi-store view</w:t>
            </w:r>
          </w:p>
        </w:tc>
        <w:tc>
          <w:tcPr>
            <w:tcW w:type="dxa" w:w="5300"/>
            <w:tcMar>
              <w:top w:type="dxa" w:w="80"/>
              <w:left w:type="dxa" w:w="100"/>
              <w:bottom w:type="dxa" w:w="80"/>
              <w:right w:type="dxa" w:w="100"/>
            </w:tcMar>
          </w:tcPr>
          <w:p>
            <w:r>
              <w:rPr>
                <w:b w:val="false"/>
                <w:bCs w:val="false"/>
                <w:color w:val="1A1A1A"/>
                <w:sz w:val="20"/>
                <w:szCs w:val="20"/>
              </w:rPr>
              <w:t xml:space="preserve">For owners running more than one outlet</w:t>
            </w:r>
          </w:p>
        </w:tc>
        <w:tc>
          <w:tcPr>
            <w:tcW w:type="dxa" w:w="1400"/>
            <w:tcMar>
              <w:top w:type="dxa" w:w="80"/>
              <w:left w:type="dxa" w:w="100"/>
              <w:bottom w:type="dxa" w:w="80"/>
              <w:right w:type="dxa" w:w="100"/>
            </w:tcMar>
          </w:tcPr>
          <w:p>
            <w:r>
              <w:rPr>
                <w:b w:val="false"/>
                <w:bCs w:val="false"/>
                <w:color w:val="1A1A1A"/>
                <w:sz w:val="20"/>
                <w:szCs w:val="20"/>
              </w:rPr>
              <w:t xml:space="preserve">Could</w:t>
            </w:r>
          </w:p>
        </w:tc>
      </w:tr>
      <w:tr>
        <w:tc>
          <w:tcPr>
            <w:tcW w:type="dxa" w:w="2400"/>
            <w:tcMar>
              <w:top w:type="dxa" w:w="80"/>
              <w:left w:type="dxa" w:w="100"/>
              <w:bottom w:type="dxa" w:w="80"/>
              <w:right w:type="dxa" w:w="100"/>
            </w:tcMar>
          </w:tcPr>
          <w:p>
            <w:r>
              <w:rPr>
                <w:b w:val="false"/>
                <w:bCs w:val="false"/>
                <w:color w:val="1A1A1A"/>
                <w:sz w:val="20"/>
                <w:szCs w:val="20"/>
              </w:rPr>
              <w:t xml:space="preserve">Direct distributor catalog/pricing feed</w:t>
            </w:r>
          </w:p>
        </w:tc>
        <w:tc>
          <w:tcPr>
            <w:tcW w:type="dxa" w:w="5300"/>
            <w:tcMar>
              <w:top w:type="dxa" w:w="80"/>
              <w:left w:type="dxa" w:w="100"/>
              <w:bottom w:type="dxa" w:w="80"/>
              <w:right w:type="dxa" w:w="100"/>
            </w:tcMar>
          </w:tcPr>
          <w:p>
            <w:r>
              <w:rPr>
                <w:b w:val="false"/>
                <w:bCs w:val="false"/>
                <w:color w:val="1A1A1A"/>
                <w:sz w:val="20"/>
                <w:szCs w:val="20"/>
              </w:rPr>
              <w:t xml:space="preserve">Live feed from distributors into the app</w:t>
            </w:r>
          </w:p>
        </w:tc>
        <w:tc>
          <w:tcPr>
            <w:tcW w:type="dxa" w:w="1400"/>
            <w:tcMar>
              <w:top w:type="dxa" w:w="80"/>
              <w:left w:type="dxa" w:w="100"/>
              <w:bottom w:type="dxa" w:w="80"/>
              <w:right w:type="dxa" w:w="100"/>
            </w:tcMar>
          </w:tcPr>
          <w:p>
            <w:r>
              <w:rPr>
                <w:b w:val="false"/>
                <w:bCs w:val="false"/>
                <w:color w:val="1A1A1A"/>
                <w:sz w:val="20"/>
                <w:szCs w:val="20"/>
              </w:rPr>
              <w:t xml:space="preserve">Won't (v1)</w:t>
            </w:r>
          </w:p>
        </w:tc>
      </w:tr>
      <w:tr>
        <w:tc>
          <w:tcPr>
            <w:tcW w:type="dxa" w:w="2400"/>
            <w:tcMar>
              <w:top w:type="dxa" w:w="80"/>
              <w:left w:type="dxa" w:w="100"/>
              <w:bottom w:type="dxa" w:w="80"/>
              <w:right w:type="dxa" w:w="100"/>
            </w:tcMar>
          </w:tcPr>
          <w:p>
            <w:r>
              <w:rPr>
                <w:b w:val="false"/>
                <w:bCs w:val="false"/>
                <w:color w:val="1A1A1A"/>
                <w:sz w:val="20"/>
                <w:szCs w:val="20"/>
              </w:rPr>
              <w:t xml:space="preserve">Payments, credit, or lending features</w:t>
            </w:r>
          </w:p>
        </w:tc>
        <w:tc>
          <w:tcPr>
            <w:tcW w:type="dxa" w:w="5300"/>
            <w:tcMar>
              <w:top w:type="dxa" w:w="80"/>
              <w:left w:type="dxa" w:w="100"/>
              <w:bottom w:type="dxa" w:w="80"/>
              <w:right w:type="dxa" w:w="100"/>
            </w:tcMar>
          </w:tcPr>
          <w:p>
            <w:r>
              <w:rPr>
                <w:b w:val="false"/>
                <w:bCs w:val="false"/>
                <w:color w:val="1A1A1A"/>
                <w:sz w:val="20"/>
                <w:szCs w:val="20"/>
              </w:rPr>
              <w:t xml:space="preserve">Any bill-pay or financing capability</w:t>
            </w:r>
          </w:p>
        </w:tc>
        <w:tc>
          <w:tcPr>
            <w:tcW w:type="dxa" w:w="1400"/>
            <w:tcMar>
              <w:top w:type="dxa" w:w="80"/>
              <w:left w:type="dxa" w:w="100"/>
              <w:bottom w:type="dxa" w:w="80"/>
              <w:right w:type="dxa" w:w="100"/>
            </w:tcMar>
          </w:tcPr>
          <w:p>
            <w:r>
              <w:rPr>
                <w:b w:val="false"/>
                <w:bCs w:val="false"/>
                <w:color w:val="1A1A1A"/>
                <w:sz w:val="20"/>
                <w:szCs w:val="20"/>
              </w:rPr>
              <w:t xml:space="preserve">Won't (v1)</w:t>
            </w:r>
          </w:p>
        </w:tc>
      </w:tr>
    </w:tbl>
    <w:p>
      <w:pPr>
        <w:pStyle w:val="Heading1"/>
        <w:pBdr>
          <w:bottom w:val="single" w:color="1F3864" w:sz="6" w:space="4"/>
        </w:pBdr>
        <w:spacing w:after="200" w:before="400"/>
      </w:pPr>
      <w:r>
        <w:t xml:space="preserve">10. Key User Flows</w:t>
      </w:r>
    </w:p>
    <w:p>
      <w:pPr>
        <w:pStyle w:val="Heading2"/>
        <w:spacing w:after="120" w:before="300"/>
      </w:pPr>
      <w:r>
        <w:t xml:space="preserve">10.1 Onboarding</w:t>
      </w:r>
    </w:p>
    <w:p>
      <w:pPr>
        <w:pStyle w:val="ListParagraph"/>
        <w:numPr>
          <w:ilvl w:val="0"/>
          <w:numId w:val="3"/>
        </w:numPr>
        <w:spacing w:after="80"/>
      </w:pPr>
      <w:r>
        <w:rPr>
          <w:sz w:val="21"/>
          <w:szCs w:val="21"/>
        </w:rPr>
        <w:t xml:space="preserve">Owner downloads and opens the app (organic discovery, referral, or field-agent-assisted install during Phase 0 — see §15 for the install-friction risk this introduces).</w:t>
      </w:r>
    </w:p>
    <w:p>
      <w:pPr>
        <w:pStyle w:val="ListParagraph"/>
        <w:numPr>
          <w:ilvl w:val="0"/>
          <w:numId w:val="3"/>
        </w:numPr>
        <w:spacing w:after="80"/>
      </w:pPr>
      <w:r>
        <w:rPr>
          <w:sz w:val="21"/>
          <w:szCs w:val="21"/>
        </w:rPr>
        <w:t xml:space="preserve">In-app screens capture: store category, rough SKU count, and however they currently track sales (nothing / register / app).</w:t>
      </w:r>
    </w:p>
    <w:p>
      <w:pPr>
        <w:pStyle w:val="ListParagraph"/>
        <w:numPr>
          <w:ilvl w:val="0"/>
          <w:numId w:val="3"/>
        </w:numPr>
        <w:spacing w:after="80"/>
      </w:pPr>
      <w:r>
        <w:rPr>
          <w:sz w:val="21"/>
          <w:szCs w:val="21"/>
        </w:rPr>
        <w:t xml:space="preserve">If a billing app or paper bills exist, the owner uploads or photographs a sample in-app; if not, the product starts from category-level benchmarks.</w:t>
      </w:r>
    </w:p>
    <w:p>
      <w:pPr>
        <w:pStyle w:val="ListParagraph"/>
        <w:numPr>
          <w:ilvl w:val="0"/>
          <w:numId w:val="3"/>
        </w:numPr>
        <w:spacing w:after="80"/>
      </w:pPr>
      <w:r>
        <w:rPr>
          <w:sz w:val="21"/>
          <w:szCs w:val="21"/>
        </w:rPr>
        <w:t xml:space="preserve">Owner picks a language and grants notification permission (a new, explicit ask that WhatsApp delivery never required).</w:t>
      </w:r>
    </w:p>
    <w:p>
      <w:pPr>
        <w:pStyle w:val="ListParagraph"/>
        <w:numPr>
          <w:ilvl w:val="0"/>
          <w:numId w:val="3"/>
        </w:numPr>
        <w:spacing w:after="80"/>
      </w:pPr>
      <w:r>
        <w:rPr>
          <w:sz w:val="21"/>
          <w:szCs w:val="21"/>
        </w:rPr>
        <w:t xml:space="preserve">First recommendations appear within 24–48 hours, clearly marked as an early estimate that improves with the owner's own data.</w:t>
      </w:r>
    </w:p>
    <w:p>
      <w:pPr>
        <w:pStyle w:val="Heading2"/>
        <w:spacing w:after="120" w:before="300"/>
      </w:pPr>
      <w:r>
        <w:t xml:space="preserve">10.2 Daily/Weekly Use</w:t>
      </w:r>
    </w:p>
    <w:p>
      <w:pPr>
        <w:pStyle w:val="ListParagraph"/>
        <w:numPr>
          <w:ilvl w:val="0"/>
          <w:numId w:val="3"/>
        </w:numPr>
        <w:spacing w:after="80"/>
      </w:pPr>
      <w:r>
        <w:rPr>
          <w:sz w:val="21"/>
          <w:szCs w:val="21"/>
        </w:rPr>
        <w:t xml:space="preserve">Owner receives a push notification: “X items need reordering, Y items are overstocked.”</w:t>
      </w:r>
    </w:p>
    <w:p>
      <w:pPr>
        <w:pStyle w:val="ListParagraph"/>
        <w:numPr>
          <w:ilvl w:val="0"/>
          <w:numId w:val="3"/>
        </w:numPr>
        <w:spacing w:after="80"/>
      </w:pPr>
      <w:r>
        <w:rPr>
          <w:sz w:val="21"/>
          <w:szCs w:val="21"/>
        </w:rPr>
        <w:t xml:space="preserve">Taps the notification, opens directly into the reorder list, sees a suggested quantity per item with a one-line reason.</w:t>
      </w:r>
    </w:p>
    <w:p>
      <w:pPr>
        <w:pStyle w:val="ListParagraph"/>
        <w:numPr>
          <w:ilvl w:val="0"/>
          <w:numId w:val="3"/>
        </w:numPr>
        <w:spacing w:after="80"/>
      </w:pPr>
      <w:r>
        <w:rPr>
          <w:sz w:val="21"/>
          <w:szCs w:val="21"/>
        </w:rPr>
        <w:t xml:space="preserve">Edits quantities if needed, marks items as ordered.</w:t>
      </w:r>
    </w:p>
    <w:p>
      <w:pPr>
        <w:pStyle w:val="ListParagraph"/>
        <w:numPr>
          <w:ilvl w:val="0"/>
          <w:numId w:val="3"/>
        </w:numPr>
        <w:spacing w:after="80"/>
      </w:pPr>
      <w:r>
        <w:rPr>
          <w:sz w:val="21"/>
          <w:szCs w:val="21"/>
        </w:rPr>
        <w:t xml:space="preserve">Optionally exports and shares the finalized list with their distributor via the Android share-sheet.</w:t>
      </w:r>
    </w:p>
    <w:p>
      <w:pPr>
        <w:pStyle w:val="Heading2"/>
        <w:spacing w:after="120" w:before="300"/>
      </w:pPr>
      <w:r>
        <w:t xml:space="preserve">10.3 Feedback Loop</w:t>
      </w:r>
    </w:p>
    <w:p>
      <w:pPr>
        <w:pStyle w:val="ListParagraph"/>
        <w:numPr>
          <w:ilvl w:val="0"/>
          <w:numId w:val="3"/>
        </w:numPr>
        <w:spacing w:after="80"/>
      </w:pPr>
      <w:r>
        <w:rPr>
          <w:sz w:val="21"/>
          <w:szCs w:val="21"/>
        </w:rPr>
        <w:t xml:space="preserve">System checks actual sales against the forecast weekly.</w:t>
      </w:r>
    </w:p>
    <w:p>
      <w:pPr>
        <w:pStyle w:val="ListParagraph"/>
        <w:numPr>
          <w:ilvl w:val="0"/>
          <w:numId w:val="3"/>
        </w:numPr>
        <w:spacing w:after="80"/>
      </w:pPr>
      <w:r>
        <w:rPr>
          <w:sz w:val="21"/>
          <w:szCs w:val="21"/>
        </w:rPr>
        <w:t xml:space="preserve">Owner can flag “this recommendation was wrong” in-app with a quick reason (unaccounted festival, one-off bulk buyer, etc.) to improve future forecasts.</w:t>
      </w:r>
    </w:p>
    <w:p>
      <w:pPr>
        <w:pStyle w:val="Heading1"/>
        <w:pBdr>
          <w:bottom w:val="single" w:color="1F3864" w:sz="6" w:space="4"/>
        </w:pBdr>
        <w:spacing w:after="200" w:before="400"/>
      </w:pPr>
      <w:r>
        <w:t xml:space="preserve">11. Non-Functional Requirements</w:t>
      </w:r>
    </w:p>
    <w:p>
      <w:pPr>
        <w:pStyle w:val="ListParagraph"/>
        <w:numPr>
          <w:ilvl w:val="0"/>
          <w:numId w:val="2"/>
        </w:numPr>
        <w:spacing w:after="80"/>
      </w:pPr>
      <w:r>
        <w:rPr>
          <w:sz w:val="21"/>
          <w:szCs w:val="21"/>
        </w:rPr>
        <w:t xml:space="preserve">Performance: usable on entry-level Android devices (2–3GB RAM) over 3G/patchy 4G; app cold-start and core screens must load quickly enough not to feel like a chore (JTBD #5).</w:t>
      </w:r>
    </w:p>
    <w:p>
      <w:pPr>
        <w:pStyle w:val="ListParagraph"/>
        <w:numPr>
          <w:ilvl w:val="0"/>
          <w:numId w:val="2"/>
        </w:numPr>
        <w:spacing w:after="80"/>
      </w:pPr>
      <w:r>
        <w:rPr>
          <w:sz w:val="21"/>
          <w:szCs w:val="21"/>
        </w:rPr>
        <w:t xml:space="preserve">[Pivot, elevated] Offline reliability: since there is no chat/SMS fallback in this edition, offline-cached views and a robust action-sync queue are now core reliability requirements, not a nice-to-have.</w:t>
      </w:r>
    </w:p>
    <w:p>
      <w:pPr>
        <w:pStyle w:val="ListParagraph"/>
        <w:numPr>
          <w:ilvl w:val="0"/>
          <w:numId w:val="2"/>
        </w:numPr>
        <w:spacing w:after="80"/>
      </w:pPr>
      <w:r>
        <w:rPr>
          <w:sz w:val="21"/>
          <w:szCs w:val="21"/>
        </w:rPr>
        <w:t xml:space="preserve">[Pivot, new] Notification reliability: push delivery and tap-through need first-class monitoring — Android's notification permission prompts, battery-optimization settings, and OEM-specific notification throttling (common on budget Android devices) can silently suppress alerts in ways a WhatsApp message wouldn't be subject to.</w:t>
      </w:r>
    </w:p>
    <w:p>
      <w:pPr>
        <w:pStyle w:val="ListParagraph"/>
        <w:numPr>
          <w:ilvl w:val="0"/>
          <w:numId w:val="2"/>
        </w:numPr>
        <w:spacing w:after="80"/>
      </w:pPr>
      <w:r>
        <w:rPr>
          <w:sz w:val="21"/>
          <w:szCs w:val="21"/>
        </w:rPr>
        <w:t xml:space="preserve">Data privacy: store-level sales data is commercially sensitive to the owner. It should never be shared with distributors or FMCG brands without explicit, revocable consent — a stated trust commitment, not just a technical default.</w:t>
      </w:r>
    </w:p>
    <w:p>
      <w:pPr>
        <w:pStyle w:val="ListParagraph"/>
        <w:numPr>
          <w:ilvl w:val="0"/>
          <w:numId w:val="2"/>
        </w:numPr>
        <w:spacing w:after="80"/>
      </w:pPr>
      <w:r>
        <w:rPr>
          <w:sz w:val="21"/>
          <w:szCs w:val="21"/>
        </w:rPr>
        <w:t xml:space="preserve">Localization: UI text, number/currency formatting, and festival calendars need to be regionally accurate, not just translated.</w:t>
      </w:r>
    </w:p>
    <w:p>
      <w:pPr>
        <w:pStyle w:val="ListParagraph"/>
        <w:numPr>
          <w:ilvl w:val="0"/>
          <w:numId w:val="2"/>
        </w:numPr>
        <w:spacing w:after="80"/>
      </w:pPr>
      <w:r>
        <w:rPr>
          <w:sz w:val="21"/>
          <w:szCs w:val="21"/>
        </w:rPr>
        <w:t xml:space="preserve">Cost-to-serve: infrastructure and AI inference costs per store per month must stay low enough to support a price point this segment will actually pay. [Pivot] This edition removes WhatsApp Business API and SMS gateway fees entirely, which simplifies and likely lowers the cost-to-serve floor — see §16.</w:t>
      </w:r>
    </w:p>
    <w:p>
      <w:pPr>
        <w:pStyle w:val="ListParagraph"/>
        <w:numPr>
          <w:ilvl w:val="0"/>
          <w:numId w:val="2"/>
        </w:numPr>
        <w:spacing w:after="80"/>
      </w:pPr>
      <w:r>
        <w:rPr>
          <w:sz w:val="21"/>
          <w:szCs w:val="21"/>
        </w:rPr>
        <w:t xml:space="preserve">App size and update friction: the APK/install size and update frequency must respect limited storage and patchy connectivity — an update owners can't easily download is functionally the same as an outage.</w:t>
      </w:r>
    </w:p>
    <w:p>
      <w:pPr>
        <w:pStyle w:val="Heading1"/>
        <w:pBdr>
          <w:bottom w:val="single" w:color="1F3864" w:sz="6" w:space="4"/>
        </w:pBdr>
        <w:spacing w:after="200" w:before="400"/>
      </w:pPr>
      <w:r>
        <w:t xml:space="preserve">12. Success Metrics (draft targets — to validate in pilot)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5000"/>
      </w:tblGrid>
      <w:tr>
        <w:trPr>
          <w:tblHeader/>
        </w:trPr>
        <w:tc>
          <w:tcPr>
            <w:tcW w:type="dxa" w:w="4300"/>
            <w:shd w:fill="1F3864" w:val="clear"/>
            <w:tcMar>
              <w:top w:type="dxa" w:w="80"/>
              <w:left w:type="dxa" w:w="100"/>
              <w:bottom w:type="dxa" w:w="80"/>
              <w:right w:type="dxa" w:w="100"/>
            </w:tcMar>
          </w:tcPr>
          <w:p>
            <w:r>
              <w:rPr>
                <w:b/>
                <w:bCs/>
                <w:color w:val="FFFFFF"/>
                <w:sz w:val="20"/>
                <w:szCs w:val="20"/>
              </w:rPr>
              <w:t xml:space="preserve">Metric</w:t>
            </w:r>
          </w:p>
        </w:tc>
        <w:tc>
          <w:tcPr>
            <w:tcW w:type="dxa" w:w="5000"/>
            <w:shd w:fill="1F3864" w:val="clear"/>
            <w:tcMar>
              <w:top w:type="dxa" w:w="80"/>
              <w:left w:type="dxa" w:w="100"/>
              <w:bottom w:type="dxa" w:w="80"/>
              <w:right w:type="dxa" w:w="100"/>
            </w:tcMar>
          </w:tcPr>
          <w:p>
            <w:r>
              <w:rPr>
                <w:b/>
                <w:bCs/>
                <w:color w:val="FFFFFF"/>
                <w:sz w:val="20"/>
                <w:szCs w:val="20"/>
              </w:rPr>
              <w:t xml:space="preserve">Target (pilot hypothesis)</w:t>
            </w:r>
          </w:p>
        </w:tc>
      </w:tr>
      <w:tr>
        <w:tc>
          <w:tcPr>
            <w:tcW w:type="dxa" w:w="4300"/>
            <w:tcMar>
              <w:top w:type="dxa" w:w="80"/>
              <w:left w:type="dxa" w:w="100"/>
              <w:bottom w:type="dxa" w:w="80"/>
              <w:right w:type="dxa" w:w="100"/>
            </w:tcMar>
          </w:tcPr>
          <w:p>
            <w:r>
              <w:rPr>
                <w:b w:val="false"/>
                <w:bCs w:val="false"/>
                <w:color w:val="1A1A1A"/>
                <w:sz w:val="20"/>
                <w:szCs w:val="20"/>
              </w:rPr>
              <w:t xml:space="preserve">App install completion rate (from onboarding start)</w:t>
            </w:r>
          </w:p>
        </w:tc>
        <w:tc>
          <w:tcPr>
            <w:tcW w:type="dxa" w:w="5000"/>
            <w:tcMar>
              <w:top w:type="dxa" w:w="80"/>
              <w:left w:type="dxa" w:w="100"/>
              <w:bottom w:type="dxa" w:w="80"/>
              <w:right w:type="dxa" w:w="100"/>
            </w:tcMar>
          </w:tcPr>
          <w:p>
            <w:r>
              <w:rPr>
                <w:b w:val="false"/>
                <w:bCs w:val="false"/>
                <w:color w:val="1A1A1A"/>
                <w:sz w:val="20"/>
                <w:szCs w:val="20"/>
              </w:rPr>
              <w:t xml:space="preserve">[Pivot, new metric] 70%+ — did not exist in v1.1 since WhatsApp required no install step</w:t>
            </w:r>
          </w:p>
        </w:tc>
      </w:tr>
      <w:tr>
        <w:tc>
          <w:tcPr>
            <w:tcW w:type="dxa" w:w="4300"/>
            <w:tcMar>
              <w:top w:type="dxa" w:w="80"/>
              <w:left w:type="dxa" w:w="100"/>
              <w:bottom w:type="dxa" w:w="80"/>
              <w:right w:type="dxa" w:w="100"/>
            </w:tcMar>
          </w:tcPr>
          <w:p>
            <w:r>
              <w:rPr>
                <w:b w:val="false"/>
                <w:bCs w:val="false"/>
                <w:color w:val="1A1A1A"/>
                <w:sz w:val="20"/>
                <w:szCs w:val="20"/>
              </w:rPr>
              <w:t xml:space="preserve">Notification opt-in rate</w:t>
            </w:r>
          </w:p>
        </w:tc>
        <w:tc>
          <w:tcPr>
            <w:tcW w:type="dxa" w:w="5000"/>
            <w:tcMar>
              <w:top w:type="dxa" w:w="80"/>
              <w:left w:type="dxa" w:w="100"/>
              <w:bottom w:type="dxa" w:w="80"/>
              <w:right w:type="dxa" w:w="100"/>
            </w:tcMar>
          </w:tcPr>
          <w:p>
            <w:r>
              <w:rPr>
                <w:b w:val="false"/>
                <w:bCs w:val="false"/>
                <w:color w:val="1A1A1A"/>
                <w:sz w:val="20"/>
                <w:szCs w:val="20"/>
              </w:rPr>
              <w:t xml:space="preserve">[Pivot, new metric] 80%+ of installed stores grant notification permission</w:t>
            </w:r>
          </w:p>
        </w:tc>
      </w:tr>
      <w:tr>
        <w:tc>
          <w:tcPr>
            <w:tcW w:type="dxa" w:w="4300"/>
            <w:tcMar>
              <w:top w:type="dxa" w:w="80"/>
              <w:left w:type="dxa" w:w="100"/>
              <w:bottom w:type="dxa" w:w="80"/>
              <w:right w:type="dxa" w:w="100"/>
            </w:tcMar>
          </w:tcPr>
          <w:p>
            <w:r>
              <w:rPr>
                <w:b w:val="false"/>
                <w:bCs w:val="false"/>
                <w:color w:val="1A1A1A"/>
                <w:sz w:val="20"/>
                <w:szCs w:val="20"/>
              </w:rPr>
              <w:t xml:space="preserve">Stockout reduction on top-quartile (fast-moving) SKUs</w:t>
            </w:r>
          </w:p>
        </w:tc>
        <w:tc>
          <w:tcPr>
            <w:tcW w:type="dxa" w:w="5000"/>
            <w:tcMar>
              <w:top w:type="dxa" w:w="80"/>
              <w:left w:type="dxa" w:w="100"/>
              <w:bottom w:type="dxa" w:w="80"/>
              <w:right w:type="dxa" w:w="100"/>
            </w:tcMar>
          </w:tcPr>
          <w:p>
            <w:r>
              <w:rPr>
                <w:b w:val="false"/>
                <w:bCs w:val="false"/>
                <w:color w:val="1A1A1A"/>
                <w:sz w:val="20"/>
                <w:szCs w:val="20"/>
              </w:rPr>
              <w:t xml:space="preserve">25–35% within 3 months of active use</w:t>
            </w:r>
          </w:p>
        </w:tc>
      </w:tr>
      <w:tr>
        <w:tc>
          <w:tcPr>
            <w:tcW w:type="dxa" w:w="4300"/>
            <w:tcMar>
              <w:top w:type="dxa" w:w="80"/>
              <w:left w:type="dxa" w:w="100"/>
              <w:bottom w:type="dxa" w:w="80"/>
              <w:right w:type="dxa" w:w="100"/>
            </w:tcMar>
          </w:tcPr>
          <w:p>
            <w:r>
              <w:rPr>
                <w:b w:val="false"/>
                <w:bCs w:val="false"/>
                <w:color w:val="1A1A1A"/>
                <w:sz w:val="20"/>
                <w:szCs w:val="20"/>
              </w:rPr>
              <w:t xml:space="preserve">Reduction in slow-moving/dead stock value</w:t>
            </w:r>
          </w:p>
        </w:tc>
        <w:tc>
          <w:tcPr>
            <w:tcW w:type="dxa" w:w="5000"/>
            <w:tcMar>
              <w:top w:type="dxa" w:w="80"/>
              <w:left w:type="dxa" w:w="100"/>
              <w:bottom w:type="dxa" w:w="80"/>
              <w:right w:type="dxa" w:w="100"/>
            </w:tcMar>
          </w:tcPr>
          <w:p>
            <w:r>
              <w:rPr>
                <w:b w:val="false"/>
                <w:bCs w:val="false"/>
                <w:color w:val="1A1A1A"/>
                <w:sz w:val="20"/>
                <w:szCs w:val="20"/>
              </w:rPr>
              <w:t xml:space="preserve">15–25% within 2 quarters</w:t>
            </w:r>
          </w:p>
        </w:tc>
      </w:tr>
      <w:tr>
        <w:tc>
          <w:tcPr>
            <w:tcW w:type="dxa" w:w="4300"/>
            <w:tcMar>
              <w:top w:type="dxa" w:w="80"/>
              <w:left w:type="dxa" w:w="100"/>
              <w:bottom w:type="dxa" w:w="80"/>
              <w:right w:type="dxa" w:w="100"/>
            </w:tcMar>
          </w:tcPr>
          <w:p>
            <w:r>
              <w:rPr>
                <w:b w:val="false"/>
                <w:bCs w:val="false"/>
                <w:color w:val="1A1A1A"/>
                <w:sz w:val="20"/>
                <w:szCs w:val="20"/>
              </w:rPr>
              <w:t xml:space="preserve">Forecast accuracy (MAPE) on A-category SKUs</w:t>
            </w:r>
          </w:p>
        </w:tc>
        <w:tc>
          <w:tcPr>
            <w:tcW w:type="dxa" w:w="5000"/>
            <w:tcMar>
              <w:top w:type="dxa" w:w="80"/>
              <w:left w:type="dxa" w:w="100"/>
              <w:bottom w:type="dxa" w:w="80"/>
              <w:right w:type="dxa" w:w="100"/>
            </w:tcMar>
          </w:tcPr>
          <w:p>
            <w:r>
              <w:rPr>
                <w:b w:val="false"/>
                <w:bCs w:val="false"/>
                <w:color w:val="1A1A1A"/>
                <w:sz w:val="20"/>
                <w:szCs w:val="20"/>
              </w:rPr>
              <w:t xml:space="preserve">Under 25% by month 3, improving as more data accumulates</w:t>
            </w:r>
          </w:p>
        </w:tc>
      </w:tr>
      <w:tr>
        <w:tc>
          <w:tcPr>
            <w:tcW w:type="dxa" w:w="4300"/>
            <w:tcMar>
              <w:top w:type="dxa" w:w="80"/>
              <w:left w:type="dxa" w:w="100"/>
              <w:bottom w:type="dxa" w:w="80"/>
              <w:right w:type="dxa" w:w="100"/>
            </w:tcMar>
          </w:tcPr>
          <w:p>
            <w:r>
              <w:rPr>
                <w:b w:val="false"/>
                <w:bCs w:val="false"/>
                <w:color w:val="1A1A1A"/>
                <w:sz w:val="20"/>
                <w:szCs w:val="20"/>
              </w:rPr>
              <w:t xml:space="preserve">Weekly active usage among onboarded stores</w:t>
            </w:r>
          </w:p>
        </w:tc>
        <w:tc>
          <w:tcPr>
            <w:tcW w:type="dxa" w:w="5000"/>
            <w:tcMar>
              <w:top w:type="dxa" w:w="80"/>
              <w:left w:type="dxa" w:w="100"/>
              <w:bottom w:type="dxa" w:w="80"/>
              <w:right w:type="dxa" w:w="100"/>
            </w:tcMar>
          </w:tcPr>
          <w:p>
            <w:r>
              <w:rPr>
                <w:b w:val="false"/>
                <w:bCs w:val="false"/>
                <w:color w:val="1A1A1A"/>
                <w:sz w:val="20"/>
                <w:szCs w:val="20"/>
              </w:rPr>
              <w:t xml:space="preserve">60%+ by month 2 — [Pivot] this bar is now harder to hit than under WhatsApp delivery, since it depends on the owner opening a standalone app rather than reading a message already in their inbox</w:t>
            </w:r>
          </w:p>
        </w:tc>
      </w:tr>
      <w:tr>
        <w:tc>
          <w:tcPr>
            <w:tcW w:type="dxa" w:w="4300"/>
            <w:tcMar>
              <w:top w:type="dxa" w:w="80"/>
              <w:left w:type="dxa" w:w="100"/>
              <w:bottom w:type="dxa" w:w="80"/>
              <w:right w:type="dxa" w:w="100"/>
            </w:tcMar>
          </w:tcPr>
          <w:p>
            <w:r>
              <w:rPr>
                <w:b w:val="false"/>
                <w:bCs w:val="false"/>
                <w:color w:val="1A1A1A"/>
                <w:sz w:val="20"/>
                <w:szCs w:val="20"/>
              </w:rPr>
              <w:t xml:space="preserve">Recommendation acceptance rate (accepted without edits)</w:t>
            </w:r>
          </w:p>
        </w:tc>
        <w:tc>
          <w:tcPr>
            <w:tcW w:type="dxa" w:w="5000"/>
            <w:tcMar>
              <w:top w:type="dxa" w:w="80"/>
              <w:left w:type="dxa" w:w="100"/>
              <w:bottom w:type="dxa" w:w="80"/>
              <w:right w:type="dxa" w:w="100"/>
            </w:tcMar>
          </w:tcPr>
          <w:p>
            <w:r>
              <w:rPr>
                <w:b w:val="false"/>
                <w:bCs w:val="false"/>
                <w:color w:val="1A1A1A"/>
                <w:sz w:val="20"/>
                <w:szCs w:val="20"/>
              </w:rPr>
              <w:t xml:space="preserve">50%+, rising over time as trust builds</w:t>
            </w:r>
          </w:p>
        </w:tc>
      </w:tr>
      <w:tr>
        <w:tc>
          <w:tcPr>
            <w:tcW w:type="dxa" w:w="4300"/>
            <w:tcMar>
              <w:top w:type="dxa" w:w="80"/>
              <w:left w:type="dxa" w:w="100"/>
              <w:bottom w:type="dxa" w:w="80"/>
              <w:right w:type="dxa" w:w="100"/>
            </w:tcMar>
          </w:tcPr>
          <w:p>
            <w:r>
              <w:rPr>
                <w:b w:val="false"/>
                <w:bCs w:val="false"/>
                <w:color w:val="1A1A1A"/>
                <w:sz w:val="20"/>
                <w:szCs w:val="20"/>
              </w:rPr>
              <w:t xml:space="preserve">90-day store retention</w:t>
            </w:r>
          </w:p>
        </w:tc>
        <w:tc>
          <w:tcPr>
            <w:tcW w:type="dxa" w:w="5000"/>
            <w:tcMar>
              <w:top w:type="dxa" w:w="80"/>
              <w:left w:type="dxa" w:w="100"/>
              <w:bottom w:type="dxa" w:w="80"/>
              <w:right w:type="dxa" w:w="100"/>
            </w:tcMar>
          </w:tcPr>
          <w:p>
            <w:r>
              <w:rPr>
                <w:b w:val="false"/>
                <w:bCs w:val="false"/>
                <w:color w:val="1A1A1A"/>
                <w:sz w:val="20"/>
                <w:szCs w:val="20"/>
              </w:rPr>
              <w:t xml:space="preserve">60%+ — [Pivot] app uninstalls are a new churn mode this edition needs to track that WhatsApp-based delivery did not have</w:t>
            </w:r>
          </w:p>
        </w:tc>
      </w:tr>
    </w:tbl>
    <w:p>
      <w:pPr>
        <w:spacing w:after="160" w:line="276"/>
      </w:pPr>
      <w:r>
        <w:rPr>
          <w:i/>
          <w:iCs/>
          <w:color w:val="595959"/>
          <w:sz w:val="21"/>
          <w:szCs w:val="21"/>
        </w:rPr>
        <w:t xml:space="preserve">None of these have been observed in this specific product yet — they're hypotheses the pilot is designed to test, not commitments.</w:t>
      </w:r>
    </w:p>
    <w:p>
      <w:pPr>
        <w:pStyle w:val="Heading1"/>
        <w:pBdr>
          <w:bottom w:val="single" w:color="1F3864" w:sz="6" w:space="4"/>
        </w:pBdr>
        <w:spacing w:after="200" w:before="400"/>
      </w:pPr>
      <w:r>
        <w:t xml:space="preserve">13. Competitive &amp; Adjacent Landscape</w:t>
      </w:r>
    </w:p>
    <w:p>
      <w:pPr>
        <w:spacing w:after="160" w:line="276"/>
      </w:pPr>
      <w:r>
        <w:rPr>
          <w:sz w:val="21"/>
          <w:szCs w:val="21"/>
        </w:rPr>
        <w:t xml:space="preserve">Unchanged from v1.1 — the channel pivot affects delivery mechanics, not the competitive map.</w:t>
      </w:r>
    </w:p>
    <w:p>
      <w:pPr>
        <w:pStyle w:val="ListParagraph"/>
        <w:numPr>
          <w:ilvl w:val="0"/>
          <w:numId w:val="2"/>
        </w:numPr>
        <w:spacing w:after="80"/>
      </w:pPr>
      <w:r>
        <w:rPr>
          <w:sz w:val="21"/>
          <w:szCs w:val="21"/>
        </w:rPr>
        <w:t xml:space="preserve">FMCG-led ordering tools (e.g., Coca-Cola's “Coke Buddy”) optimize sell-in for one company's own SKUs — the competitive threat and the whitespace, since no brand-run tool forecasts objectively across every brand on the shelf.</w:t>
      </w:r>
    </w:p>
    <w:p>
      <w:pPr>
        <w:pStyle w:val="ListParagraph"/>
        <w:numPr>
          <w:ilvl w:val="0"/>
          <w:numId w:val="2"/>
        </w:numPr>
        <w:spacing w:after="80"/>
      </w:pPr>
      <w:r>
        <w:rPr>
          <w:sz w:val="21"/>
          <w:szCs w:val="21"/>
        </w:rPr>
        <w:t xml:space="preserve">General digital ledger/billing apps could plausibly bolt on forecasting — a real platform risk — but their core wedge today is bookkeeping and credit.</w:t>
      </w:r>
    </w:p>
    <w:p>
      <w:pPr>
        <w:pStyle w:val="ListParagraph"/>
        <w:numPr>
          <w:ilvl w:val="0"/>
          <w:numId w:val="2"/>
        </w:numPr>
        <w:spacing w:after="80"/>
      </w:pPr>
      <w:r>
        <w:rPr>
          <w:sz w:val="21"/>
          <w:szCs w:val="21"/>
        </w:rPr>
        <w:t xml:space="preserve">Udaan and ONDC are building the rails a forecasting product would ideally plug into rather than compete with.</w:t>
      </w:r>
    </w:p>
    <w:p>
      <w:pPr>
        <w:pStyle w:val="ListParagraph"/>
        <w:numPr>
          <w:ilvl w:val="0"/>
          <w:numId w:val="2"/>
        </w:numPr>
        <w:spacing w:after="80"/>
      </w:pPr>
      <w:r>
        <w:rPr>
          <w:sz w:val="21"/>
          <w:szCs w:val="21"/>
        </w:rPr>
        <w:t xml:space="preserve">AI-native funded entrants (Metreecs, Kirana AI) signal investors see this exact wedge as fundable, and that the window for affordable, retailer-first, cross-brand forecasting is closing, not opening.</w:t>
      </w:r>
    </w:p>
    <w:p>
      <w:pPr>
        <w:pStyle w:val="ListParagraph"/>
        <w:numPr>
          <w:ilvl w:val="0"/>
          <w:numId w:val="2"/>
        </w:numPr>
        <w:spacing w:after="80"/>
      </w:pPr>
      <w:r>
        <w:rPr>
          <w:sz w:val="21"/>
          <w:szCs w:val="21"/>
        </w:rPr>
        <w:t xml:space="preserve">1K Kirana's collapse, and Khatabook/OkCredit's struggle to monetize the owner directly despite huge reach, remain the clearest cautionary tales. Badho's success (distributor-complementary, brand-funded) and Jumbotail's (infrastructure-heavy) remain the clearest playbooks — see §16.</w:t>
      </w:r>
    </w:p>
    <w:p>
      <w:pPr>
        <w:shd w:fill="DCE6F1" w:val="clear"/>
        <w:spacing w:after="200" w:before="120"/>
      </w:pPr>
      <w:r>
        <w:rPr>
          <w:i/>
          <w:iCs/>
          <w:color w:val="1A1A1A"/>
          <w:sz w:val="20"/>
          <w:szCs w:val="20"/>
        </w:rPr>
        <w:t xml:space="preserve">[Pivot — worth naming] None of the comparable products cited in v1.1's research (Khatabook, OkCredit, Badho) are app-only with no chat-based layer — most either are chat-adjacent or, like Badho, lean on relationship/field-force-driven distribution rather than pure app discovery. This edition's channel choice doesn't have a direct comparable-company precedent in the research gathered so far.</w:t>
      </w:r>
    </w:p>
    <w:p>
      <w:pPr>
        <w:pStyle w:val="Heading1"/>
        <w:pBdr>
          <w:bottom w:val="single" w:color="1F3864" w:sz="6" w:space="4"/>
        </w:pBdr>
        <w:spacing w:after="200" w:before="400"/>
      </w:pPr>
      <w:r>
        <w:t xml:space="preserve">14. Assumptions</w:t>
      </w:r>
    </w:p>
    <w:p>
      <w:pPr>
        <w:pStyle w:val="ListParagraph"/>
        <w:numPr>
          <w:ilvl w:val="0"/>
          <w:numId w:val="2"/>
        </w:numPr>
        <w:spacing w:after="80"/>
      </w:pPr>
      <w:r>
        <w:rPr>
          <w:sz w:val="21"/>
          <w:szCs w:val="21"/>
        </w:rPr>
        <w:t xml:space="preserve">Geography/launch market: India, starting in 2–3 cities/states, with regional-language and festival-calendar support planned from day one.</w:t>
      </w:r>
    </w:p>
    <w:p>
      <w:pPr>
        <w:pStyle w:val="ListParagraph"/>
        <w:numPr>
          <w:ilvl w:val="0"/>
          <w:numId w:val="2"/>
        </w:numPr>
        <w:spacing w:after="80"/>
      </w:pPr>
      <w:r>
        <w:rPr>
          <w:sz w:val="21"/>
          <w:szCs w:val="21"/>
        </w:rPr>
        <w:t xml:space="preserve">Most pilot stores will start with weak or no digitized sales history — cold-start is the norm, not the edge case.</w:t>
      </w:r>
    </w:p>
    <w:p>
      <w:pPr>
        <w:pStyle w:val="ListParagraph"/>
        <w:numPr>
          <w:ilvl w:val="0"/>
          <w:numId w:val="2"/>
        </w:numPr>
        <w:spacing w:after="80"/>
      </w:pPr>
      <w:r>
        <w:rPr>
          <w:sz w:val="21"/>
          <w:szCs w:val="21"/>
        </w:rPr>
        <w:t xml:space="preserve">Owners will tolerate, and likely prefer, a human-in-the-loop model; full automation is unlikely to be trusted at launch.</w:t>
      </w:r>
    </w:p>
    <w:p>
      <w:pPr>
        <w:pStyle w:val="ListParagraph"/>
        <w:numPr>
          <w:ilvl w:val="0"/>
          <w:numId w:val="2"/>
        </w:numPr>
        <w:spacing w:after="80"/>
      </w:pPr>
      <w:r>
        <w:rPr>
          <w:sz w:val="21"/>
          <w:szCs w:val="21"/>
        </w:rPr>
        <w:t xml:space="preserve">Willingness to pay is low in absolute terms — distributor/brand co-funding is the more evidence-backed default (see §13, §16).</w:t>
      </w:r>
    </w:p>
    <w:p>
      <w:pPr>
        <w:pStyle w:val="ListParagraph"/>
        <w:numPr>
          <w:ilvl w:val="0"/>
          <w:numId w:val="2"/>
        </w:numPr>
        <w:spacing w:after="80"/>
      </w:pPr>
      <w:r>
        <w:rPr>
          <w:sz w:val="21"/>
          <w:szCs w:val="21"/>
        </w:rPr>
        <w:t xml:space="preserve">[Pivot, new — the load-bearing assumption of this edition] Kirana owners will install a dedicated Android app and form a habit of opening it (or reliably acting on its push notifications) without the lower-friction on-ramp a chat interface provides. This assumption carries more of this PRD's risk than any other single item, and is currently unvalidated — no interview or pilot evidence supports it yet.</w:t>
      </w:r>
    </w:p>
    <w:p>
      <w:pPr>
        <w:pStyle w:val="ListParagraph"/>
        <w:numPr>
          <w:ilvl w:val="0"/>
          <w:numId w:val="2"/>
        </w:numPr>
        <w:spacing w:after="80"/>
      </w:pPr>
      <w:r>
        <w:rPr>
          <w:sz w:val="21"/>
          <w:szCs w:val="21"/>
        </w:rPr>
        <w:t xml:space="preserve">[Pivot, new] Field-agent-assisted install (someone physically helping the owner download and set up the app) is assumed to be necessary for at least the Phase 0 cohort, similar to how WhatsApp onboarding assumed possible in-person assistance — but app install adds real friction (storage prompts, permission screens, Play Store account issues) that a WhatsApp conversation did not have.</w:t>
      </w:r>
    </w:p>
    <w:p>
      <w:pPr>
        <w:pStyle w:val="Heading1"/>
        <w:pBdr>
          <w:bottom w:val="single" w:color="1F3864" w:sz="6" w:space="4"/>
        </w:pBdr>
        <w:spacing w:after="200" w:before="400"/>
      </w:pPr>
      <w:r>
        <w:t xml:space="preserve">15. Risks &amp; Mitigations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00"/>
        <w:gridCol w:w="470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Risk</w:t>
            </w:r>
          </w:p>
        </w:tc>
        <w:tc>
          <w:tcPr>
            <w:tcW w:type="dxa" w:w="4700"/>
            <w:shd w:fill="1F3864" w:val="clear"/>
            <w:tcMar>
              <w:top w:type="dxa" w:w="80"/>
              <w:left w:type="dxa" w:w="100"/>
              <w:bottom w:type="dxa" w:w="80"/>
              <w:right w:type="dxa" w:w="100"/>
            </w:tcMar>
          </w:tcPr>
          <w:p>
            <w:r>
              <w:rPr>
                <w:b/>
                <w:bCs/>
                <w:color w:val="FFFFFF"/>
                <w:sz w:val="20"/>
                <w:szCs w:val="20"/>
              </w:rPr>
              <w:t xml:space="preserve">Mitigation</w:t>
            </w:r>
          </w:p>
        </w:tc>
      </w:tr>
      <w:tr>
        <w:tc>
          <w:tcPr>
            <w:tcW w:type="dxa" w:w="4600"/>
            <w:tcMar>
              <w:top w:type="dxa" w:w="80"/>
              <w:left w:type="dxa" w:w="100"/>
              <w:bottom w:type="dxa" w:w="80"/>
              <w:right w:type="dxa" w:w="100"/>
            </w:tcMar>
          </w:tcPr>
          <w:p>
            <w:r>
              <w:rPr>
                <w:b w:val="false"/>
                <w:bCs w:val="false"/>
                <w:color w:val="1A1A1A"/>
                <w:sz w:val="20"/>
                <w:szCs w:val="20"/>
              </w:rPr>
              <w:t xml:space="preserve">[Risk — new] Install friction and drop-off between “interested” and “app installed”, especially for less tech-comfortable owners</w:t>
            </w:r>
          </w:p>
        </w:tc>
        <w:tc>
          <w:tcPr>
            <w:tcW w:type="dxa" w:w="4700"/>
            <w:tcMar>
              <w:top w:type="dxa" w:w="80"/>
              <w:left w:type="dxa" w:w="100"/>
              <w:bottom w:type="dxa" w:w="80"/>
              <w:right w:type="dxa" w:w="100"/>
            </w:tcMar>
          </w:tcPr>
          <w:p>
            <w:r>
              <w:rPr>
                <w:b w:val="false"/>
                <w:bCs w:val="false"/>
                <w:color w:val="1A1A1A"/>
                <w:sz w:val="20"/>
                <w:szCs w:val="20"/>
              </w:rPr>
              <w:t xml:space="preserve">Lean on field-agent-assisted onboarding for Phase 0; track install-completion rate as a first-class pilot metric (§12); consider a lightweight web-based preview before requiring install</w:t>
            </w:r>
          </w:p>
        </w:tc>
      </w:tr>
      <w:tr>
        <w:tc>
          <w:tcPr>
            <w:tcW w:type="dxa" w:w="4600"/>
            <w:tcMar>
              <w:top w:type="dxa" w:w="80"/>
              <w:left w:type="dxa" w:w="100"/>
              <w:bottom w:type="dxa" w:w="80"/>
              <w:right w:type="dxa" w:w="100"/>
            </w:tcMar>
          </w:tcPr>
          <w:p>
            <w:r>
              <w:rPr>
                <w:b w:val="false"/>
                <w:bCs w:val="false"/>
                <w:color w:val="1A1A1A"/>
                <w:sz w:val="20"/>
                <w:szCs w:val="20"/>
              </w:rPr>
              <w:t xml:space="preserve">[Risk — new] Notifications silently suppressed by OEM battery-optimization settings or a denied permission, with no fallback channel to catch the miss</w:t>
            </w:r>
          </w:p>
        </w:tc>
        <w:tc>
          <w:tcPr>
            <w:tcW w:type="dxa" w:w="4700"/>
            <w:tcMar>
              <w:top w:type="dxa" w:w="80"/>
              <w:left w:type="dxa" w:w="100"/>
              <w:bottom w:type="dxa" w:w="80"/>
              <w:right w:type="dxa" w:w="100"/>
            </w:tcMar>
          </w:tcPr>
          <w:p>
            <w:r>
              <w:rPr>
                <w:b w:val="false"/>
                <w:bCs w:val="false"/>
                <w:color w:val="1A1A1A"/>
                <w:sz w:val="20"/>
                <w:szCs w:val="20"/>
              </w:rPr>
              <w:t xml:space="preserve">In-app onboarding walks the owner through disabling battery optimization for the app; track notification delivery/open rates explicitly and treat silent suppression as a support/retention signal, not just a metric dip</w:t>
            </w:r>
          </w:p>
        </w:tc>
      </w:tr>
      <w:tr>
        <w:tc>
          <w:tcPr>
            <w:tcW w:type="dxa" w:w="4600"/>
            <w:tcMar>
              <w:top w:type="dxa" w:w="80"/>
              <w:left w:type="dxa" w:w="100"/>
              <w:bottom w:type="dxa" w:w="80"/>
              <w:right w:type="dxa" w:w="100"/>
            </w:tcMar>
          </w:tcPr>
          <w:p>
            <w:r>
              <w:rPr>
                <w:b w:val="false"/>
                <w:bCs w:val="false"/>
                <w:color w:val="1A1A1A"/>
                <w:sz w:val="20"/>
                <w:szCs w:val="20"/>
              </w:rPr>
              <w:t xml:space="preserve">[Risk — new] App uninstalls as a churn mode with no visibility into why (WhatsApp gave a natural low-friction “still there” signal; an app can be silently deleted)</w:t>
            </w:r>
          </w:p>
        </w:tc>
        <w:tc>
          <w:tcPr>
            <w:tcW w:type="dxa" w:w="4700"/>
            <w:tcMar>
              <w:top w:type="dxa" w:w="80"/>
              <w:left w:type="dxa" w:w="100"/>
              <w:bottom w:type="dxa" w:w="80"/>
              <w:right w:type="dxa" w:w="100"/>
            </w:tcMar>
          </w:tcPr>
          <w:p>
            <w:r>
              <w:rPr>
                <w:b w:val="false"/>
                <w:bCs w:val="false"/>
                <w:color w:val="1A1A1A"/>
                <w:sz w:val="20"/>
                <w:szCs w:val="20"/>
              </w:rPr>
              <w:t xml:space="preserve">Instrument install/uninstall analytics from day one; pair with a lightweight re-engagement flow (e.g., an SMS or field-agent check-in) for stores that go dark, even though SMS/WhatsApp aren't the primary channel</w:t>
            </w:r>
          </w:p>
        </w:tc>
      </w:tr>
      <w:tr>
        <w:tc>
          <w:tcPr>
            <w:tcW w:type="dxa" w:w="4600"/>
            <w:tcMar>
              <w:top w:type="dxa" w:w="80"/>
              <w:left w:type="dxa" w:w="100"/>
              <w:bottom w:type="dxa" w:w="80"/>
              <w:right w:type="dxa" w:w="100"/>
            </w:tcMar>
          </w:tcPr>
          <w:p>
            <w:r>
              <w:rPr>
                <w:b w:val="false"/>
                <w:bCs w:val="false"/>
                <w:color w:val="1A1A1A"/>
                <w:sz w:val="20"/>
                <w:szCs w:val="20"/>
              </w:rPr>
              <w:t xml:space="preserve">Cold start — new stores have no historical data</w:t>
            </w:r>
          </w:p>
        </w:tc>
        <w:tc>
          <w:tcPr>
            <w:tcW w:type="dxa" w:w="4700"/>
            <w:tcMar>
              <w:top w:type="dxa" w:w="80"/>
              <w:left w:type="dxa" w:w="100"/>
              <w:bottom w:type="dxa" w:w="80"/>
              <w:right w:type="dxa" w:w="100"/>
            </w:tcMar>
          </w:tcPr>
          <w:p>
            <w:r>
              <w:rPr>
                <w:b w:val="false"/>
                <w:bCs w:val="false"/>
                <w:color w:val="1A1A1A"/>
                <w:sz w:val="20"/>
                <w:szCs w:val="20"/>
              </w:rPr>
              <w:t xml:space="preserve">Ship category/comparable-store benchmarks on day one; be explicit that accuracy improves with time so owners don't churn before the model learns</w:t>
            </w:r>
          </w:p>
        </w:tc>
      </w:tr>
      <w:tr>
        <w:tc>
          <w:tcPr>
            <w:tcW w:type="dxa" w:w="4600"/>
            <w:tcMar>
              <w:top w:type="dxa" w:w="80"/>
              <w:left w:type="dxa" w:w="100"/>
              <w:bottom w:type="dxa" w:w="80"/>
              <w:right w:type="dxa" w:w="100"/>
            </w:tcMar>
          </w:tcPr>
          <w:p>
            <w:r>
              <w:rPr>
                <w:b w:val="false"/>
                <w:bCs w:val="false"/>
                <w:color w:val="1A1A1A"/>
                <w:sz w:val="20"/>
                <w:szCs w:val="20"/>
              </w:rPr>
              <w:t xml:space="preserve">Distributor friction — tools that shift ordering patterns away from a sales rep's influence can trigger pushback</w:t>
            </w:r>
          </w:p>
        </w:tc>
        <w:tc>
          <w:tcPr>
            <w:tcW w:type="dxa" w:w="4700"/>
            <w:tcMar>
              <w:top w:type="dxa" w:w="80"/>
              <w:left w:type="dxa" w:w="100"/>
              <w:bottom w:type="dxa" w:w="80"/>
              <w:right w:type="dxa" w:w="100"/>
            </w:tcMar>
          </w:tcPr>
          <w:p>
            <w:r>
              <w:rPr>
                <w:b w:val="false"/>
                <w:bCs w:val="false"/>
                <w:color w:val="1A1A1A"/>
                <w:sz w:val="20"/>
                <w:szCs w:val="20"/>
              </w:rPr>
              <w:t xml:space="preserve">Position as distributor-complementary (ready-to-share order lists via share-sheet) rather than distributor-replacing; engage local distributor associations early</w:t>
            </w:r>
          </w:p>
        </w:tc>
      </w:tr>
      <w:tr>
        <w:tc>
          <w:tcPr>
            <w:tcW w:type="dxa" w:w="4600"/>
            <w:tcMar>
              <w:top w:type="dxa" w:w="80"/>
              <w:left w:type="dxa" w:w="100"/>
              <w:bottom w:type="dxa" w:w="80"/>
              <w:right w:type="dxa" w:w="100"/>
            </w:tcMar>
          </w:tcPr>
          <w:p>
            <w:r>
              <w:rPr>
                <w:b w:val="false"/>
                <w:bCs w:val="false"/>
                <w:color w:val="1A1A1A"/>
                <w:sz w:val="20"/>
                <w:szCs w:val="20"/>
              </w:rPr>
              <w:t xml:space="preserve">Trust/adoption — low willingness to hand ordering decisions to an algorithm</w:t>
            </w:r>
          </w:p>
        </w:tc>
        <w:tc>
          <w:tcPr>
            <w:tcW w:type="dxa" w:w="4700"/>
            <w:tcMar>
              <w:top w:type="dxa" w:w="80"/>
              <w:left w:type="dxa" w:w="100"/>
              <w:bottom w:type="dxa" w:w="80"/>
              <w:right w:type="dxa" w:w="100"/>
            </w:tcMar>
          </w:tcPr>
          <w:p>
            <w:r>
              <w:rPr>
                <w:b w:val="false"/>
                <w:bCs w:val="false"/>
                <w:color w:val="1A1A1A"/>
                <w:sz w:val="20"/>
                <w:szCs w:val="20"/>
              </w:rPr>
              <w:t xml:space="preserve">Human-in-the-loop by default; show reasoning in plain language; let owners override and learn from overrides</w:t>
            </w:r>
          </w:p>
        </w:tc>
      </w:tr>
      <w:tr>
        <w:tc>
          <w:tcPr>
            <w:tcW w:type="dxa" w:w="4600"/>
            <w:tcMar>
              <w:top w:type="dxa" w:w="80"/>
              <w:left w:type="dxa" w:w="100"/>
              <w:bottom w:type="dxa" w:w="80"/>
              <w:right w:type="dxa" w:w="100"/>
            </w:tcMar>
          </w:tcPr>
          <w:p>
            <w:r>
              <w:rPr>
                <w:b w:val="false"/>
                <w:bCs w:val="false"/>
                <w:color w:val="1A1A1A"/>
                <w:sz w:val="20"/>
                <w:szCs w:val="20"/>
              </w:rPr>
              <w:t xml:space="preserve">Price sensitivity / owner-direct monetization — thin margins limit willingness to pay</w:t>
            </w:r>
          </w:p>
        </w:tc>
        <w:tc>
          <w:tcPr>
            <w:tcW w:type="dxa" w:w="4700"/>
            <w:tcMar>
              <w:top w:type="dxa" w:w="80"/>
              <w:left w:type="dxa" w:w="100"/>
              <w:bottom w:type="dxa" w:w="80"/>
              <w:right w:type="dxa" w:w="100"/>
            </w:tcMar>
          </w:tcPr>
          <w:p>
            <w:r>
              <w:rPr>
                <w:b w:val="false"/>
                <w:bCs w:val="false"/>
                <w:color w:val="1A1A1A"/>
                <w:sz w:val="20"/>
                <w:szCs w:val="20"/>
              </w:rPr>
              <w:t xml:space="preserve">Don't lead with an owner subscription; lead with distributor/brand co-funding (see §16)</w:t>
            </w:r>
          </w:p>
        </w:tc>
      </w:tr>
      <w:tr>
        <w:tc>
          <w:tcPr>
            <w:tcW w:type="dxa" w:w="4600"/>
            <w:tcMar>
              <w:top w:type="dxa" w:w="80"/>
              <w:left w:type="dxa" w:w="100"/>
              <w:bottom w:type="dxa" w:w="80"/>
              <w:right w:type="dxa" w:w="100"/>
            </w:tcMar>
          </w:tcPr>
          <w:p>
            <w:r>
              <w:rPr>
                <w:b w:val="false"/>
                <w:bCs w:val="false"/>
                <w:color w:val="1A1A1A"/>
                <w:sz w:val="20"/>
                <w:szCs w:val="20"/>
              </w:rPr>
              <w:t xml:space="preserve">Platform risk from adjacent incumbents (billing apps or FMCG apps adding forecasting)</w:t>
            </w:r>
          </w:p>
        </w:tc>
        <w:tc>
          <w:tcPr>
            <w:tcW w:type="dxa" w:w="4700"/>
            <w:tcMar>
              <w:top w:type="dxa" w:w="80"/>
              <w:left w:type="dxa" w:w="100"/>
              <w:bottom w:type="dxa" w:w="80"/>
              <w:right w:type="dxa" w:w="100"/>
            </w:tcMar>
          </w:tcPr>
          <w:p>
            <w:r>
              <w:rPr>
                <w:b w:val="false"/>
                <w:bCs w:val="false"/>
                <w:color w:val="1A1A1A"/>
                <w:sz w:val="20"/>
                <w:szCs w:val="20"/>
              </w:rPr>
              <w:t xml:space="preserve">Move quickly on cross-brand, retailer-first positioning; the data moat compounds with time</w:t>
            </w:r>
          </w:p>
        </w:tc>
      </w:tr>
    </w:tbl>
    <w:p>
      <w:pPr>
        <w:pStyle w:val="Heading1"/>
        <w:pBdr>
          <w:bottom w:val="single" w:color="1F3864" w:sz="6" w:space="4"/>
        </w:pBdr>
        <w:spacing w:after="200" w:before="400"/>
      </w:pPr>
      <w:r>
        <w:t xml:space="preserve">16. Monetization (directional, to validate)</w:t>
      </w:r>
    </w:p>
    <w:p>
      <w:pPr>
        <w:spacing w:after="160" w:line="276"/>
      </w:pPr>
      <w:r>
        <w:rPr>
          <w:sz w:val="21"/>
          <w:szCs w:val="21"/>
        </w:rPr>
        <w:t xml:space="preserve">Unchanged thesis from v1.1: lead with distributor/brand co-funding; treat an owner subscription as an optional secondary layer.</w:t>
      </w:r>
    </w:p>
    <w:p>
      <w:pPr>
        <w:pStyle w:val="ListParagraph"/>
        <w:numPr>
          <w:ilvl w:val="0"/>
          <w:numId w:val="2"/>
        </w:numPr>
        <w:spacing w:after="80"/>
      </w:pPr>
      <w:r>
        <w:rPr>
          <w:sz w:val="21"/>
          <w:szCs w:val="21"/>
        </w:rPr>
        <w:t xml:space="preserve">Primary — distributor or FMCG brand co-funding. Forecasting accuracy that reduces returns, dead stock, and order-volume volatility is valuable enough that a distributor or brand may fund access for their retailer network (Badho's model, §13).</w:t>
      </w:r>
    </w:p>
    <w:p>
      <w:pPr>
        <w:pStyle w:val="ListParagraph"/>
        <w:numPr>
          <w:ilvl w:val="0"/>
          <w:numId w:val="2"/>
        </w:numPr>
        <w:spacing w:after="80"/>
      </w:pPr>
      <w:r>
        <w:rPr>
          <w:sz w:val="21"/>
          <w:szCs w:val="21"/>
        </w:rPr>
        <w:t xml:space="preserve">Secondary, optional — low-cost owner subscription, scoped to advanced/multi-store features only, layered on top of a free core product.</w:t>
      </w:r>
    </w:p>
    <w:p>
      <w:pPr>
        <w:pStyle w:val="ListParagraph"/>
        <w:numPr>
          <w:ilvl w:val="0"/>
          <w:numId w:val="2"/>
        </w:numPr>
        <w:spacing w:after="80"/>
      </w:pPr>
      <w:r>
        <w:rPr>
          <w:sz w:val="21"/>
          <w:szCs w:val="21"/>
        </w:rPr>
        <w:t xml:space="preserve">[Pivot — genuine upside] Removing WhatsApp Business API and SMS gateway costs eliminates a recurring per-message/per-conversation expense entirely (previously estimated at roughly ₹2,000–₹100,000+/month at pilot scale depending on BSP, per the earlier cost analysis). This directly improves the cost-to-serve floor referenced in §11 and gives more room under a thin co-funded price point — the clearest business case in favor of this pivot.</w:t>
      </w:r>
    </w:p>
    <w:p>
      <w:pPr>
        <w:pStyle w:val="Heading1"/>
        <w:pBdr>
          <w:bottom w:val="single" w:color="1F3864" w:sz="6" w:space="4"/>
        </w:pBdr>
        <w:spacing w:after="200" w:before="400"/>
      </w:pPr>
      <w:r>
        <w:t xml:space="preserve">17. Roadmap (Phased)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0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Phase</w:t>
            </w:r>
          </w:p>
        </w:tc>
        <w:tc>
          <w:tcPr>
            <w:tcW w:type="dxa" w:w="4600"/>
            <w:shd w:fill="1F3864" w:val="clear"/>
            <w:tcMar>
              <w:top w:type="dxa" w:w="80"/>
              <w:left w:type="dxa" w:w="100"/>
              <w:bottom w:type="dxa" w:w="80"/>
              <w:right w:type="dxa" w:w="100"/>
            </w:tcMar>
          </w:tcPr>
          <w:p>
            <w:r>
              <w:rPr>
                <w:b/>
                <w:bCs/>
                <w:color w:val="FFFFFF"/>
                <w:sz w:val="20"/>
                <w:szCs w:val="20"/>
              </w:rPr>
              <w:t xml:space="preserve">Focus</w:t>
            </w:r>
          </w:p>
        </w:tc>
        <w:tc>
          <w:tcPr>
            <w:tcW w:type="dxa" w:w="2900"/>
            <w:shd w:fill="1F3864" w:val="clear"/>
            <w:tcMar>
              <w:top w:type="dxa" w:w="80"/>
              <w:left w:type="dxa" w:w="100"/>
              <w:bottom w:type="dxa" w:w="80"/>
              <w:right w:type="dxa" w:w="100"/>
            </w:tcMar>
          </w:tcPr>
          <w:p>
            <w:r>
              <w:rPr>
                <w:b/>
                <w:bCs/>
                <w:color w:val="FFFFFF"/>
                <w:sz w:val="20"/>
                <w:szCs w:val="20"/>
              </w:rPr>
              <w:t xml:space="preserve">Rough scope</w:t>
            </w:r>
          </w:p>
        </w:tc>
      </w:tr>
      <w:tr>
        <w:tc>
          <w:tcPr>
            <w:tcW w:type="dxa" w:w="1800"/>
            <w:tcMar>
              <w:top w:type="dxa" w:w="80"/>
              <w:left w:type="dxa" w:w="100"/>
              <w:bottom w:type="dxa" w:w="80"/>
              <w:right w:type="dxa" w:w="100"/>
            </w:tcMar>
          </w:tcPr>
          <w:p>
            <w:r>
              <w:rPr>
                <w:b w:val="false"/>
                <w:bCs w:val="false"/>
                <w:color w:val="1A1A1A"/>
                <w:sz w:val="20"/>
                <w:szCs w:val="20"/>
              </w:rPr>
              <w:t xml:space="preserve">Phase 0 — Pilot</w:t>
            </w:r>
          </w:p>
        </w:tc>
        <w:tc>
          <w:tcPr>
            <w:tcW w:type="dxa" w:w="4600"/>
            <w:tcMar>
              <w:top w:type="dxa" w:w="80"/>
              <w:left w:type="dxa" w:w="100"/>
              <w:bottom w:type="dxa" w:w="80"/>
              <w:right w:type="dxa" w:w="100"/>
            </w:tcMar>
          </w:tcPr>
          <w:p>
            <w:r>
              <w:rPr>
                <w:b w:val="false"/>
                <w:bCs w:val="false"/>
                <w:color w:val="1A1A1A"/>
                <w:sz w:val="20"/>
                <w:szCs w:val="20"/>
              </w:rPr>
              <w:t xml:space="preserve">[Pivot] Prove both forecast accuracy/behavior change AND app install/retention viability; open parallel conversations with 2–3 distributors or regional brands to pressure-test the co-funding thesis</w:t>
            </w:r>
          </w:p>
        </w:tc>
        <w:tc>
          <w:tcPr>
            <w:tcW w:type="dxa" w:w="2900"/>
            <w:tcMar>
              <w:top w:type="dxa" w:w="80"/>
              <w:left w:type="dxa" w:w="100"/>
              <w:bottom w:type="dxa" w:w="80"/>
              <w:right w:type="dxa" w:w="100"/>
            </w:tcMar>
          </w:tcPr>
          <w:p>
            <w:r>
              <w:rPr>
                <w:b w:val="false"/>
                <w:bCs w:val="false"/>
                <w:color w:val="1A1A1A"/>
                <w:sz w:val="20"/>
                <w:szCs w:val="20"/>
              </w:rPr>
              <w:t xml:space="preserve">20–50 stores, 1 city, field-agent-assisted install, heavy owner feedback loops</w:t>
            </w:r>
          </w:p>
        </w:tc>
      </w:tr>
      <w:tr>
        <w:tc>
          <w:tcPr>
            <w:tcW w:type="dxa" w:w="1800"/>
            <w:tcMar>
              <w:top w:type="dxa" w:w="80"/>
              <w:left w:type="dxa" w:w="100"/>
              <w:bottom w:type="dxa" w:w="80"/>
              <w:right w:type="dxa" w:w="100"/>
            </w:tcMar>
          </w:tcPr>
          <w:p>
            <w:r>
              <w:rPr>
                <w:b w:val="false"/>
                <w:bCs w:val="false"/>
                <w:color w:val="1A1A1A"/>
                <w:sz w:val="20"/>
                <w:szCs w:val="20"/>
              </w:rPr>
              <w:t xml:space="preserve">Phase 1 — MVP launch</w:t>
            </w:r>
          </w:p>
        </w:tc>
        <w:tc>
          <w:tcPr>
            <w:tcW w:type="dxa" w:w="4600"/>
            <w:tcMar>
              <w:top w:type="dxa" w:w="80"/>
              <w:left w:type="dxa" w:w="100"/>
              <w:bottom w:type="dxa" w:w="80"/>
              <w:right w:type="dxa" w:w="100"/>
            </w:tcMar>
          </w:tcPr>
          <w:p>
            <w:r>
              <w:rPr>
                <w:b w:val="false"/>
                <w:bCs w:val="false"/>
                <w:color w:val="1A1A1A"/>
                <w:sz w:val="20"/>
                <w:szCs w:val="20"/>
              </w:rPr>
              <w:t xml:space="preserve">Everything in §9 marked “Must,” app-first</w:t>
            </w:r>
          </w:p>
        </w:tc>
        <w:tc>
          <w:tcPr>
            <w:tcW w:type="dxa" w:w="2900"/>
            <w:tcMar>
              <w:top w:type="dxa" w:w="80"/>
              <w:left w:type="dxa" w:w="100"/>
              <w:bottom w:type="dxa" w:w="80"/>
              <w:right w:type="dxa" w:w="100"/>
            </w:tcMar>
          </w:tcPr>
          <w:p>
            <w:r>
              <w:rPr>
                <w:b w:val="false"/>
                <w:bCs w:val="false"/>
                <w:color w:val="1A1A1A"/>
                <w:sz w:val="20"/>
                <w:szCs w:val="20"/>
              </w:rPr>
              <w:t xml:space="preserve">200–500 stores, 2–3 cities</w:t>
            </w:r>
          </w:p>
        </w:tc>
      </w:tr>
      <w:tr>
        <w:tc>
          <w:tcPr>
            <w:tcW w:type="dxa" w:w="1800"/>
            <w:tcMar>
              <w:top w:type="dxa" w:w="80"/>
              <w:left w:type="dxa" w:w="100"/>
              <w:bottom w:type="dxa" w:w="80"/>
              <w:right w:type="dxa" w:w="100"/>
            </w:tcMar>
          </w:tcPr>
          <w:p>
            <w:r>
              <w:rPr>
                <w:b w:val="false"/>
                <w:bCs w:val="false"/>
                <w:color w:val="1A1A1A"/>
                <w:sz w:val="20"/>
                <w:szCs w:val="20"/>
              </w:rPr>
              <w:t xml:space="preserve">Phase 2 — Scale &amp; trust</w:t>
            </w:r>
          </w:p>
        </w:tc>
        <w:tc>
          <w:tcPr>
            <w:tcW w:type="dxa" w:w="4600"/>
            <w:tcMar>
              <w:top w:type="dxa" w:w="80"/>
              <w:left w:type="dxa" w:w="100"/>
              <w:bottom w:type="dxa" w:w="80"/>
              <w:right w:type="dxa" w:w="100"/>
            </w:tcMar>
          </w:tcPr>
          <w:p>
            <w:r>
              <w:rPr>
                <w:b w:val="false"/>
                <w:bCs w:val="false"/>
                <w:color w:val="1A1A1A"/>
                <w:sz w:val="20"/>
                <w:szCs w:val="20"/>
              </w:rPr>
              <w:t xml:space="preserve">“Should” features, billing-app integrations, distributor order-list export polish, expanded languages; reassess whether a WhatsApp layer should be reintroduced if Phase 0/1 install-friction data warrants it</w:t>
            </w:r>
          </w:p>
        </w:tc>
        <w:tc>
          <w:tcPr>
            <w:tcW w:type="dxa" w:w="2900"/>
            <w:tcMar>
              <w:top w:type="dxa" w:w="80"/>
              <w:left w:type="dxa" w:w="100"/>
              <w:bottom w:type="dxa" w:w="80"/>
              <w:right w:type="dxa" w:w="100"/>
            </w:tcMar>
          </w:tcPr>
          <w:p>
            <w:r>
              <w:rPr>
                <w:b w:val="false"/>
                <w:bCs w:val="false"/>
                <w:color w:val="1A1A1A"/>
                <w:sz w:val="20"/>
                <w:szCs w:val="20"/>
              </w:rPr>
              <w:t xml:space="preserve">Broader city rollout</w:t>
            </w:r>
          </w:p>
        </w:tc>
      </w:tr>
      <w:tr>
        <w:tc>
          <w:tcPr>
            <w:tcW w:type="dxa" w:w="1800"/>
            <w:tcMar>
              <w:top w:type="dxa" w:w="80"/>
              <w:left w:type="dxa" w:w="100"/>
              <w:bottom w:type="dxa" w:w="80"/>
              <w:right w:type="dxa" w:w="100"/>
            </w:tcMar>
          </w:tcPr>
          <w:p>
            <w:r>
              <w:rPr>
                <w:b w:val="false"/>
                <w:bCs w:val="false"/>
                <w:color w:val="1A1A1A"/>
                <w:sz w:val="20"/>
                <w:szCs w:val="20"/>
              </w:rPr>
              <w:t xml:space="preserve">Phase 3 — Platform</w:t>
            </w:r>
          </w:p>
        </w:tc>
        <w:tc>
          <w:tcPr>
            <w:tcW w:type="dxa" w:w="4600"/>
            <w:tcMar>
              <w:top w:type="dxa" w:w="80"/>
              <w:left w:type="dxa" w:w="100"/>
              <w:bottom w:type="dxa" w:w="80"/>
              <w:right w:type="dxa" w:w="100"/>
            </w:tcMar>
          </w:tcPr>
          <w:p>
            <w:r>
              <w:rPr>
                <w:b w:val="false"/>
                <w:bCs w:val="false"/>
                <w:color w:val="1A1A1A"/>
                <w:sz w:val="20"/>
                <w:szCs w:val="20"/>
              </w:rPr>
              <w:t xml:space="preserve">Voice, multi-store, richer external demand signals, potential ONDC/distributor integrations</w:t>
            </w:r>
          </w:p>
        </w:tc>
        <w:tc>
          <w:tcPr>
            <w:tcW w:type="dxa" w:w="2900"/>
            <w:tcMar>
              <w:top w:type="dxa" w:w="80"/>
              <w:left w:type="dxa" w:w="100"/>
              <w:bottom w:type="dxa" w:w="80"/>
              <w:right w:type="dxa" w:w="100"/>
            </w:tcMar>
          </w:tcPr>
          <w:p>
            <w:r>
              <w:rPr>
                <w:b w:val="false"/>
                <w:bCs w:val="false"/>
                <w:color w:val="1A1A1A"/>
                <w:sz w:val="20"/>
                <w:szCs w:val="20"/>
              </w:rPr>
              <w:t xml:space="preserve">Post-product-market-fit</w:t>
            </w:r>
          </w:p>
        </w:tc>
      </w:tr>
    </w:tbl>
    <w:p>
      <w:pPr>
        <w:pStyle w:val="Heading1"/>
        <w:pBdr>
          <w:bottom w:val="single" w:color="1F3864" w:sz="6" w:space="4"/>
        </w:pBdr>
        <w:spacing w:after="200" w:before="400"/>
      </w:pPr>
      <w:r>
        <w:t xml:space="preserve">18. Open Questions</w:t>
      </w:r>
    </w:p>
    <w:p>
      <w:pPr>
        <w:pStyle w:val="ListParagraph"/>
        <w:numPr>
          <w:ilvl w:val="0"/>
          <w:numId w:val="3"/>
        </w:numPr>
        <w:spacing w:after="80"/>
      </w:pPr>
      <w:r>
        <w:rPr>
          <w:sz w:val="21"/>
          <w:szCs w:val="21"/>
        </w:rPr>
        <w:t xml:space="preserve">[Pivot, most urgent] Will Ramesh-type owners actually install and habitually open a standalone app? This is the single largest unvalidated assumption in this edition and should be the first thing the Phase 0 interviews/pilot test — not treated as settled by the general tech-adoption research in §3.</w:t>
      </w:r>
    </w:p>
    <w:p>
      <w:pPr>
        <w:pStyle w:val="ListParagraph"/>
        <w:numPr>
          <w:ilvl w:val="0"/>
          <w:numId w:val="3"/>
        </w:numPr>
        <w:spacing w:after="80"/>
      </w:pPr>
      <w:r>
        <w:rPr>
          <w:sz w:val="21"/>
          <w:szCs w:val="21"/>
        </w:rPr>
        <w:t xml:space="preserve">What install-completion and 90-day-retention rates would be considered a pass/fail signal for the app-only bet before falling back to a chat-based channel?</w:t>
      </w:r>
    </w:p>
    <w:p>
      <w:pPr>
        <w:pStyle w:val="ListParagraph"/>
        <w:numPr>
          <w:ilvl w:val="0"/>
          <w:numId w:val="3"/>
        </w:numPr>
        <w:spacing w:after="80"/>
      </w:pPr>
      <w:r>
        <w:rPr>
          <w:sz w:val="21"/>
          <w:szCs w:val="21"/>
        </w:rPr>
        <w:t xml:space="preserve">Which 2–3 cities/regions to pilot in, and how do we recruit the first 20–50 stores?</w:t>
      </w:r>
    </w:p>
    <w:p>
      <w:pPr>
        <w:pStyle w:val="ListParagraph"/>
        <w:numPr>
          <w:ilvl w:val="0"/>
          <w:numId w:val="3"/>
        </w:numPr>
        <w:spacing w:after="80"/>
      </w:pPr>
      <w:r>
        <w:rPr>
          <w:sz w:val="21"/>
          <w:szCs w:val="21"/>
        </w:rPr>
        <w:t xml:space="preserve">Build vs. partner for the billing-app data source — integrate with an existing player, or build lightweight capture ourselves?</w:t>
      </w:r>
    </w:p>
    <w:p>
      <w:pPr>
        <w:pStyle w:val="ListParagraph"/>
        <w:numPr>
          <w:ilvl w:val="0"/>
          <w:numId w:val="3"/>
        </w:numPr>
        <w:spacing w:after="80"/>
      </w:pPr>
      <w:r>
        <w:rPr>
          <w:sz w:val="21"/>
          <w:szCs w:val="21"/>
        </w:rPr>
        <w:t xml:space="preserve">Which 2–3 distributors or regional brands should Phase 0 approach first for co-funding, and what would they need to see to fund a pilot?</w:t>
      </w:r>
    </w:p>
    <w:p>
      <w:pPr>
        <w:pStyle w:val="ListParagraph"/>
        <w:numPr>
          <w:ilvl w:val="0"/>
          <w:numId w:val="3"/>
        </w:numPr>
        <w:spacing w:after="80"/>
      </w:pPr>
      <w:r>
        <w:rPr>
          <w:sz w:val="21"/>
          <w:szCs w:val="21"/>
        </w:rPr>
        <w:t xml:space="preserve">Is the secondary owner-subscription layer worth building at all in v1, or is it a distraction until there's a specific “Priya”-type multi-store feature set worth charging for?</w:t>
      </w:r>
    </w:p>
    <w:p>
      <w:pPr>
        <w:pStyle w:val="ListParagraph"/>
        <w:numPr>
          <w:ilvl w:val="0"/>
          <w:numId w:val="3"/>
        </w:numPr>
        <w:spacing w:after="80"/>
      </w:pPr>
      <w:r>
        <w:rPr>
          <w:sz w:val="21"/>
          <w:szCs w:val="21"/>
        </w:rPr>
        <w:t xml:space="preserve">Should distributor relationships be a Phase 1 partnership priority, or deliberately deferred to keep v1 owner-only and simple?</w:t>
      </w:r>
    </w:p>
    <w:p>
      <w:pPr>
        <w:pStyle w:val="ListParagraph"/>
        <w:numPr>
          <w:ilvl w:val="0"/>
          <w:numId w:val="3"/>
        </w:numPr>
        <w:spacing w:after="80"/>
      </w:pPr>
      <w:r>
        <w:rPr>
          <w:sz w:val="21"/>
          <w:szCs w:val="21"/>
        </w:rPr>
        <w:t xml:space="preserve">If Phase 0 shows meaningful install drop-off, what's the fallback plan — a hybrid model (app + WhatsApp notification layer), or a redesigned lightweight-install flow?</w:t>
      </w:r>
    </w:p>
    <w:p>
      <w:pPr>
        <w:shd w:fill="FCE4D6" w:val="clear"/>
        <w:spacing w:before="400"/>
      </w:pPr>
      <w:r>
        <w:rPr>
          <w:i/>
          <w:iCs/>
          <w:sz w:val="20"/>
          <w:szCs w:val="20"/>
        </w:rPr>
        <w:t xml:space="preserve">This document is a first-draft hypothesis, not a committed spec — and this edition in particular rests on one large, untested assumption (owner willingness to install and use a standalone app). Recommended next step: run the 8-10 kirana owner interviews from v1.1 §18 with an explicit app-install test (e.g., watch a real owner attempt to find, download, and open the app) before committing engineering resources to the app-only path over a hybrid one.</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Kirana-Napse — PRD (Android-App-First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5B6"/>
      <w:sz w:val="25"/>
      <w:szCs w:val="25"/>
    </w:rPr>
  </w:style>
  <w:style w:type="paragraph" w:styleId="Heading3">
    <w:name w:val="Heading 3"/>
    <w:basedOn w:val="Normal"/>
    <w:next w:val="Normal"/>
    <w:qFormat/>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2026-08-11T13:59:15.636Z</dcterms:created>
  <dcterms:modified xsi:type="dcterms:W3CDTF">2026-08-11T13:59:15.651Z</dcterms:modified>
</cp:coreProperties>
</file>

<file path=docProps/custom.xml><?xml version="1.0" encoding="utf-8"?>
<Properties xmlns="http://schemas.openxmlformats.org/officeDocument/2006/custom-properties" xmlns:vt="http://schemas.openxmlformats.org/officeDocument/2006/docPropsVTypes"/>
</file>