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64"/>
          <w:szCs w:val="64"/>
        </w:rPr>
        <w:t xml:space="preserve">Kirana-Napse</w:t>
      </w:r>
    </w:p>
    <w:p>
      <w:pPr>
        <w:spacing w:after="100" w:before="200"/>
        <w:jc w:val="center"/>
      </w:pPr>
      <w:r>
        <w:rPr>
          <w:b/>
          <w:bCs/>
          <w:color w:val="2E75B6"/>
          <w:sz w:val="30"/>
          <w:szCs w:val="30"/>
        </w:rPr>
        <w:t xml:space="preserve">Technical Requirements Document</w:t>
      </w:r>
    </w:p>
    <w:p>
      <w:pPr>
        <w:spacing w:after="100"/>
        <w:jc w:val="center"/>
      </w:pPr>
      <w:r>
        <w:rPr>
          <w:i/>
          <w:iCs/>
          <w:color w:val="595959"/>
          <w:sz w:val="22"/>
          <w:szCs w:val="22"/>
        </w:rPr>
        <w:t xml:space="preserve">AI-Powered Demand Forecasting &amp; Reorder Assistant for Kirana Stores</w:t>
      </w:r>
    </w:p>
    <w:p>
      <w:pPr>
        <w:spacing w:after="600"/>
        <w:jc w:val="center"/>
      </w:pPr>
      <w:r>
        <w:rPr>
          <w:b/>
          <w:bCs/>
          <w:color w:val="C55A11"/>
          <w:sz w:val="22"/>
          <w:szCs w:val="22"/>
        </w:rPr>
        <w:t xml:space="preserve">Android-App-First Edition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Field</w:t>
            </w:r>
          </w:p>
        </w:tc>
        <w:tc>
          <w:tcPr>
            <w:tcW w:type="dxa" w:w="6300"/>
            <w:shd w:fill="1F3864" w:val="clear"/>
            <w:tcMar>
              <w:top w:type="dxa" w:w="80"/>
              <w:left w:type="dxa" w:w="100"/>
              <w:bottom w:type="dxa" w:w="80"/>
              <w:right w:type="dxa" w:w="100"/>
            </w:tcMar>
          </w:tcPr>
          <w:p>
            <w:r>
              <w:rPr>
                <w:b/>
                <w:bCs/>
                <w:color w:val="FFFFFF"/>
                <w:sz w:val="20"/>
                <w:szCs w:val="20"/>
              </w:rPr>
              <w:t xml:space="preserve">Value</w:t>
            </w:r>
          </w:p>
        </w:tc>
      </w:tr>
      <w:tr>
        <w:tc>
          <w:tcPr>
            <w:tcW w:type="dxa" w:w="3200"/>
            <w:tcMar>
              <w:top w:type="dxa" w:w="80"/>
              <w:left w:type="dxa" w:w="100"/>
              <w:bottom w:type="dxa" w:w="80"/>
              <w:right w:type="dxa" w:w="100"/>
            </w:tcMar>
          </w:tcPr>
          <w:p>
            <w:r>
              <w:rPr>
                <w:b w:val="false"/>
                <w:bCs w:val="false"/>
                <w:color w:val="1A1A1A"/>
                <w:sz w:val="20"/>
                <w:szCs w:val="20"/>
              </w:rPr>
              <w:t xml:space="preserve">Document status</w:t>
            </w:r>
          </w:p>
        </w:tc>
        <w:tc>
          <w:tcPr>
            <w:tcW w:type="dxa" w:w="6300"/>
            <w:tcMar>
              <w:top w:type="dxa" w:w="80"/>
              <w:left w:type="dxa" w:w="100"/>
              <w:bottom w:type="dxa" w:w="80"/>
              <w:right w:type="dxa" w:w="100"/>
            </w:tcMar>
          </w:tcPr>
          <w:p>
            <w:r>
              <w:rPr>
                <w:b w:val="false"/>
                <w:bCs w:val="false"/>
                <w:color w:val="1A1A1A"/>
                <w:sz w:val="20"/>
                <w:szCs w:val="20"/>
              </w:rPr>
              <w:t xml:space="preserve">Draft v2.0 (technical design — companion to PRD v1.2)</w:t>
            </w:r>
          </w:p>
        </w:tc>
      </w:tr>
      <w:tr>
        <w:tc>
          <w:tcPr>
            <w:tcW w:type="dxa" w:w="3200"/>
            <w:tcMar>
              <w:top w:type="dxa" w:w="80"/>
              <w:left w:type="dxa" w:w="100"/>
              <w:bottom w:type="dxa" w:w="80"/>
              <w:right w:type="dxa" w:w="100"/>
            </w:tcMar>
          </w:tcPr>
          <w:p>
            <w:r>
              <w:rPr>
                <w:b w:val="false"/>
                <w:bCs w:val="false"/>
                <w:color w:val="1A1A1A"/>
                <w:sz w:val="20"/>
                <w:szCs w:val="20"/>
              </w:rPr>
              <w:t xml:space="preserve">Derived from</w:t>
            </w:r>
          </w:p>
        </w:tc>
        <w:tc>
          <w:tcPr>
            <w:tcW w:type="dxa" w:w="6300"/>
            <w:tcMar>
              <w:top w:type="dxa" w:w="80"/>
              <w:left w:type="dxa" w:w="100"/>
              <w:bottom w:type="dxa" w:w="80"/>
              <w:right w:type="dxa" w:w="100"/>
            </w:tcMar>
          </w:tcPr>
          <w:p>
            <w:r>
              <w:rPr>
                <w:b w:val="false"/>
                <w:bCs w:val="false"/>
                <w:color w:val="1A1A1A"/>
                <w:sz w:val="20"/>
                <w:szCs w:val="20"/>
              </w:rPr>
              <w:t xml:space="preserve">Kirana-Napse PRD v1.2 (Android-App-First Edition), August 11, 2026</w:t>
            </w:r>
          </w:p>
        </w:tc>
      </w:tr>
      <w:tr>
        <w:tc>
          <w:tcPr>
            <w:tcW w:type="dxa" w:w="3200"/>
            <w:tcMar>
              <w:top w:type="dxa" w:w="80"/>
              <w:left w:type="dxa" w:w="100"/>
              <w:bottom w:type="dxa" w:w="80"/>
              <w:right w:type="dxa" w:w="100"/>
            </w:tcMar>
          </w:tcPr>
          <w:p>
            <w:r>
              <w:rPr>
                <w:b w:val="false"/>
                <w:bCs w:val="false"/>
                <w:color w:val="1A1A1A"/>
                <w:sz w:val="20"/>
                <w:szCs w:val="20"/>
              </w:rPr>
              <w:t xml:space="preserve">Supersedes</w:t>
            </w:r>
          </w:p>
        </w:tc>
        <w:tc>
          <w:tcPr>
            <w:tcW w:type="dxa" w:w="6300"/>
            <w:tcMar>
              <w:top w:type="dxa" w:w="80"/>
              <w:left w:type="dxa" w:w="100"/>
              <w:bottom w:type="dxa" w:w="80"/>
              <w:right w:type="dxa" w:w="100"/>
            </w:tcMar>
          </w:tcPr>
          <w:p>
            <w:r>
              <w:rPr>
                <w:b w:val="false"/>
                <w:bCs w:val="false"/>
                <w:color w:val="1A1A1A"/>
                <w:sz w:val="20"/>
                <w:szCs w:val="20"/>
              </w:rPr>
              <w:t xml:space="preserve">StockSense AI TRD v1.0 for all delivery-channel and naming decisions</w:t>
            </w:r>
          </w:p>
        </w:tc>
      </w:tr>
      <w:tr>
        <w:tc>
          <w:tcPr>
            <w:tcW w:type="dxa" w:w="3200"/>
            <w:tcMar>
              <w:top w:type="dxa" w:w="80"/>
              <w:left w:type="dxa" w:w="100"/>
              <w:bottom w:type="dxa" w:w="80"/>
              <w:right w:type="dxa" w:w="100"/>
            </w:tcMar>
          </w:tcPr>
          <w:p>
            <w:r>
              <w:rPr>
                <w:b w:val="false"/>
                <w:bCs w:val="false"/>
                <w:color w:val="1A1A1A"/>
                <w:sz w:val="20"/>
                <w:szCs w:val="20"/>
              </w:rPr>
              <w:t xml:space="preserve">Owner</w:t>
            </w:r>
          </w:p>
        </w:tc>
        <w:tc>
          <w:tcPr>
            <w:tcW w:type="dxa" w:w="6300"/>
            <w:tcMar>
              <w:top w:type="dxa" w:w="80"/>
              <w:left w:type="dxa" w:w="100"/>
              <w:bottom w:type="dxa" w:w="80"/>
              <w:right w:type="dxa" w:w="100"/>
            </w:tcMar>
          </w:tcPr>
          <w:p>
            <w:r>
              <w:rPr>
                <w:b w:val="false"/>
                <w:bCs w:val="false"/>
                <w:color w:val="1A1A1A"/>
                <w:sz w:val="20"/>
                <w:szCs w:val="20"/>
              </w:rPr>
              <w:t xml:space="preserve">Engineering Team</w:t>
            </w:r>
          </w:p>
        </w:tc>
      </w:tr>
      <w:tr>
        <w:tc>
          <w:tcPr>
            <w:tcW w:type="dxa" w:w="3200"/>
            <w:tcMar>
              <w:top w:type="dxa" w:w="80"/>
              <w:left w:type="dxa" w:w="100"/>
              <w:bottom w:type="dxa" w:w="80"/>
              <w:right w:type="dxa" w:w="100"/>
            </w:tcMar>
          </w:tcPr>
          <w:p>
            <w:r>
              <w:rPr>
                <w:b w:val="false"/>
                <w:bCs w:val="false"/>
                <w:color w:val="1A1A1A"/>
                <w:sz w:val="20"/>
                <w:szCs w:val="20"/>
              </w:rPr>
              <w:t xml:space="preserve">Audience</w:t>
            </w:r>
          </w:p>
        </w:tc>
        <w:tc>
          <w:tcPr>
            <w:tcW w:type="dxa" w:w="6300"/>
            <w:tcMar>
              <w:top w:type="dxa" w:w="80"/>
              <w:left w:type="dxa" w:w="100"/>
              <w:bottom w:type="dxa" w:w="80"/>
              <w:right w:type="dxa" w:w="100"/>
            </w:tcMar>
          </w:tcPr>
          <w:p>
            <w:r>
              <w:rPr>
                <w:b w:val="false"/>
                <w:bCs w:val="false"/>
                <w:color w:val="1A1A1A"/>
                <w:sz w:val="20"/>
                <w:szCs w:val="20"/>
              </w:rPr>
              <w:t xml:space="preserve">Engineering, QA, DevOps/Infra, Data Science, Security</w:t>
            </w:r>
          </w:p>
        </w:tc>
      </w:tr>
    </w:tbl>
    <w:p>
      <w:pPr>
        <w:spacing w:before="500"/>
      </w:pPr>
    </w:p>
    <w:p>
      <w:pPr>
        <w:shd w:fill="FCE4D6" w:val="clear"/>
        <w:spacing w:before="200"/>
      </w:pPr>
      <w:r>
        <w:rPr>
          <w:i/>
          <w:iCs/>
          <w:color w:val="1A1A1A"/>
          <w:sz w:val="20"/>
          <w:szCs w:val="20"/>
        </w:rPr>
        <w:t xml:space="preserve">Scope note: This TRD reflects the product's rename to Kirana-Napse and the architecture pivot to an Android-app-only delivery model (PRD v1.2). WhatsApp Business API and SMS gateway components from the prior TRD are removed; native Android push notifications now carry the daily-alert function. Sections marked [Pivot] changed directly because of this decision; sections marked [Risk — new] cover technical risk that did not exist under the WhatsApp-first design.</w:t>
      </w:r>
    </w:p>
    <w:p>
      <w:pPr>
        <w:sectPr>
          <w:pgSz w:w="12240" w:h="15840" w:orient="portrait"/>
          <w:pgMar w:top="1440" w:right="1350" w:bottom="1440" w:left="1350" w:header="708" w:footer="708" w:gutter="0"/>
          <w:pgNumType/>
          <w:docGrid w:linePitch="360"/>
        </w:sectPr>
      </w:pPr>
    </w:p>
    <w:p>
      <w:pPr>
        <w:pStyle w:val="Heading1"/>
        <w:pBdr>
          <w:bottom w:val="single" w:color="1F3864" w:sz="6" w:space="4"/>
        </w:pBdr>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t xml:space="preserve">1. Introduction &amp; Purpose</w:t>
      </w:r>
    </w:p>
    <w:p>
      <w:pPr>
        <w:spacing w:after="160" w:line="276"/>
      </w:pPr>
      <w:r>
        <w:rPr>
          <w:sz w:val="21"/>
          <w:szCs w:val="21"/>
        </w:rPr>
        <w:t xml:space="preserve">This Technical Requirements Document (TRD) defines the system architecture, technology choices, data model, APIs, and non-functional requirements needed to build Kirana-Napse — the MVP described in the Product Requirements Document (PRD v1.2, Android-App-First Edition). It supersedes the delivery-channel decisions in the prior TRD (v1.0, StockSense AI), which assumed WhatsApp as the primary channel.</w:t>
      </w:r>
    </w:p>
    <w:p>
      <w:pPr>
        <w:spacing w:after="160" w:line="276"/>
      </w:pPr>
      <w:r>
        <w:rPr>
          <w:sz w:val="21"/>
          <w:szCs w:val="21"/>
        </w:rPr>
        <w:t xml:space="preserve">Where the PRD marks an assumption as unvalidated — most importantly, whether owners will install and habitually use a standalone Android app — this document treats the corresponding technical decision as provisional too, flagged inline as [To validate].</w:t>
      </w:r>
    </w:p>
    <w:p>
      <w:pPr>
        <w:pStyle w:val="Heading2"/>
        <w:spacing w:after="120" w:before="300"/>
      </w:pPr>
      <w:r>
        <w:t xml:space="preserve">1.1 Relationship to the PRD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400"/>
        <w:gridCol w:w="5100"/>
      </w:tblGrid>
      <w:tr>
        <w:trPr>
          <w:tblHeader/>
        </w:trPr>
        <w:tc>
          <w:tcPr>
            <w:tcW w:type="dxa" w:w="4400"/>
            <w:shd w:fill="1F3864" w:val="clear"/>
            <w:tcMar>
              <w:top w:type="dxa" w:w="80"/>
              <w:left w:type="dxa" w:w="100"/>
              <w:bottom w:type="dxa" w:w="80"/>
              <w:right w:type="dxa" w:w="100"/>
            </w:tcMar>
          </w:tcPr>
          <w:p>
            <w:r>
              <w:rPr>
                <w:b/>
                <w:bCs/>
                <w:color w:val="FFFFFF"/>
                <w:sz w:val="20"/>
                <w:szCs w:val="20"/>
              </w:rPr>
              <w:t xml:space="preserve">PRD section</w:t>
            </w:r>
          </w:p>
        </w:tc>
        <w:tc>
          <w:tcPr>
            <w:tcW w:type="dxa" w:w="5100"/>
            <w:shd w:fill="1F3864" w:val="clear"/>
            <w:tcMar>
              <w:top w:type="dxa" w:w="80"/>
              <w:left w:type="dxa" w:w="100"/>
              <w:bottom w:type="dxa" w:w="80"/>
              <w:right w:type="dxa" w:w="100"/>
            </w:tcMar>
          </w:tcPr>
          <w:p>
            <w:r>
              <w:rPr>
                <w:b/>
                <w:bCs/>
                <w:color w:val="FFFFFF"/>
                <w:sz w:val="20"/>
                <w:szCs w:val="20"/>
              </w:rPr>
              <w:t xml:space="preserve">Covered in this TRD</w:t>
            </w:r>
          </w:p>
        </w:tc>
      </w:tr>
      <w:tr>
        <w:tc>
          <w:tcPr>
            <w:tcW w:type="dxa" w:w="4400"/>
            <w:tcMar>
              <w:top w:type="dxa" w:w="80"/>
              <w:left w:type="dxa" w:w="100"/>
              <w:bottom w:type="dxa" w:w="80"/>
              <w:right w:type="dxa" w:w="100"/>
            </w:tcMar>
          </w:tcPr>
          <w:p>
            <w:r>
              <w:rPr>
                <w:b w:val="false"/>
                <w:bCs w:val="false"/>
                <w:color w:val="1A1A1A"/>
                <w:sz w:val="20"/>
                <w:szCs w:val="20"/>
              </w:rPr>
              <w:t xml:space="preserve">§7 Design principles (app-first)</w:t>
            </w:r>
          </w:p>
        </w:tc>
        <w:tc>
          <w:tcPr>
            <w:tcW w:type="dxa" w:w="5100"/>
            <w:tcMar>
              <w:top w:type="dxa" w:w="80"/>
              <w:left w:type="dxa" w:w="100"/>
              <w:bottom w:type="dxa" w:w="80"/>
              <w:right w:type="dxa" w:w="100"/>
            </w:tcMar>
          </w:tcPr>
          <w:p>
            <w:r>
              <w:rPr>
                <w:b w:val="false"/>
                <w:bCs w:val="false"/>
                <w:color w:val="1A1A1A"/>
                <w:sz w:val="20"/>
                <w:szCs w:val="20"/>
              </w:rPr>
              <w:t xml:space="preserve">§3 Architecture Overview, §4 Technology Stack</w:t>
            </w:r>
          </w:p>
        </w:tc>
      </w:tr>
      <w:tr>
        <w:tc>
          <w:tcPr>
            <w:tcW w:type="dxa" w:w="4400"/>
            <w:tcMar>
              <w:top w:type="dxa" w:w="80"/>
              <w:left w:type="dxa" w:w="100"/>
              <w:bottom w:type="dxa" w:w="80"/>
              <w:right w:type="dxa" w:w="100"/>
            </w:tcMar>
          </w:tcPr>
          <w:p>
            <w:r>
              <w:rPr>
                <w:b w:val="false"/>
                <w:bCs w:val="false"/>
                <w:color w:val="1A1A1A"/>
                <w:sz w:val="20"/>
                <w:szCs w:val="20"/>
              </w:rPr>
              <w:t xml:space="preserve">§8–§9 Scope &amp; Features</w:t>
            </w:r>
          </w:p>
        </w:tc>
        <w:tc>
          <w:tcPr>
            <w:tcW w:type="dxa" w:w="5100"/>
            <w:tcMar>
              <w:top w:type="dxa" w:w="80"/>
              <w:left w:type="dxa" w:w="100"/>
              <w:bottom w:type="dxa" w:w="80"/>
              <w:right w:type="dxa" w:w="100"/>
            </w:tcMar>
          </w:tcPr>
          <w:p>
            <w:r>
              <w:rPr>
                <w:b w:val="false"/>
                <w:bCs w:val="false"/>
                <w:color w:val="1A1A1A"/>
                <w:sz w:val="20"/>
                <w:szCs w:val="20"/>
              </w:rPr>
              <w:t xml:space="preserve">§5 System Components, §6 Data Model, §7 API Design</w:t>
            </w:r>
          </w:p>
        </w:tc>
      </w:tr>
      <w:tr>
        <w:tc>
          <w:tcPr>
            <w:tcW w:type="dxa" w:w="4400"/>
            <w:tcMar>
              <w:top w:type="dxa" w:w="80"/>
              <w:left w:type="dxa" w:w="100"/>
              <w:bottom w:type="dxa" w:w="80"/>
              <w:right w:type="dxa" w:w="100"/>
            </w:tcMar>
          </w:tcPr>
          <w:p>
            <w:r>
              <w:rPr>
                <w:b w:val="false"/>
                <w:bCs w:val="false"/>
                <w:color w:val="1A1A1A"/>
                <w:sz w:val="20"/>
                <w:szCs w:val="20"/>
              </w:rPr>
              <w:t xml:space="preserve">§10 Key User Flows</w:t>
            </w:r>
          </w:p>
        </w:tc>
        <w:tc>
          <w:tcPr>
            <w:tcW w:type="dxa" w:w="5100"/>
            <w:tcMar>
              <w:top w:type="dxa" w:w="80"/>
              <w:left w:type="dxa" w:w="100"/>
              <w:bottom w:type="dxa" w:w="80"/>
              <w:right w:type="dxa" w:w="100"/>
            </w:tcMar>
          </w:tcPr>
          <w:p>
            <w:r>
              <w:rPr>
                <w:b w:val="false"/>
                <w:bCs w:val="false"/>
                <w:color w:val="1A1A1A"/>
                <w:sz w:val="20"/>
                <w:szCs w:val="20"/>
              </w:rPr>
              <w:t xml:space="preserve">§5 System Components (per-flow), §8 Push Notification Design</w:t>
            </w:r>
          </w:p>
        </w:tc>
      </w:tr>
      <w:tr>
        <w:tc>
          <w:tcPr>
            <w:tcW w:type="dxa" w:w="4400"/>
            <w:tcMar>
              <w:top w:type="dxa" w:w="80"/>
              <w:left w:type="dxa" w:w="100"/>
              <w:bottom w:type="dxa" w:w="80"/>
              <w:right w:type="dxa" w:w="100"/>
            </w:tcMar>
          </w:tcPr>
          <w:p>
            <w:r>
              <w:rPr>
                <w:b w:val="false"/>
                <w:bCs w:val="false"/>
                <w:color w:val="1A1A1A"/>
                <w:sz w:val="20"/>
                <w:szCs w:val="20"/>
              </w:rPr>
              <w:t xml:space="preserve">§11 Non-Functional Requirements</w:t>
            </w:r>
          </w:p>
        </w:tc>
        <w:tc>
          <w:tcPr>
            <w:tcW w:type="dxa" w:w="5100"/>
            <w:tcMar>
              <w:top w:type="dxa" w:w="80"/>
              <w:left w:type="dxa" w:w="100"/>
              <w:bottom w:type="dxa" w:w="80"/>
              <w:right w:type="dxa" w:w="100"/>
            </w:tcMar>
          </w:tcPr>
          <w:p>
            <w:r>
              <w:rPr>
                <w:b w:val="false"/>
                <w:bCs w:val="false"/>
                <w:color w:val="1A1A1A"/>
                <w:sz w:val="20"/>
                <w:szCs w:val="20"/>
              </w:rPr>
              <w:t xml:space="preserve">§9 Non-Functional Requirements</w:t>
            </w:r>
          </w:p>
        </w:tc>
      </w:tr>
      <w:tr>
        <w:tc>
          <w:tcPr>
            <w:tcW w:type="dxa" w:w="4400"/>
            <w:tcMar>
              <w:top w:type="dxa" w:w="80"/>
              <w:left w:type="dxa" w:w="100"/>
              <w:bottom w:type="dxa" w:w="80"/>
              <w:right w:type="dxa" w:w="100"/>
            </w:tcMar>
          </w:tcPr>
          <w:p>
            <w:r>
              <w:rPr>
                <w:b w:val="false"/>
                <w:bCs w:val="false"/>
                <w:color w:val="1A1A1A"/>
                <w:sz w:val="20"/>
                <w:szCs w:val="20"/>
              </w:rPr>
              <w:t xml:space="preserve">§14–§15 Assumptions &amp; Risks (install friction)</w:t>
            </w:r>
          </w:p>
        </w:tc>
        <w:tc>
          <w:tcPr>
            <w:tcW w:type="dxa" w:w="5100"/>
            <w:tcMar>
              <w:top w:type="dxa" w:w="80"/>
              <w:left w:type="dxa" w:w="100"/>
              <w:bottom w:type="dxa" w:w="80"/>
              <w:right w:type="dxa" w:w="100"/>
            </w:tcMar>
          </w:tcPr>
          <w:p>
            <w:r>
              <w:rPr>
                <w:b w:val="false"/>
                <w:bCs w:val="false"/>
                <w:color w:val="1A1A1A"/>
                <w:sz w:val="20"/>
                <w:szCs w:val="20"/>
              </w:rPr>
              <w:t xml:space="preserve">§10 App Install &amp; Onboarding Reliability, §12 Open Technical Questions</w:t>
            </w:r>
          </w:p>
        </w:tc>
      </w:tr>
      <w:tr>
        <w:tc>
          <w:tcPr>
            <w:tcW w:type="dxa" w:w="4400"/>
            <w:tcMar>
              <w:top w:type="dxa" w:w="80"/>
              <w:left w:type="dxa" w:w="100"/>
              <w:bottom w:type="dxa" w:w="80"/>
              <w:right w:type="dxa" w:w="100"/>
            </w:tcMar>
          </w:tcPr>
          <w:p>
            <w:r>
              <w:rPr>
                <w:b w:val="false"/>
                <w:bCs w:val="false"/>
                <w:color w:val="1A1A1A"/>
                <w:sz w:val="20"/>
                <w:szCs w:val="20"/>
              </w:rPr>
              <w:t xml:space="preserve">§17 Roadmap</w:t>
            </w:r>
          </w:p>
        </w:tc>
        <w:tc>
          <w:tcPr>
            <w:tcW w:type="dxa" w:w="5100"/>
            <w:tcMar>
              <w:top w:type="dxa" w:w="80"/>
              <w:left w:type="dxa" w:w="100"/>
              <w:bottom w:type="dxa" w:w="80"/>
              <w:right w:type="dxa" w:w="100"/>
            </w:tcMar>
          </w:tcPr>
          <w:p>
            <w:r>
              <w:rPr>
                <w:b w:val="false"/>
                <w:bCs w:val="false"/>
                <w:color w:val="1A1A1A"/>
                <w:sz w:val="20"/>
                <w:szCs w:val="20"/>
              </w:rPr>
              <w:t xml:space="preserve">§11 Deployment &amp; Environments, §13 Phase-by-Phase Technical Notes</w:t>
            </w:r>
          </w:p>
        </w:tc>
      </w:tr>
    </w:tbl>
    <w:p>
      <w:pPr>
        <w:pStyle w:val="Heading1"/>
        <w:pBdr>
          <w:bottom w:val="single" w:color="1F3864" w:sz="6" w:space="4"/>
        </w:pBdr>
        <w:spacing w:after="200" w:before="400"/>
      </w:pPr>
      <w:r>
        <w:t xml:space="preserve">2. Technical Goals &amp; Constraints</w:t>
      </w:r>
    </w:p>
    <w:p>
      <w:pPr>
        <w:pStyle w:val="Heading2"/>
        <w:spacing w:after="120" w:before="300"/>
      </w:pPr>
      <w:r>
        <w:t xml:space="preserve">2.1 Goals</w:t>
      </w:r>
    </w:p>
    <w:p>
      <w:pPr>
        <w:pStyle w:val="ListParagraph"/>
        <w:numPr>
          <w:ilvl w:val="0"/>
          <w:numId w:val="2"/>
        </w:numPr>
        <w:spacing w:after="80"/>
      </w:pPr>
      <w:r>
        <w:rPr>
          <w:sz w:val="21"/>
          <w:szCs w:val="21"/>
        </w:rPr>
        <w:t xml:space="preserve">Deliver a per-SKU demand forecast and reorder recommendation pipeline that runs reliably on a daily cadence for the pilot cohort (PRD §16: 20–500 stores).</w:t>
      </w:r>
    </w:p>
    <w:p>
      <w:pPr>
        <w:pStyle w:val="ListParagraph"/>
        <w:numPr>
          <w:ilvl w:val="0"/>
          <w:numId w:val="2"/>
        </w:numPr>
        <w:spacing w:after="80"/>
      </w:pPr>
      <w:r>
        <w:rPr>
          <w:sz w:val="21"/>
          <w:szCs w:val="21"/>
        </w:rPr>
        <w:t xml:space="preserve">[Pivot] Make the native Android app the sole interface for onboarding, daily/weekly use, and the feedback loop — no chat-channel dependency.</w:t>
      </w:r>
    </w:p>
    <w:p>
      <w:pPr>
        <w:pStyle w:val="ListParagraph"/>
        <w:numPr>
          <w:ilvl w:val="0"/>
          <w:numId w:val="2"/>
        </w:numPr>
        <w:spacing w:after="80"/>
      </w:pPr>
      <w:r>
        <w:rPr>
          <w:sz w:val="21"/>
          <w:szCs w:val="21"/>
        </w:rPr>
        <w:t xml:space="preserve">[Pivot] Replace WhatsApp's “arrives without being opened” property with reliable Android push notifications, engineered to survive OEM battery-optimization and permission friction (PRD §15 risk).</w:t>
      </w:r>
    </w:p>
    <w:p>
      <w:pPr>
        <w:pStyle w:val="ListParagraph"/>
        <w:numPr>
          <w:ilvl w:val="0"/>
          <w:numId w:val="2"/>
        </w:numPr>
        <w:spacing w:after="80"/>
      </w:pPr>
      <w:r>
        <w:rPr>
          <w:sz w:val="21"/>
          <w:szCs w:val="21"/>
        </w:rPr>
        <w:t xml:space="preserve">Support graceful cold-start: usable output from day one via category/comparable-store benchmarks, improving as store-specific history accumulates (PRD §7).</w:t>
      </w:r>
    </w:p>
    <w:p>
      <w:pPr>
        <w:pStyle w:val="ListParagraph"/>
        <w:numPr>
          <w:ilvl w:val="0"/>
          <w:numId w:val="2"/>
        </w:numPr>
        <w:spacing w:after="80"/>
      </w:pPr>
      <w:r>
        <w:rPr>
          <w:sz w:val="21"/>
          <w:szCs w:val="21"/>
        </w:rPr>
        <w:t xml:space="preserve">Keep infrastructure and inference cost per store per month low enough to support distributor/brand co-funded pricing (PRD §11, §16) — simplified by removing WhatsApp Business API and SMS gateway fees entirely.</w:t>
      </w:r>
    </w:p>
    <w:p>
      <w:pPr>
        <w:pStyle w:val="ListParagraph"/>
        <w:numPr>
          <w:ilvl w:val="0"/>
          <w:numId w:val="2"/>
        </w:numPr>
        <w:spacing w:after="80"/>
      </w:pPr>
      <w:r>
        <w:rPr>
          <w:sz w:val="21"/>
          <w:szCs w:val="21"/>
        </w:rPr>
        <w:t xml:space="preserve">Design for offline-tolerant, low-end Android usage over patchy 3G/4G, now load-bearing since there is no chat/SMS fallback (PRD §11).</w:t>
      </w:r>
    </w:p>
    <w:p>
      <w:pPr>
        <w:pStyle w:val="ListParagraph"/>
        <w:numPr>
          <w:ilvl w:val="0"/>
          <w:numId w:val="2"/>
        </w:numPr>
        <w:spacing w:after="80"/>
      </w:pPr>
      <w:r>
        <w:rPr>
          <w:sz w:val="21"/>
          <w:szCs w:val="21"/>
        </w:rPr>
        <w:t xml:space="preserve">Keep store-level sales data isolated per store/owner by default, with no distributor/brand access without explicit, revocable consent.</w:t>
      </w:r>
    </w:p>
    <w:p>
      <w:pPr>
        <w:pStyle w:val="Heading2"/>
        <w:spacing w:after="120" w:before="300"/>
      </w:pPr>
      <w:r>
        <w:t xml:space="preserve">2.2 Constraints</w:t>
      </w:r>
    </w:p>
    <w:p>
      <w:pPr>
        <w:pStyle w:val="ListParagraph"/>
        <w:numPr>
          <w:ilvl w:val="0"/>
          <w:numId w:val="2"/>
        </w:numPr>
        <w:spacing w:after="80"/>
      </w:pPr>
      <w:r>
        <w:rPr>
          <w:sz w:val="21"/>
          <w:szCs w:val="21"/>
        </w:rPr>
        <w:t xml:space="preserve">Entry-level Android devices: 2–3GB RAM, intermittent connectivity — app size, memory footprint, and payload sizes must respect this.</w:t>
      </w:r>
    </w:p>
    <w:p>
      <w:pPr>
        <w:pStyle w:val="ListParagraph"/>
        <w:numPr>
          <w:ilvl w:val="0"/>
          <w:numId w:val="2"/>
        </w:numPr>
        <w:spacing w:after="80"/>
      </w:pPr>
      <w:r>
        <w:rPr>
          <w:sz w:val="21"/>
          <w:szCs w:val="21"/>
        </w:rPr>
        <w:t xml:space="preserve">No automated ordering or payments in MVP — every recommendation requires explicit owner action in-app (PRD §8).</w:t>
      </w:r>
    </w:p>
    <w:p>
      <w:pPr>
        <w:pStyle w:val="ListParagraph"/>
        <w:numPr>
          <w:ilvl w:val="0"/>
          <w:numId w:val="2"/>
        </w:numPr>
        <w:spacing w:after="80"/>
      </w:pPr>
      <w:r>
        <w:rPr>
          <w:sz w:val="21"/>
          <w:szCs w:val="21"/>
        </w:rPr>
        <w:t xml:space="preserve">Multilingual from day one: Hindi + English + 1–2 regional languages, in-app.</w:t>
      </w:r>
    </w:p>
    <w:p>
      <w:pPr>
        <w:pStyle w:val="ListParagraph"/>
        <w:numPr>
          <w:ilvl w:val="0"/>
          <w:numId w:val="2"/>
        </w:numPr>
        <w:spacing w:after="80"/>
      </w:pPr>
      <w:r>
        <w:rPr>
          <w:sz w:val="21"/>
          <w:szCs w:val="21"/>
        </w:rPr>
        <w:t xml:space="preserve">Human-in-the-loop is a hard product requirement — the system must never auto-submit an order.</w:t>
      </w:r>
    </w:p>
    <w:p>
      <w:pPr>
        <w:pStyle w:val="ListParagraph"/>
        <w:numPr>
          <w:ilvl w:val="0"/>
          <w:numId w:val="2"/>
        </w:numPr>
        <w:spacing w:after="80"/>
      </w:pPr>
      <w:r>
        <w:rPr>
          <w:sz w:val="21"/>
          <w:szCs w:val="21"/>
        </w:rPr>
        <w:t xml:space="preserve">[Pivot, new] No fallback delivery channel exists if push notifications fail or are suppressed — offline caching and in-app visibility have to compensate (§9.2, §10).</w:t>
      </w:r>
    </w:p>
    <w:p>
      <w:pPr>
        <w:pStyle w:val="Heading1"/>
        <w:pBdr>
          <w:bottom w:val="single" w:color="1F3864" w:sz="6" w:space="4"/>
        </w:pBdr>
        <w:spacing w:after="200" w:before="400"/>
      </w:pPr>
      <w:r>
        <w:t xml:space="preserve">3. System Architecture Overview</w:t>
      </w:r>
    </w:p>
    <w:p>
      <w:pPr>
        <w:spacing w:after="160" w:line="276"/>
      </w:pPr>
      <w:r>
        <w:rPr>
          <w:sz w:val="21"/>
          <w:szCs w:val="21"/>
        </w:rPr>
        <w:t xml:space="preserve">Kirana-Napse is a cloud-hosted, API-first backend paired with a single delivery surface: a native Android app. The system is decomposed into loosely coupled services so the forecasting engine, ingestion pipeline, and notification delivery can evolve and scale independently, even though there is only one client surface in this edition.</w:t>
      </w:r>
    </w:p>
    <w:p>
      <w:pPr>
        <w:pStyle w:val="Heading2"/>
        <w:spacing w:after="120" w:before="300"/>
      </w:pPr>
      <w:r>
        <w:t xml:space="preserve">3.1 High-Level Component Diagram (textual)</w:t>
      </w:r>
    </w:p>
    <w:p>
      <w:pPr>
        <w:shd w:fill="F2F2F2" w:val="clear"/>
        <w:spacing w:after="20"/>
      </w:pPr>
      <w:r>
        <w:rPr>
          <w:rFonts w:ascii="Consolas" w:cs="Consolas" w:eastAsia="Consolas" w:hAnsi="Consolas"/>
          <w:color w:val="1A1A1A"/>
          <w:sz w:val="19"/>
          <w:szCs w:val="19"/>
        </w:rPr>
        <w:t xml:space="preserve">[ Billing App Exports ]   [ Photo/OCR of Paper Bills ]   [ Manual Entry ]</w:t>
      </w:r>
    </w:p>
    <w:p>
      <w:pPr>
        <w:shd w:fill="F2F2F2" w:val="clear"/>
        <w:spacing w:after="20"/>
      </w:pPr>
      <w:r>
        <w:rPr>
          <w:rFonts w:ascii="Consolas" w:cs="Consolas" w:eastAsia="Consolas" w:hAnsi="Consolas"/>
          <w:color w:val="1A1A1A"/>
          <w:sz w:val="19"/>
          <w:szCs w:val="19"/>
        </w:rPr>
        <w:t xml:space="preserve">             \                     |                      /</w:t>
      </w:r>
    </w:p>
    <w:p>
      <w:pPr>
        <w:shd w:fill="F2F2F2" w:val="clear"/>
        <w:spacing w:after="20"/>
      </w:pPr>
      <w:r>
        <w:rPr>
          <w:rFonts w:ascii="Consolas" w:cs="Consolas" w:eastAsia="Consolas" w:hAnsi="Consolas"/>
          <w:color w:val="1A1A1A"/>
          <w:sz w:val="19"/>
          <w:szCs w:val="19"/>
        </w:rPr>
        <w:t xml:space="preserve">              v                     v                     v</w:t>
      </w:r>
    </w:p>
    <w:p>
      <w:pPr>
        <w:shd w:fill="F2F2F2" w:val="clear"/>
        <w:spacing w:after="20"/>
      </w:pPr>
      <w:r>
        <w:rPr>
          <w:rFonts w:ascii="Consolas" w:cs="Consolas" w:eastAsia="Consolas" w:hAnsi="Consolas"/>
          <w:color w:val="1A1A1A"/>
          <w:sz w:val="19"/>
          <w:szCs w:val="19"/>
        </w:rPr>
        <w:t xml:space="preserve">                     +-------------------------------+</w:t>
      </w:r>
    </w:p>
    <w:p>
      <w:pPr>
        <w:shd w:fill="F2F2F2" w:val="clear"/>
        <w:spacing w:after="20"/>
      </w:pPr>
      <w:r>
        <w:rPr>
          <w:rFonts w:ascii="Consolas" w:cs="Consolas" w:eastAsia="Consolas" w:hAnsi="Consolas"/>
          <w:color w:val="1A1A1A"/>
          <w:sz w:val="19"/>
          <w:szCs w:val="19"/>
        </w:rPr>
        <w:t xml:space="preserve">                     |     Data Ingestion Service    |   (in-app)</w:t>
      </w:r>
    </w:p>
    <w:p>
      <w:pPr>
        <w:shd w:fill="F2F2F2" w:val="clear"/>
        <w:spacing w:after="20"/>
      </w:pPr>
      <w:r>
        <w:rPr>
          <w:rFonts w:ascii="Consolas" w:cs="Consolas" w:eastAsia="Consolas" w:hAnsi="Consolas"/>
          <w:color w:val="1A1A1A"/>
          <w:sz w:val="19"/>
          <w:szCs w:val="19"/>
        </w:rPr>
        <w:t xml:space="preserve">                     +---------------+----------------+</w:t>
      </w:r>
    </w:p>
    <w:p>
      <w:pPr>
        <w:shd w:fill="F2F2F2" w:val="clear"/>
        <w:spacing w:after="20"/>
      </w:pPr>
      <w:r>
        <w:rPr>
          <w:rFonts w:ascii="Consolas" w:cs="Consolas" w:eastAsia="Consolas" w:hAnsi="Consolas"/>
          <w:color w:val="1A1A1A"/>
          <w:sz w:val="19"/>
          <w:szCs w:val="19"/>
        </w:rPr>
        <w:t xml:space="preserve">                                     v</w:t>
      </w:r>
    </w:p>
    <w:p>
      <w:pPr>
        <w:shd w:fill="F2F2F2" w:val="clear"/>
        <w:spacing w:after="20"/>
      </w:pPr>
      <w:r>
        <w:rPr>
          <w:rFonts w:ascii="Consolas" w:cs="Consolas" w:eastAsia="Consolas" w:hAnsi="Consolas"/>
          <w:color w:val="1A1A1A"/>
          <w:sz w:val="19"/>
          <w:szCs w:val="19"/>
        </w:rPr>
        <w:t xml:space="preserve">                     +-------------------------------+</w:t>
      </w:r>
    </w:p>
    <w:p>
      <w:pPr>
        <w:shd w:fill="F2F2F2" w:val="clear"/>
        <w:spacing w:after="20"/>
      </w:pPr>
      <w:r>
        <w:rPr>
          <w:rFonts w:ascii="Consolas" w:cs="Consolas" w:eastAsia="Consolas" w:hAnsi="Consolas"/>
          <w:color w:val="1A1A1A"/>
          <w:sz w:val="19"/>
          <w:szCs w:val="19"/>
        </w:rPr>
        <w:t xml:space="preserve">                     |   Sales &amp; Inventory Data Store |</w:t>
      </w:r>
    </w:p>
    <w:p>
      <w:pPr>
        <w:shd w:fill="F2F2F2" w:val="clear"/>
        <w:spacing w:after="20"/>
      </w:pPr>
      <w:r>
        <w:rPr>
          <w:rFonts w:ascii="Consolas" w:cs="Consolas" w:eastAsia="Consolas" w:hAnsi="Consolas"/>
          <w:color w:val="1A1A1A"/>
          <w:sz w:val="19"/>
          <w:szCs w:val="19"/>
        </w:rPr>
        <w:t xml:space="preserve">                     +---------------+----------------+</w:t>
      </w:r>
    </w:p>
    <w:p>
      <w:pPr>
        <w:shd w:fill="F2F2F2" w:val="clear"/>
        <w:spacing w:after="20"/>
      </w:pPr>
      <w:r>
        <w:rPr>
          <w:rFonts w:ascii="Consolas" w:cs="Consolas" w:eastAsia="Consolas" w:hAnsi="Consolas"/>
          <w:color w:val="1A1A1A"/>
          <w:sz w:val="19"/>
          <w:szCs w:val="19"/>
        </w:rPr>
        <w:t xml:space="preserve">                                     v</w:t>
      </w:r>
    </w:p>
    <w:p>
      <w:pPr>
        <w:shd w:fill="F2F2F2" w:val="clear"/>
        <w:spacing w:after="20"/>
      </w:pPr>
      <w:r>
        <w:rPr>
          <w:rFonts w:ascii="Consolas" w:cs="Consolas" w:eastAsia="Consolas" w:hAnsi="Consolas"/>
          <w:color w:val="1A1A1A"/>
          <w:sz w:val="19"/>
          <w:szCs w:val="19"/>
        </w:rPr>
        <w:t xml:space="preserve">          +--------------------------+---------------------------+</w:t>
      </w:r>
    </w:p>
    <w:p>
      <w:pPr>
        <w:shd w:fill="F2F2F2" w:val="clear"/>
        <w:spacing w:after="20"/>
      </w:pPr>
      <w:r>
        <w:rPr>
          <w:rFonts w:ascii="Consolas" w:cs="Consolas" w:eastAsia="Consolas" w:hAnsi="Consolas"/>
          <w:color w:val="1A1A1A"/>
          <w:sz w:val="19"/>
          <w:szCs w:val="19"/>
        </w:rPr>
        <w:t xml:space="preserve">          v                                                      v</w:t>
      </w:r>
    </w:p>
    <w:p>
      <w:pPr>
        <w:shd w:fill="F2F2F2" w:val="clear"/>
        <w:spacing w:after="20"/>
      </w:pPr>
      <w:r>
        <w:rPr>
          <w:rFonts w:ascii="Consolas" w:cs="Consolas" w:eastAsia="Consolas" w:hAnsi="Consolas"/>
          <w:color w:val="1A1A1A"/>
          <w:sz w:val="19"/>
          <w:szCs w:val="19"/>
        </w:rPr>
        <w:t xml:space="preserve">+-------------------+                                +--------------------------+</w:t>
      </w:r>
    </w:p>
    <w:p>
      <w:pPr>
        <w:shd w:fill="F2F2F2" w:val="clear"/>
        <w:spacing w:after="20"/>
      </w:pPr>
      <w:r>
        <w:rPr>
          <w:rFonts w:ascii="Consolas" w:cs="Consolas" w:eastAsia="Consolas" w:hAnsi="Consolas"/>
          <w:color w:val="1A1A1A"/>
          <w:sz w:val="19"/>
          <w:szCs w:val="19"/>
        </w:rPr>
        <w:t xml:space="preserve">| Forecasting Engine|&lt;-------- Seasonal/Festival ----&gt;|  Benchmark/Cold-Start     |</w:t>
      </w:r>
    </w:p>
    <w:p>
      <w:pPr>
        <w:shd w:fill="F2F2F2" w:val="clear"/>
        <w:spacing w:after="20"/>
      </w:pPr>
      <w:r>
        <w:rPr>
          <w:rFonts w:ascii="Consolas" w:cs="Consolas" w:eastAsia="Consolas" w:hAnsi="Consolas"/>
          <w:color w:val="1A1A1A"/>
          <w:sz w:val="19"/>
          <w:szCs w:val="19"/>
        </w:rPr>
        <w:t xml:space="preserve">| (per-SKU, 7-14d)  |            Calendar Service    |  Reference Data Service   |</w:t>
      </w:r>
    </w:p>
    <w:p>
      <w:pPr>
        <w:shd w:fill="F2F2F2" w:val="clear"/>
        <w:spacing w:after="20"/>
      </w:pPr>
      <w:r>
        <w:rPr>
          <w:rFonts w:ascii="Consolas" w:cs="Consolas" w:eastAsia="Consolas" w:hAnsi="Consolas"/>
          <w:color w:val="1A1A1A"/>
          <w:sz w:val="19"/>
          <w:szCs w:val="19"/>
        </w:rPr>
        <w:t xml:space="preserve">+---------+---------+                                +--------------------------+</w:t>
      </w:r>
    </w:p>
    <w:p>
      <w:pPr>
        <w:shd w:fill="F2F2F2" w:val="clear"/>
        <w:spacing w:after="20"/>
      </w:pPr>
      <w:r>
        <w:rPr>
          <w:rFonts w:ascii="Consolas" w:cs="Consolas" w:eastAsia="Consolas" w:hAnsi="Consolas"/>
          <w:color w:val="1A1A1A"/>
          <w:sz w:val="19"/>
          <w:szCs w:val="19"/>
        </w:rPr>
        <w:t xml:space="preserve">          v</w:t>
      </w:r>
    </w:p>
    <w:p>
      <w:pPr>
        <w:shd w:fill="F2F2F2" w:val="clear"/>
        <w:spacing w:after="20"/>
      </w:pPr>
      <w:r>
        <w:rPr>
          <w:rFonts w:ascii="Consolas" w:cs="Consolas" w:eastAsia="Consolas" w:hAnsi="Consolas"/>
          <w:color w:val="1A1A1A"/>
          <w:sz w:val="19"/>
          <w:szCs w:val="19"/>
        </w:rPr>
        <w:t xml:space="preserve">+-----------------------------+</w:t>
      </w:r>
    </w:p>
    <w:p>
      <w:pPr>
        <w:shd w:fill="F2F2F2" w:val="clear"/>
        <w:spacing w:after="20"/>
      </w:pPr>
      <w:r>
        <w:rPr>
          <w:rFonts w:ascii="Consolas" w:cs="Consolas" w:eastAsia="Consolas" w:hAnsi="Consolas"/>
          <w:color w:val="1A1A1A"/>
          <w:sz w:val="19"/>
          <w:szCs w:val="19"/>
        </w:rPr>
        <w:t xml:space="preserve">| Recommendation Engine        |  (reorder qty, low-stock, overstock/expiry alerts)</w:t>
      </w:r>
    </w:p>
    <w:p>
      <w:pPr>
        <w:shd w:fill="F2F2F2" w:val="clear"/>
        <w:spacing w:after="20"/>
      </w:pPr>
      <w:r>
        <w:rPr>
          <w:rFonts w:ascii="Consolas" w:cs="Consolas" w:eastAsia="Consolas" w:hAnsi="Consolas"/>
          <w:color w:val="1A1A1A"/>
          <w:sz w:val="19"/>
          <w:szCs w:val="19"/>
        </w:rPr>
        <w:t xml:space="preserve">+---------------+---------------+</w:t>
      </w:r>
    </w:p>
    <w:p>
      <w:pPr>
        <w:shd w:fill="F2F2F2" w:val="clear"/>
        <w:spacing w:after="20"/>
      </w:pPr>
      <w:r>
        <w:rPr>
          <w:rFonts w:ascii="Consolas" w:cs="Consolas" w:eastAsia="Consolas" w:hAnsi="Consolas"/>
          <w:color w:val="1A1A1A"/>
          <w:sz w:val="19"/>
          <w:szCs w:val="19"/>
        </w:rPr>
        <w:t xml:space="preserve">                v</w:t>
      </w:r>
    </w:p>
    <w:p>
      <w:pPr>
        <w:shd w:fill="F2F2F2" w:val="clear"/>
        <w:spacing w:after="20"/>
      </w:pPr>
      <w:r>
        <w:rPr>
          <w:rFonts w:ascii="Consolas" w:cs="Consolas" w:eastAsia="Consolas" w:hAnsi="Consolas"/>
          <w:color w:val="1A1A1A"/>
          <w:sz w:val="19"/>
          <w:szCs w:val="19"/>
        </w:rPr>
        <w:t xml:space="preserve">+-----------------------------------------------------------+</w:t>
      </w:r>
    </w:p>
    <w:p>
      <w:pPr>
        <w:shd w:fill="F2F2F2" w:val="clear"/>
        <w:spacing w:after="20"/>
      </w:pPr>
      <w:r>
        <w:rPr>
          <w:rFonts w:ascii="Consolas" w:cs="Consolas" w:eastAsia="Consolas" w:hAnsi="Consolas"/>
          <w:color w:val="1A1A1A"/>
          <w:sz w:val="19"/>
          <w:szCs w:val="19"/>
        </w:rPr>
        <w:t xml:space="preserve">|         Push Notification Service (FCM)  [Pivot]           |</w:t>
      </w:r>
    </w:p>
    <w:p>
      <w:pPr>
        <w:shd w:fill="F2F2F2" w:val="clear"/>
        <w:spacing w:after="20"/>
      </w:pPr>
      <w:r>
        <w:rPr>
          <w:rFonts w:ascii="Consolas" w:cs="Consolas" w:eastAsia="Consolas" w:hAnsi="Consolas"/>
          <w:color w:val="1A1A1A"/>
          <w:sz w:val="19"/>
          <w:szCs w:val="19"/>
        </w:rPr>
        <w:t xml:space="preserve">+-----------------------------------------------------------+</w:t>
      </w:r>
    </w:p>
    <w:p>
      <w:pPr>
        <w:shd w:fill="F2F2F2" w:val="clear"/>
        <w:spacing w:after="20"/>
      </w:pPr>
      <w:r>
        <w:rPr>
          <w:rFonts w:ascii="Consolas" w:cs="Consolas" w:eastAsia="Consolas" w:hAnsi="Consolas"/>
          <w:color w:val="1A1A1A"/>
          <w:sz w:val="19"/>
          <w:szCs w:val="19"/>
        </w:rPr>
        <w:t xml:space="preserve">                v</w:t>
      </w:r>
    </w:p>
    <w:p>
      <w:pPr>
        <w:shd w:fill="F2F2F2" w:val="clear"/>
        <w:spacing w:after="20"/>
      </w:pPr>
      <w:r>
        <w:rPr>
          <w:rFonts w:ascii="Consolas" w:cs="Consolas" w:eastAsia="Consolas" w:hAnsi="Consolas"/>
          <w:color w:val="1A1A1A"/>
          <w:sz w:val="19"/>
          <w:szCs w:val="19"/>
        </w:rPr>
        <w:t xml:space="preserve">        [ Kirana Store Owner — Android App ]  --edits/approves/flags--&gt;  Feedback Loop Service</w:t>
      </w:r>
    </w:p>
    <w:p>
      <w:pPr>
        <w:shd w:fill="F2F2F2" w:val="clear"/>
        <w:spacing w:after="20"/>
      </w:pPr>
      <w:r>
        <w:rPr>
          <w:rFonts w:ascii="Consolas" w:cs="Consolas" w:eastAsia="Consolas" w:hAnsi="Consolas"/>
          <w:color w:val="1A1A1A"/>
          <w:sz w:val="19"/>
          <w:szCs w:val="19"/>
        </w:rPr>
        <w:t xml:space="preserve">                |</w:t>
      </w:r>
    </w:p>
    <w:p>
      <w:pPr>
        <w:shd w:fill="F2F2F2" w:val="clear"/>
        <w:spacing w:after="20"/>
      </w:pPr>
      <w:r>
        <w:rPr>
          <w:rFonts w:ascii="Consolas" w:cs="Consolas" w:eastAsia="Consolas" w:hAnsi="Consolas"/>
          <w:color w:val="1A1A1A"/>
          <w:sz w:val="19"/>
          <w:szCs w:val="19"/>
        </w:rPr>
        <w:t xml:space="preserve">                v</w:t>
      </w:r>
    </w:p>
    <w:p>
      <w:pPr>
        <w:shd w:fill="F2F2F2" w:val="clear"/>
        <w:spacing w:after="20"/>
      </w:pPr>
      <w:r>
        <w:rPr>
          <w:rFonts w:ascii="Consolas" w:cs="Consolas" w:eastAsia="Consolas" w:hAnsi="Consolas"/>
          <w:color w:val="1A1A1A"/>
          <w:sz w:val="19"/>
          <w:szCs w:val="19"/>
        </w:rPr>
        <w:t xml:space="preserve">        [ Android Share-Sheet ]  --&gt;  Distributor (WhatsApp/print/etc., outside the system)</w:t>
      </w:r>
    </w:p>
    <w:p>
      <w:pPr>
        <w:spacing w:after="160" w:line="276"/>
      </w:pPr>
      <w:r>
        <w:rPr>
          <w:sz w:val="21"/>
          <w:szCs w:val="21"/>
        </w:rPr>
        <w:t xml:space="preserve"/>
      </w:r>
    </w:p>
    <w:p>
      <w:pPr>
        <w:pStyle w:val="Heading2"/>
        <w:spacing w:after="120" w:before="300"/>
      </w:pPr>
      <w:r>
        <w:t xml:space="preserve">3.2 Architectural Style</w:t>
      </w:r>
    </w:p>
    <w:p>
      <w:pPr>
        <w:pStyle w:val="ListParagraph"/>
        <w:numPr>
          <w:ilvl w:val="0"/>
          <w:numId w:val="2"/>
        </w:numPr>
        <w:spacing w:after="80"/>
      </w:pPr>
      <w:r>
        <w:rPr>
          <w:sz w:val="21"/>
          <w:szCs w:val="21"/>
        </w:rPr>
        <w:t xml:space="preserve">Backend: modular monolith at MVP scale, structured as logical modules that can be split into services later without a rewrite — unchanged from v1.0.</w:t>
      </w:r>
    </w:p>
    <w:p>
      <w:pPr>
        <w:pStyle w:val="ListParagraph"/>
        <w:numPr>
          <w:ilvl w:val="0"/>
          <w:numId w:val="2"/>
        </w:numPr>
        <w:spacing w:after="80"/>
      </w:pPr>
      <w:r>
        <w:rPr>
          <w:sz w:val="21"/>
          <w:szCs w:val="21"/>
        </w:rPr>
        <w:t xml:space="preserve">Forecasting runs as a scheduled batch/async job per store; daily recommendations are pre-computed and pushed via notification, not computed on-demand.</w:t>
      </w:r>
    </w:p>
    <w:p>
      <w:pPr>
        <w:pStyle w:val="ListParagraph"/>
        <w:numPr>
          <w:ilvl w:val="0"/>
          <w:numId w:val="2"/>
        </w:numPr>
        <w:spacing w:after="80"/>
      </w:pPr>
      <w:r>
        <w:rPr>
          <w:sz w:val="21"/>
          <w:szCs w:val="21"/>
        </w:rPr>
        <w:t xml:space="preserve">[Pivot] Notification delivery is now Firebase Cloud Messaging (FCM) instead of the WhatsApp Business API — a simpler, single-provider integration with no template-approval process and no per-message cost.</w:t>
      </w:r>
    </w:p>
    <w:p>
      <w:pPr>
        <w:pStyle w:val="ListParagraph"/>
        <w:numPr>
          <w:ilvl w:val="0"/>
          <w:numId w:val="2"/>
        </w:numPr>
        <w:spacing w:after="80"/>
      </w:pPr>
      <w:r>
        <w:rPr>
          <w:sz w:val="21"/>
          <w:szCs w:val="21"/>
        </w:rPr>
        <w:t xml:space="preserve">Event-driven internal messaging (queue-based) decouples ingestion from forecasting from notification delivery.</w:t>
      </w:r>
    </w:p>
    <w:p>
      <w:pPr>
        <w:pStyle w:val="ListParagraph"/>
        <w:numPr>
          <w:ilvl w:val="0"/>
          <w:numId w:val="2"/>
        </w:numPr>
        <w:spacing w:after="80"/>
      </w:pPr>
      <w:r>
        <w:rPr>
          <w:sz w:val="21"/>
          <w:szCs w:val="21"/>
        </w:rPr>
        <w:t xml:space="preserve">API-first: the Android app is now the only consumer of the internal API (previously shared with a WhatsApp bot service) — simplifies the API surface but concentrates all UX responsibility in one client.</w:t>
      </w:r>
    </w:p>
    <w:p>
      <w:pPr>
        <w:pStyle w:val="Heading1"/>
        <w:pBdr>
          <w:bottom w:val="single" w:color="1F3864" w:sz="6" w:space="4"/>
        </w:pBdr>
        <w:spacing w:after="200" w:before="400"/>
      </w:pPr>
      <w:r>
        <w:t xml:space="preserve">4.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700"/>
      </w:tblGrid>
      <w:tr>
        <w:trPr>
          <w:tblHeader/>
        </w:trPr>
        <w:tc>
          <w:tcPr>
            <w:tcW w:type="dxa" w:w="2100"/>
            <w:shd w:fill="1F3864" w:val="clear"/>
            <w:tcMar>
              <w:top w:type="dxa" w:w="80"/>
              <w:left w:type="dxa" w:w="100"/>
              <w:bottom w:type="dxa" w:w="80"/>
              <w:right w:type="dxa" w:w="100"/>
            </w:tcMar>
          </w:tcPr>
          <w:p>
            <w:r>
              <w:rPr>
                <w:b/>
                <w:bCs/>
                <w:color w:val="FFFFFF"/>
                <w:sz w:val="20"/>
                <w:szCs w:val="20"/>
              </w:rPr>
              <w:t xml:space="preserve">Layer</w:t>
            </w:r>
          </w:p>
        </w:tc>
        <w:tc>
          <w:tcPr>
            <w:tcW w:type="dxa" w:w="3700"/>
            <w:shd w:fill="1F3864" w:val="clear"/>
            <w:tcMar>
              <w:top w:type="dxa" w:w="80"/>
              <w:left w:type="dxa" w:w="100"/>
              <w:bottom w:type="dxa" w:w="80"/>
              <w:right w:type="dxa" w:w="100"/>
            </w:tcMar>
          </w:tcPr>
          <w:p>
            <w:r>
              <w:rPr>
                <w:b/>
                <w:bCs/>
                <w:color w:val="FFFFFF"/>
                <w:sz w:val="20"/>
                <w:szCs w:val="20"/>
              </w:rPr>
              <w:t xml:space="preserve">Recommendation</w:t>
            </w:r>
          </w:p>
        </w:tc>
        <w:tc>
          <w:tcPr>
            <w:tcW w:type="dxa" w:w="3700"/>
            <w:shd w:fill="1F3864" w:val="clear"/>
            <w:tcMar>
              <w:top w:type="dxa" w:w="80"/>
              <w:left w:type="dxa" w:w="100"/>
              <w:bottom w:type="dxa" w:w="80"/>
              <w:right w:type="dxa" w:w="100"/>
            </w:tcMar>
          </w:tcPr>
          <w:p>
            <w:r>
              <w:rPr>
                <w:b/>
                <w:bCs/>
                <w:color w:val="FFFFFF"/>
                <w:sz w:val="20"/>
                <w:szCs w:val="20"/>
              </w:rPr>
              <w:t xml:space="preserve">Rationale</w:t>
            </w:r>
          </w:p>
        </w:tc>
      </w:tr>
      <w:tr>
        <w:tc>
          <w:tcPr>
            <w:tcW w:type="dxa" w:w="2100"/>
            <w:tcMar>
              <w:top w:type="dxa" w:w="80"/>
              <w:left w:type="dxa" w:w="100"/>
              <w:bottom w:type="dxa" w:w="80"/>
              <w:right w:type="dxa" w:w="100"/>
            </w:tcMar>
          </w:tcPr>
          <w:p>
            <w:r>
              <w:rPr>
                <w:b w:val="false"/>
                <w:bCs w:val="false"/>
                <w:color w:val="1A1A1A"/>
                <w:sz w:val="20"/>
                <w:szCs w:val="20"/>
              </w:rPr>
              <w:t xml:space="preserve">Backend API</w:t>
            </w:r>
          </w:p>
        </w:tc>
        <w:tc>
          <w:tcPr>
            <w:tcW w:type="dxa" w:w="3700"/>
            <w:tcMar>
              <w:top w:type="dxa" w:w="80"/>
              <w:left w:type="dxa" w:w="100"/>
              <w:bottom w:type="dxa" w:w="80"/>
              <w:right w:type="dxa" w:w="100"/>
            </w:tcMar>
          </w:tcPr>
          <w:p>
            <w:r>
              <w:rPr>
                <w:b w:val="false"/>
                <w:bCs w:val="false"/>
                <w:color w:val="1A1A1A"/>
                <w:sz w:val="20"/>
                <w:szCs w:val="20"/>
              </w:rPr>
              <w:t xml:space="preserve">Node.js (NestJS) or Python (FastAPI)</w:t>
            </w:r>
          </w:p>
        </w:tc>
        <w:tc>
          <w:tcPr>
            <w:tcW w:type="dxa" w:w="3700"/>
            <w:tcMar>
              <w:top w:type="dxa" w:w="80"/>
              <w:left w:type="dxa" w:w="100"/>
              <w:bottom w:type="dxa" w:w="80"/>
              <w:right w:type="dxa" w:w="100"/>
            </w:tcMar>
          </w:tcPr>
          <w:p>
            <w:r>
              <w:rPr>
                <w:b w:val="false"/>
                <w:bCs w:val="false"/>
                <w:color w:val="1A1A1A"/>
                <w:sz w:val="20"/>
                <w:szCs w:val="20"/>
              </w:rPr>
              <w:t xml:space="preserve">Fast to iterate at pilot scale; unchanged from v1.0</w:t>
            </w:r>
          </w:p>
        </w:tc>
      </w:tr>
      <w:tr>
        <w:tc>
          <w:tcPr>
            <w:tcW w:type="dxa" w:w="2100"/>
            <w:tcMar>
              <w:top w:type="dxa" w:w="80"/>
              <w:left w:type="dxa" w:w="100"/>
              <w:bottom w:type="dxa" w:w="80"/>
              <w:right w:type="dxa" w:w="100"/>
            </w:tcMar>
          </w:tcPr>
          <w:p>
            <w:r>
              <w:rPr>
                <w:b w:val="false"/>
                <w:bCs w:val="false"/>
                <w:color w:val="1A1A1A"/>
                <w:sz w:val="20"/>
                <w:szCs w:val="20"/>
              </w:rPr>
              <w:t xml:space="preserve">Forecasting / ML</w:t>
            </w:r>
          </w:p>
        </w:tc>
        <w:tc>
          <w:tcPr>
            <w:tcW w:type="dxa" w:w="3700"/>
            <w:tcMar>
              <w:top w:type="dxa" w:w="80"/>
              <w:left w:type="dxa" w:w="100"/>
              <w:bottom w:type="dxa" w:w="80"/>
              <w:right w:type="dxa" w:w="100"/>
            </w:tcMar>
          </w:tcPr>
          <w:p>
            <w:r>
              <w:rPr>
                <w:b w:val="false"/>
                <w:bCs w:val="false"/>
                <w:color w:val="1A1A1A"/>
                <w:sz w:val="20"/>
                <w:szCs w:val="20"/>
              </w:rPr>
              <w:t xml:space="preserve">Python (statsmodels/ARIMA, Prophet, LightGBM for feature-rich SKUs)</w:t>
            </w:r>
          </w:p>
        </w:tc>
        <w:tc>
          <w:tcPr>
            <w:tcW w:type="dxa" w:w="3700"/>
            <w:tcMar>
              <w:top w:type="dxa" w:w="80"/>
              <w:left w:type="dxa" w:w="100"/>
              <w:bottom w:type="dxa" w:w="80"/>
              <w:right w:type="dxa" w:w="100"/>
            </w:tcMar>
          </w:tcPr>
          <w:p>
            <w:r>
              <w:rPr>
                <w:b w:val="false"/>
                <w:bCs w:val="false"/>
                <w:color w:val="1A1A1A"/>
                <w:sz w:val="20"/>
                <w:szCs w:val="20"/>
              </w:rPr>
              <w:t xml:space="preserve">Proven, explainable models over deep learning; unchanged from v1.0</w:t>
            </w:r>
          </w:p>
        </w:tc>
      </w:tr>
      <w:tr>
        <w:tc>
          <w:tcPr>
            <w:tcW w:type="dxa" w:w="2100"/>
            <w:tcMar>
              <w:top w:type="dxa" w:w="80"/>
              <w:left w:type="dxa" w:w="100"/>
              <w:bottom w:type="dxa" w:w="80"/>
              <w:right w:type="dxa" w:w="100"/>
            </w:tcMar>
          </w:tcPr>
          <w:p>
            <w:r>
              <w:rPr>
                <w:b w:val="false"/>
                <w:bCs w:val="false"/>
                <w:color w:val="1A1A1A"/>
                <w:sz w:val="20"/>
                <w:szCs w:val="20"/>
              </w:rPr>
              <w:t xml:space="preserve">Primary database</w:t>
            </w:r>
          </w:p>
        </w:tc>
        <w:tc>
          <w:tcPr>
            <w:tcW w:type="dxa" w:w="3700"/>
            <w:tcMar>
              <w:top w:type="dxa" w:w="80"/>
              <w:left w:type="dxa" w:w="100"/>
              <w:bottom w:type="dxa" w:w="80"/>
              <w:right w:type="dxa" w:w="100"/>
            </w:tcMar>
          </w:tcPr>
          <w:p>
            <w:r>
              <w:rPr>
                <w:b w:val="false"/>
                <w:bCs w:val="false"/>
                <w:color w:val="1A1A1A"/>
                <w:sz w:val="20"/>
                <w:szCs w:val="20"/>
              </w:rPr>
              <w:t xml:space="preserve">PostgreSQL (managed, e.g., RDS/Cloud SQL)</w:t>
            </w:r>
          </w:p>
        </w:tc>
        <w:tc>
          <w:tcPr>
            <w:tcW w:type="dxa" w:w="3700"/>
            <w:tcMar>
              <w:top w:type="dxa" w:w="80"/>
              <w:left w:type="dxa" w:w="100"/>
              <w:bottom w:type="dxa" w:w="80"/>
              <w:right w:type="dxa" w:w="100"/>
            </w:tcMar>
          </w:tcPr>
          <w:p>
            <w:r>
              <w:rPr>
                <w:b w:val="false"/>
                <w:bCs w:val="false"/>
                <w:color w:val="1A1A1A"/>
                <w:sz w:val="20"/>
                <w:szCs w:val="20"/>
              </w:rPr>
              <w:t xml:space="preserve">Relational integrity for store/SKU/order data</w:t>
            </w:r>
          </w:p>
        </w:tc>
      </w:tr>
      <w:tr>
        <w:tc>
          <w:tcPr>
            <w:tcW w:type="dxa" w:w="2100"/>
            <w:tcMar>
              <w:top w:type="dxa" w:w="80"/>
              <w:left w:type="dxa" w:w="100"/>
              <w:bottom w:type="dxa" w:w="80"/>
              <w:right w:type="dxa" w:w="100"/>
            </w:tcMar>
          </w:tcPr>
          <w:p>
            <w:r>
              <w:rPr>
                <w:b w:val="false"/>
                <w:bCs w:val="false"/>
                <w:color w:val="1A1A1A"/>
                <w:sz w:val="20"/>
                <w:szCs w:val="20"/>
              </w:rPr>
              <w:t xml:space="preserve">Time-series store</w:t>
            </w:r>
          </w:p>
        </w:tc>
        <w:tc>
          <w:tcPr>
            <w:tcW w:type="dxa" w:w="3700"/>
            <w:tcMar>
              <w:top w:type="dxa" w:w="80"/>
              <w:left w:type="dxa" w:w="100"/>
              <w:bottom w:type="dxa" w:w="80"/>
              <w:right w:type="dxa" w:w="100"/>
            </w:tcMar>
          </w:tcPr>
          <w:p>
            <w:r>
              <w:rPr>
                <w:b w:val="false"/>
                <w:bCs w:val="false"/>
                <w:color w:val="1A1A1A"/>
                <w:sz w:val="20"/>
                <w:szCs w:val="20"/>
              </w:rPr>
              <w:t xml:space="preserve">TimescaleDB extension or a dedicated time-series table set</w:t>
            </w:r>
          </w:p>
        </w:tc>
        <w:tc>
          <w:tcPr>
            <w:tcW w:type="dxa" w:w="3700"/>
            <w:tcMar>
              <w:top w:type="dxa" w:w="80"/>
              <w:left w:type="dxa" w:w="100"/>
              <w:bottom w:type="dxa" w:w="80"/>
              <w:right w:type="dxa" w:w="100"/>
            </w:tcMar>
          </w:tcPr>
          <w:p>
            <w:r>
              <w:rPr>
                <w:b w:val="false"/>
                <w:bCs w:val="false"/>
                <w:color w:val="1A1A1A"/>
                <w:sz w:val="20"/>
                <w:szCs w:val="20"/>
              </w:rPr>
              <w:t xml:space="preserve">Daily per-SKU sales history at scale</w:t>
            </w:r>
          </w:p>
        </w:tc>
      </w:tr>
      <w:tr>
        <w:tc>
          <w:tcPr>
            <w:tcW w:type="dxa" w:w="2100"/>
            <w:tcMar>
              <w:top w:type="dxa" w:w="80"/>
              <w:left w:type="dxa" w:w="100"/>
              <w:bottom w:type="dxa" w:w="80"/>
              <w:right w:type="dxa" w:w="100"/>
            </w:tcMar>
          </w:tcPr>
          <w:p>
            <w:r>
              <w:rPr>
                <w:b w:val="false"/>
                <w:bCs w:val="false"/>
                <w:color w:val="1A1A1A"/>
                <w:sz w:val="20"/>
                <w:szCs w:val="20"/>
              </w:rPr>
              <w:t xml:space="preserve">Job queue / async</w:t>
            </w:r>
          </w:p>
        </w:tc>
        <w:tc>
          <w:tcPr>
            <w:tcW w:type="dxa" w:w="3700"/>
            <w:tcMar>
              <w:top w:type="dxa" w:w="80"/>
              <w:left w:type="dxa" w:w="100"/>
              <w:bottom w:type="dxa" w:w="80"/>
              <w:right w:type="dxa" w:w="100"/>
            </w:tcMar>
          </w:tcPr>
          <w:p>
            <w:r>
              <w:rPr>
                <w:b w:val="false"/>
                <w:bCs w:val="false"/>
                <w:color w:val="1A1A1A"/>
                <w:sz w:val="20"/>
                <w:szCs w:val="20"/>
              </w:rPr>
              <w:t xml:space="preserve">Redis + BullMQ, or a managed queue (SQS/Cloud Tasks)</w:t>
            </w:r>
          </w:p>
        </w:tc>
        <w:tc>
          <w:tcPr>
            <w:tcW w:type="dxa" w:w="3700"/>
            <w:tcMar>
              <w:top w:type="dxa" w:w="80"/>
              <w:left w:type="dxa" w:w="100"/>
              <w:bottom w:type="dxa" w:w="80"/>
              <w:right w:type="dxa" w:w="100"/>
            </w:tcMar>
          </w:tcPr>
          <w:p>
            <w:r>
              <w:rPr>
                <w:b w:val="false"/>
                <w:bCs w:val="false"/>
                <w:color w:val="1A1A1A"/>
                <w:sz w:val="20"/>
                <w:szCs w:val="20"/>
              </w:rPr>
              <w:t xml:space="preserve">Decouples ingestion, forecasting, and notification</w:t>
            </w:r>
          </w:p>
        </w:tc>
      </w:tr>
      <w:tr>
        <w:tc>
          <w:tcPr>
            <w:tcW w:type="dxa" w:w="2100"/>
            <w:tcMar>
              <w:top w:type="dxa" w:w="80"/>
              <w:left w:type="dxa" w:w="100"/>
              <w:bottom w:type="dxa" w:w="80"/>
              <w:right w:type="dxa" w:w="100"/>
            </w:tcMar>
          </w:tcPr>
          <w:p>
            <w:r>
              <w:rPr>
                <w:b w:val="false"/>
                <w:bCs w:val="false"/>
                <w:color w:val="1A1A1A"/>
                <w:sz w:val="20"/>
                <w:szCs w:val="20"/>
              </w:rPr>
              <w:t xml:space="preserve">OCR</w:t>
            </w:r>
          </w:p>
        </w:tc>
        <w:tc>
          <w:tcPr>
            <w:tcW w:type="dxa" w:w="3700"/>
            <w:tcMar>
              <w:top w:type="dxa" w:w="80"/>
              <w:left w:type="dxa" w:w="100"/>
              <w:bottom w:type="dxa" w:w="80"/>
              <w:right w:type="dxa" w:w="100"/>
            </w:tcMar>
          </w:tcPr>
          <w:p>
            <w:r>
              <w:rPr>
                <w:b w:val="false"/>
                <w:bCs w:val="false"/>
                <w:color w:val="1A1A1A"/>
                <w:sz w:val="20"/>
                <w:szCs w:val="20"/>
              </w:rPr>
              <w:t xml:space="preserve">Managed OCR API (e.g., Google Cloud Vision / AWS Textract) with a fallback open-source model (Tesseract)</w:t>
            </w:r>
          </w:p>
        </w:tc>
        <w:tc>
          <w:tcPr>
            <w:tcW w:type="dxa" w:w="3700"/>
            <w:tcMar>
              <w:top w:type="dxa" w:w="80"/>
              <w:left w:type="dxa" w:w="100"/>
              <w:bottom w:type="dxa" w:w="80"/>
              <w:right w:type="dxa" w:w="100"/>
            </w:tcMar>
          </w:tcPr>
          <w:p>
            <w:r>
              <w:rPr>
                <w:b w:val="false"/>
                <w:bCs w:val="false"/>
                <w:color w:val="1A1A1A"/>
                <w:sz w:val="20"/>
                <w:szCs w:val="20"/>
              </w:rPr>
              <w:t xml:space="preserve">Bill/receipt OCR is a solved problem; unchanged from v1.0</w:t>
            </w:r>
          </w:p>
        </w:tc>
      </w:tr>
      <w:tr>
        <w:tc>
          <w:tcPr>
            <w:tcW w:type="dxa" w:w="2100"/>
            <w:tcMar>
              <w:top w:type="dxa" w:w="80"/>
              <w:left w:type="dxa" w:w="100"/>
              <w:bottom w:type="dxa" w:w="80"/>
              <w:right w:type="dxa" w:w="100"/>
            </w:tcMar>
          </w:tcPr>
          <w:p>
            <w:r>
              <w:rPr>
                <w:b w:val="false"/>
                <w:bCs w:val="false"/>
                <w:color w:val="1A1A1A"/>
                <w:sz w:val="20"/>
                <w:szCs w:val="20"/>
              </w:rPr>
              <w:t xml:space="preserve">[Pivot] Push notification delivery</w:t>
            </w:r>
          </w:p>
        </w:tc>
        <w:tc>
          <w:tcPr>
            <w:tcW w:type="dxa" w:w="3700"/>
            <w:tcMar>
              <w:top w:type="dxa" w:w="80"/>
              <w:left w:type="dxa" w:w="100"/>
              <w:bottom w:type="dxa" w:w="80"/>
              <w:right w:type="dxa" w:w="100"/>
            </w:tcMar>
          </w:tcPr>
          <w:p>
            <w:r>
              <w:rPr>
                <w:b w:val="false"/>
                <w:bCs w:val="false"/>
                <w:color w:val="1A1A1A"/>
                <w:sz w:val="20"/>
                <w:szCs w:val="20"/>
              </w:rPr>
              <w:t xml:space="preserve">Firebase Cloud Messaging (FCM), native Android integration</w:t>
            </w:r>
          </w:p>
        </w:tc>
        <w:tc>
          <w:tcPr>
            <w:tcW w:type="dxa" w:w="3700"/>
            <w:tcMar>
              <w:top w:type="dxa" w:w="80"/>
              <w:left w:type="dxa" w:w="100"/>
              <w:bottom w:type="dxa" w:w="80"/>
              <w:right w:type="dxa" w:w="100"/>
            </w:tcMar>
          </w:tcPr>
          <w:p>
            <w:r>
              <w:rPr>
                <w:b w:val="false"/>
                <w:bCs w:val="false"/>
                <w:color w:val="1A1A1A"/>
                <w:sz w:val="20"/>
                <w:szCs w:val="20"/>
              </w:rPr>
              <w:t xml:space="preserve">Replaces WhatsApp Business API entirely; free, unlimited, no BSP vendor, no template-approval workflow — the clearest infrastructure simplification from this pivot</w:t>
            </w:r>
          </w:p>
        </w:tc>
      </w:tr>
      <w:tr>
        <w:tc>
          <w:tcPr>
            <w:tcW w:type="dxa" w:w="2100"/>
            <w:tcMar>
              <w:top w:type="dxa" w:w="80"/>
              <w:left w:type="dxa" w:w="100"/>
              <w:bottom w:type="dxa" w:w="80"/>
              <w:right w:type="dxa" w:w="100"/>
            </w:tcMar>
          </w:tcPr>
          <w:p>
            <w:r>
              <w:rPr>
                <w:b w:val="false"/>
                <w:bCs w:val="false"/>
                <w:color w:val="1A1A1A"/>
                <w:sz w:val="20"/>
                <w:szCs w:val="20"/>
              </w:rPr>
              <w:t xml:space="preserve">[Pivot, removed] WhatsApp Business API / BSP</w:t>
            </w:r>
          </w:p>
        </w:tc>
        <w:tc>
          <w:tcPr>
            <w:tcW w:type="dxa" w:w="3700"/>
            <w:tcMar>
              <w:top w:type="dxa" w:w="80"/>
              <w:left w:type="dxa" w:w="100"/>
              <w:bottom w:type="dxa" w:w="80"/>
              <w:right w:type="dxa" w:w="100"/>
            </w:tcMar>
          </w:tcPr>
          <w:p>
            <w:r>
              <w:rPr>
                <w:b w:val="false"/>
                <w:bCs w:val="false"/>
                <w:color w:val="1A1A1A"/>
                <w:sz w:val="20"/>
                <w:szCs w:val="20"/>
              </w:rPr>
              <w:t xml:space="preserve">N/A — removed in this edition</w:t>
            </w:r>
          </w:p>
        </w:tc>
        <w:tc>
          <w:tcPr>
            <w:tcW w:type="dxa" w:w="3700"/>
            <w:tcMar>
              <w:top w:type="dxa" w:w="80"/>
              <w:left w:type="dxa" w:w="100"/>
              <w:bottom w:type="dxa" w:w="80"/>
              <w:right w:type="dxa" w:w="100"/>
            </w:tcMar>
          </w:tcPr>
          <w:p>
            <w:r>
              <w:rPr>
                <w:b w:val="false"/>
                <w:bCs w:val="false"/>
                <w:color w:val="1A1A1A"/>
                <w:sz w:val="20"/>
                <w:szCs w:val="20"/>
              </w:rPr>
              <w:t xml:space="preserve">No longer part of the architecture; may be reconsidered in Phase 2 if install-friction data warrants a hybrid model (PRD §17)</w:t>
            </w:r>
          </w:p>
        </w:tc>
      </w:tr>
      <w:tr>
        <w:tc>
          <w:tcPr>
            <w:tcW w:type="dxa" w:w="2100"/>
            <w:tcMar>
              <w:top w:type="dxa" w:w="80"/>
              <w:left w:type="dxa" w:w="100"/>
              <w:bottom w:type="dxa" w:w="80"/>
              <w:right w:type="dxa" w:w="100"/>
            </w:tcMar>
          </w:tcPr>
          <w:p>
            <w:r>
              <w:rPr>
                <w:b w:val="false"/>
                <w:bCs w:val="false"/>
                <w:color w:val="1A1A1A"/>
                <w:sz w:val="20"/>
                <w:szCs w:val="20"/>
              </w:rPr>
              <w:t xml:space="preserve">[Pivot, removed] SMS gateway / DLT registration</w:t>
            </w:r>
          </w:p>
        </w:tc>
        <w:tc>
          <w:tcPr>
            <w:tcW w:type="dxa" w:w="3700"/>
            <w:tcMar>
              <w:top w:type="dxa" w:w="80"/>
              <w:left w:type="dxa" w:w="100"/>
              <w:bottom w:type="dxa" w:w="80"/>
              <w:right w:type="dxa" w:w="100"/>
            </w:tcMar>
          </w:tcPr>
          <w:p>
            <w:r>
              <w:rPr>
                <w:b w:val="false"/>
                <w:bCs w:val="false"/>
                <w:color w:val="1A1A1A"/>
                <w:sz w:val="20"/>
                <w:szCs w:val="20"/>
              </w:rPr>
              <w:t xml:space="preserve">N/A — removed in this edition</w:t>
            </w:r>
          </w:p>
        </w:tc>
        <w:tc>
          <w:tcPr>
            <w:tcW w:type="dxa" w:w="3700"/>
            <w:tcMar>
              <w:top w:type="dxa" w:w="80"/>
              <w:left w:type="dxa" w:w="100"/>
              <w:bottom w:type="dxa" w:w="80"/>
              <w:right w:type="dxa" w:w="100"/>
            </w:tcMar>
          </w:tcPr>
          <w:p>
            <w:r>
              <w:rPr>
                <w:b w:val="false"/>
                <w:bCs w:val="false"/>
                <w:color w:val="1A1A1A"/>
                <w:sz w:val="20"/>
                <w:szCs w:val="20"/>
              </w:rPr>
              <w:t xml:space="preserve">No fallback delivery channel exists; offline caching (§9.2) is the system's substitute</w:t>
            </w:r>
          </w:p>
        </w:tc>
      </w:tr>
      <w:tr>
        <w:tc>
          <w:tcPr>
            <w:tcW w:type="dxa" w:w="2100"/>
            <w:tcMar>
              <w:top w:type="dxa" w:w="80"/>
              <w:left w:type="dxa" w:w="100"/>
              <w:bottom w:type="dxa" w:w="80"/>
              <w:right w:type="dxa" w:w="100"/>
            </w:tcMar>
          </w:tcPr>
          <w:p>
            <w:r>
              <w:rPr>
                <w:b w:val="false"/>
                <w:bCs w:val="false"/>
                <w:color w:val="1A1A1A"/>
                <w:sz w:val="20"/>
                <w:szCs w:val="20"/>
              </w:rPr>
              <w:t xml:space="preserve">[Pivot, elevated] Mobile client</w:t>
            </w:r>
          </w:p>
        </w:tc>
        <w:tc>
          <w:tcPr>
            <w:tcW w:type="dxa" w:w="3700"/>
            <w:tcMar>
              <w:top w:type="dxa" w:w="80"/>
              <w:left w:type="dxa" w:w="100"/>
              <w:bottom w:type="dxa" w:w="80"/>
              <w:right w:type="dxa" w:w="100"/>
            </w:tcMar>
          </w:tcPr>
          <w:p>
            <w:r>
              <w:rPr>
                <w:b w:val="false"/>
                <w:bCs w:val="false"/>
                <w:color w:val="1A1A1A"/>
                <w:sz w:val="20"/>
                <w:szCs w:val="20"/>
              </w:rPr>
              <w:t xml:space="preserve">Native Android (Kotlin) app, or a well-optimized React Native/Flutter build</w:t>
            </w:r>
          </w:p>
        </w:tc>
        <w:tc>
          <w:tcPr>
            <w:tcW w:type="dxa" w:w="3700"/>
            <w:tcMar>
              <w:top w:type="dxa" w:w="80"/>
              <w:left w:type="dxa" w:w="100"/>
              <w:bottom w:type="dxa" w:w="80"/>
              <w:right w:type="dxa" w:w="100"/>
            </w:tcMar>
          </w:tcPr>
          <w:p>
            <w:r>
              <w:rPr>
                <w:b w:val="false"/>
                <w:bCs w:val="false"/>
                <w:color w:val="1A1A1A"/>
                <w:sz w:val="20"/>
                <w:szCs w:val="20"/>
              </w:rPr>
              <w:t xml:space="preserve">Now the sole interface, not a secondary surface — warrants native or near-native investment rather than a lightweight PWA, given it must carry the full onboarding, daily-use, and feedback experience alone</w:t>
            </w:r>
          </w:p>
        </w:tc>
      </w:tr>
      <w:tr>
        <w:tc>
          <w:tcPr>
            <w:tcW w:type="dxa" w:w="2100"/>
            <w:tcMar>
              <w:top w:type="dxa" w:w="80"/>
              <w:left w:type="dxa" w:w="100"/>
              <w:bottom w:type="dxa" w:w="80"/>
              <w:right w:type="dxa" w:w="100"/>
            </w:tcMar>
          </w:tcPr>
          <w:p>
            <w:r>
              <w:rPr>
                <w:b w:val="false"/>
                <w:bCs w:val="false"/>
                <w:color w:val="1A1A1A"/>
                <w:sz w:val="20"/>
                <w:szCs w:val="20"/>
              </w:rPr>
              <w:t xml:space="preserve">Local device storage</w:t>
            </w:r>
          </w:p>
        </w:tc>
        <w:tc>
          <w:tcPr>
            <w:tcW w:type="dxa" w:w="3700"/>
            <w:tcMar>
              <w:top w:type="dxa" w:w="80"/>
              <w:left w:type="dxa" w:w="100"/>
              <w:bottom w:type="dxa" w:w="80"/>
              <w:right w:type="dxa" w:w="100"/>
            </w:tcMar>
          </w:tcPr>
          <w:p>
            <w:r>
              <w:rPr>
                <w:b w:val="false"/>
                <w:bCs w:val="false"/>
                <w:color w:val="1A1A1A"/>
                <w:sz w:val="20"/>
                <w:szCs w:val="20"/>
              </w:rPr>
              <w:t xml:space="preserve">Room (Android SQLite) or equivalent embedded DB for offline cache and action-sync queue</w:t>
            </w:r>
          </w:p>
        </w:tc>
        <w:tc>
          <w:tcPr>
            <w:tcW w:type="dxa" w:w="3700"/>
            <w:tcMar>
              <w:top w:type="dxa" w:w="80"/>
              <w:left w:type="dxa" w:w="100"/>
              <w:bottom w:type="dxa" w:w="80"/>
              <w:right w:type="dxa" w:w="100"/>
            </w:tcMar>
          </w:tcPr>
          <w:p>
            <w:r>
              <w:rPr>
                <w:b w:val="false"/>
                <w:bCs w:val="false"/>
                <w:color w:val="1A1A1A"/>
                <w:sz w:val="20"/>
                <w:szCs w:val="20"/>
              </w:rPr>
              <w:t xml:space="preserve">[Pivot, elevated] Offline reliability is now core, not a nice-to-have (§9.2)</w:t>
            </w:r>
          </w:p>
        </w:tc>
      </w:tr>
      <w:tr>
        <w:tc>
          <w:tcPr>
            <w:tcW w:type="dxa" w:w="2100"/>
            <w:tcMar>
              <w:top w:type="dxa" w:w="80"/>
              <w:left w:type="dxa" w:w="100"/>
              <w:bottom w:type="dxa" w:w="80"/>
              <w:right w:type="dxa" w:w="100"/>
            </w:tcMar>
          </w:tcPr>
          <w:p>
            <w:r>
              <w:rPr>
                <w:b w:val="false"/>
                <w:bCs w:val="false"/>
                <w:color w:val="1A1A1A"/>
                <w:sz w:val="20"/>
                <w:szCs w:val="20"/>
              </w:rPr>
              <w:t xml:space="preserve">Localization</w:t>
            </w:r>
          </w:p>
        </w:tc>
        <w:tc>
          <w:tcPr>
            <w:tcW w:type="dxa" w:w="3700"/>
            <w:tcMar>
              <w:top w:type="dxa" w:w="80"/>
              <w:left w:type="dxa" w:w="100"/>
              <w:bottom w:type="dxa" w:w="80"/>
              <w:right w:type="dxa" w:w="100"/>
            </w:tcMar>
          </w:tcPr>
          <w:p>
            <w:r>
              <w:rPr>
                <w:b w:val="false"/>
                <w:bCs w:val="false"/>
                <w:color w:val="1A1A1A"/>
                <w:sz w:val="20"/>
                <w:szCs w:val="20"/>
              </w:rPr>
              <w:t xml:space="preserve">Android string resources (res/values-*) driven by a server-managed content catalog for anything not baked into the APK</w:t>
            </w:r>
          </w:p>
        </w:tc>
        <w:tc>
          <w:tcPr>
            <w:tcW w:type="dxa" w:w="3700"/>
            <w:tcMar>
              <w:top w:type="dxa" w:w="80"/>
              <w:left w:type="dxa" w:w="100"/>
              <w:bottom w:type="dxa" w:w="80"/>
              <w:right w:type="dxa" w:w="100"/>
            </w:tcMar>
          </w:tcPr>
          <w:p>
            <w:r>
              <w:rPr>
                <w:b w:val="false"/>
                <w:bCs w:val="false"/>
                <w:color w:val="1A1A1A"/>
                <w:sz w:val="20"/>
                <w:szCs w:val="20"/>
              </w:rPr>
              <w:t xml:space="preserve">Needed for Hindi/English + regional languages; server-managed catalog avoids requiring an app update to add a language</w:t>
            </w:r>
          </w:p>
        </w:tc>
      </w:tr>
      <w:tr>
        <w:tc>
          <w:tcPr>
            <w:tcW w:type="dxa" w:w="2100"/>
            <w:tcMar>
              <w:top w:type="dxa" w:w="80"/>
              <w:left w:type="dxa" w:w="100"/>
              <w:bottom w:type="dxa" w:w="80"/>
              <w:right w:type="dxa" w:w="100"/>
            </w:tcMar>
          </w:tcPr>
          <w:p>
            <w:r>
              <w:rPr>
                <w:b w:val="false"/>
                <w:bCs w:val="false"/>
                <w:color w:val="1A1A1A"/>
                <w:sz w:val="20"/>
                <w:szCs w:val="20"/>
              </w:rPr>
              <w:t xml:space="preserve">Hosting / infra</w:t>
            </w:r>
          </w:p>
        </w:tc>
        <w:tc>
          <w:tcPr>
            <w:tcW w:type="dxa" w:w="3700"/>
            <w:tcMar>
              <w:top w:type="dxa" w:w="80"/>
              <w:left w:type="dxa" w:w="100"/>
              <w:bottom w:type="dxa" w:w="80"/>
              <w:right w:type="dxa" w:w="100"/>
            </w:tcMar>
          </w:tcPr>
          <w:p>
            <w:r>
              <w:rPr>
                <w:b w:val="false"/>
                <w:bCs w:val="false"/>
                <w:color w:val="1A1A1A"/>
                <w:sz w:val="20"/>
                <w:szCs w:val="20"/>
              </w:rPr>
              <w:t xml:space="preserve">Single cloud provider, containerized services (Docker) on managed Kubernetes or a simpler PaaS (e.g., ECS/Cloud Run)</w:t>
            </w:r>
          </w:p>
        </w:tc>
        <w:tc>
          <w:tcPr>
            <w:tcW w:type="dxa" w:w="3700"/>
            <w:tcMar>
              <w:top w:type="dxa" w:w="80"/>
              <w:left w:type="dxa" w:w="100"/>
              <w:bottom w:type="dxa" w:w="80"/>
              <w:right w:type="dxa" w:w="100"/>
            </w:tcMar>
          </w:tcPr>
          <w:p>
            <w:r>
              <w:rPr>
                <w:b w:val="false"/>
                <w:bCs w:val="false"/>
                <w:color w:val="1A1A1A"/>
                <w:sz w:val="20"/>
                <w:szCs w:val="20"/>
              </w:rPr>
              <w:t xml:space="preserve">Keep operational overhead low at pilot scale; unchanged from v1.0</w:t>
            </w:r>
          </w:p>
        </w:tc>
      </w:tr>
      <w:tr>
        <w:tc>
          <w:tcPr>
            <w:tcW w:type="dxa" w:w="2100"/>
            <w:tcMar>
              <w:top w:type="dxa" w:w="80"/>
              <w:left w:type="dxa" w:w="100"/>
              <w:bottom w:type="dxa" w:w="80"/>
              <w:right w:type="dxa" w:w="100"/>
            </w:tcMar>
          </w:tcPr>
          <w:p>
            <w:r>
              <w:rPr>
                <w:b w:val="false"/>
                <w:bCs w:val="false"/>
                <w:color w:val="1A1A1A"/>
                <w:sz w:val="20"/>
                <w:szCs w:val="20"/>
              </w:rPr>
              <w:t xml:space="preserve">Observability</w:t>
            </w:r>
          </w:p>
        </w:tc>
        <w:tc>
          <w:tcPr>
            <w:tcW w:type="dxa" w:w="3700"/>
            <w:tcMar>
              <w:top w:type="dxa" w:w="80"/>
              <w:left w:type="dxa" w:w="100"/>
              <w:bottom w:type="dxa" w:w="80"/>
              <w:right w:type="dxa" w:w="100"/>
            </w:tcMar>
          </w:tcPr>
          <w:p>
            <w:r>
              <w:rPr>
                <w:b w:val="false"/>
                <w:bCs w:val="false"/>
                <w:color w:val="1A1A1A"/>
                <w:sz w:val="20"/>
                <w:szCs w:val="20"/>
              </w:rPr>
              <w:t xml:space="preserve">Structured logging + hosted APM/metrics (e.g., Grafana/Prometheus), plus [Pivot] push notification delivery/open-rate dashboards and app install/uninstall analytics</w:t>
            </w:r>
          </w:p>
        </w:tc>
        <w:tc>
          <w:tcPr>
            <w:tcW w:type="dxa" w:w="3700"/>
            <w:tcMar>
              <w:top w:type="dxa" w:w="80"/>
              <w:left w:type="dxa" w:w="100"/>
              <w:bottom w:type="dxa" w:w="80"/>
              <w:right w:type="dxa" w:w="100"/>
            </w:tcMar>
          </w:tcPr>
          <w:p>
            <w:r>
              <w:rPr>
                <w:b w:val="false"/>
                <w:bCs w:val="false"/>
                <w:color w:val="1A1A1A"/>
                <w:sz w:val="20"/>
                <w:szCs w:val="20"/>
              </w:rPr>
              <w:t xml:space="preserve">Message delivery reliability is now notification delivery reliability; app install/uninstall is a new churn signal that didn't exist under WhatsApp (PRD §12, §15)</w:t>
            </w:r>
          </w:p>
        </w:tc>
      </w:tr>
    </w:tbl>
    <w:p>
      <w:pPr>
        <w:spacing w:after="160" w:line="276"/>
      </w:pPr>
      <w:r>
        <w:rPr>
          <w:i/>
          <w:iCs/>
          <w:color w:val="595959"/>
          <w:sz w:val="19"/>
          <w:szCs w:val="19"/>
        </w:rPr>
        <w:t xml:space="preserve">These are directional choices sized for the Phase 0/1 pilot. The mobile client recommendation is elevated relative to v1.0 because the app now carries 100% of the user experience with no chat-based backup.</w:t>
      </w:r>
    </w:p>
    <w:p>
      <w:pPr>
        <w:pStyle w:val="Heading1"/>
        <w:pBdr>
          <w:bottom w:val="single" w:color="1F3864" w:sz="6" w:space="4"/>
        </w:pBdr>
        <w:spacing w:after="200" w:before="400"/>
      </w:pPr>
      <w:r>
        <w:t xml:space="preserve">5. System Components</w:t>
      </w:r>
    </w:p>
    <w:p>
      <w:pPr>
        <w:pStyle w:val="Heading2"/>
        <w:spacing w:after="120" w:before="300"/>
      </w:pPr>
      <w:r>
        <w:t xml:space="preserve">5.1 Data Ingestion Service</w:t>
      </w:r>
    </w:p>
    <w:p>
      <w:pPr>
        <w:spacing w:after="160" w:line="276"/>
      </w:pPr>
      <w:r>
        <w:rPr>
          <w:sz w:val="21"/>
          <w:szCs w:val="21"/>
        </w:rPr>
        <w:t xml:space="preserve">Maps to PRD §9 'Sales data ingestion', now entirely in-app.</w:t>
      </w:r>
    </w:p>
    <w:p>
      <w:pPr>
        <w:pStyle w:val="ListParagraph"/>
        <w:numPr>
          <w:ilvl w:val="0"/>
          <w:numId w:val="2"/>
        </w:numPr>
        <w:spacing w:after="80"/>
      </w:pPr>
      <w:r>
        <w:rPr>
          <w:sz w:val="21"/>
          <w:szCs w:val="21"/>
        </w:rPr>
        <w:t xml:space="preserve">Manual entry API: in-app CRUD screens for owners/staff to log sales and stock levels directly.</w:t>
      </w:r>
    </w:p>
    <w:p>
      <w:pPr>
        <w:pStyle w:val="ListParagraph"/>
        <w:numPr>
          <w:ilvl w:val="0"/>
          <w:numId w:val="2"/>
        </w:numPr>
        <w:spacing w:after="80"/>
      </w:pPr>
      <w:r>
        <w:rPr>
          <w:sz w:val="21"/>
          <w:szCs w:val="21"/>
        </w:rPr>
        <w:t xml:space="preserve">CSV/API import: connectors for common billing/POS apps used by kirana owners, invoked from within the app.</w:t>
      </w:r>
    </w:p>
    <w:p>
      <w:pPr>
        <w:pStyle w:val="ListParagraph"/>
        <w:numPr>
          <w:ilvl w:val="0"/>
          <w:numId w:val="2"/>
        </w:numPr>
        <w:spacing w:after="80"/>
      </w:pPr>
      <w:r>
        <w:rPr>
          <w:sz w:val="21"/>
          <w:szCs w:val="21"/>
        </w:rPr>
        <w:t xml:space="preserve">Photo/OCR pipeline: owner photographs a paper bill or distributor invoice using the in-app camera flow; image is queued, sent to the OCR provider, parsed into structured line items, and surfaced back to the owner for a quick confirm/correct step before it enters the sales history.</w:t>
      </w:r>
    </w:p>
    <w:p>
      <w:pPr>
        <w:pStyle w:val="ListParagraph"/>
        <w:numPr>
          <w:ilvl w:val="0"/>
          <w:numId w:val="2"/>
        </w:numPr>
        <w:spacing w:after="80"/>
      </w:pPr>
      <w:r>
        <w:rPr>
          <w:sz w:val="21"/>
          <w:szCs w:val="21"/>
        </w:rPr>
        <w:t xml:space="preserve">Idempotency and dedup: all ingestion paths write through a common normalization layer keyed on (store_id, sku_id, date).</w:t>
      </w:r>
    </w:p>
    <w:p>
      <w:pPr>
        <w:pStyle w:val="Heading2"/>
        <w:spacing w:after="120" w:before="300"/>
      </w:pPr>
      <w:r>
        <w:t xml:space="preserve">5.2 Demand Forecasting Engine</w:t>
      </w:r>
    </w:p>
    <w:p>
      <w:pPr>
        <w:spacing w:after="160" w:line="276"/>
      </w:pPr>
      <w:r>
        <w:rPr>
          <w:sz w:val="21"/>
          <w:szCs w:val="21"/>
        </w:rPr>
        <w:t xml:space="preserve">Unchanged in substance from TRD v1.0 — the forecasting core is channel-agnostic.</w:t>
      </w:r>
    </w:p>
    <w:p>
      <w:pPr>
        <w:pStyle w:val="ListParagraph"/>
        <w:numPr>
          <w:ilvl w:val="0"/>
          <w:numId w:val="2"/>
        </w:numPr>
        <w:spacing w:after="80"/>
      </w:pPr>
      <w:r>
        <w:rPr>
          <w:sz w:val="21"/>
          <w:szCs w:val="21"/>
        </w:rPr>
        <w:t xml:space="preserve">Per-SKU, per-store 7–14 day horizon forecast, run as a nightly batch job for all active stores.</w:t>
      </w:r>
    </w:p>
    <w:p>
      <w:pPr>
        <w:pStyle w:val="ListParagraph"/>
        <w:numPr>
          <w:ilvl w:val="0"/>
          <w:numId w:val="2"/>
        </w:numPr>
        <w:spacing w:after="80"/>
      </w:pPr>
      <w:r>
        <w:rPr>
          <w:sz w:val="21"/>
          <w:szCs w:val="21"/>
        </w:rPr>
        <w:t xml:space="preserve">Cold-start mode: blends category-level and comparable-store benchmark demand curves for SKUs/stores with under ~8–12 weeks of history.</w:t>
      </w:r>
    </w:p>
    <w:p>
      <w:pPr>
        <w:pStyle w:val="ListParagraph"/>
        <w:numPr>
          <w:ilvl w:val="0"/>
          <w:numId w:val="2"/>
        </w:numPr>
        <w:spacing w:after="80"/>
      </w:pPr>
      <w:r>
        <w:rPr>
          <w:sz w:val="21"/>
          <w:szCs w:val="21"/>
        </w:rPr>
        <w:t xml:space="preserve">Model approach: start with ARIMA/exponential smoothing; use LightGBM only where enough features justify the added complexity.</w:t>
      </w:r>
    </w:p>
    <w:p>
      <w:pPr>
        <w:pStyle w:val="ListParagraph"/>
        <w:numPr>
          <w:ilvl w:val="0"/>
          <w:numId w:val="2"/>
        </w:numPr>
        <w:spacing w:after="80"/>
      </w:pPr>
      <w:r>
        <w:rPr>
          <w:sz w:val="21"/>
          <w:szCs w:val="21"/>
        </w:rPr>
        <w:t xml:space="preserve">Seasonal/festival adjustment: applied as an explicit adjustment layer, inspectable and explainable, feeding the plain-language reasoning shown in-app.</w:t>
      </w:r>
    </w:p>
    <w:p>
      <w:pPr>
        <w:pStyle w:val="Heading2"/>
        <w:spacing w:after="120" w:before="300"/>
      </w:pPr>
      <w:r>
        <w:t xml:space="preserve">5.3 Recommendation Engine</w:t>
      </w:r>
    </w:p>
    <w:p>
      <w:pPr>
        <w:pStyle w:val="ListParagraph"/>
        <w:numPr>
          <w:ilvl w:val="0"/>
          <w:numId w:val="2"/>
        </w:numPr>
        <w:spacing w:after="80"/>
      </w:pPr>
      <w:r>
        <w:rPr>
          <w:sz w:val="21"/>
          <w:szCs w:val="21"/>
        </w:rPr>
        <w:t xml:space="preserve">Consumes forecast output + current stock levels + supplier lead time to compute: item, suggested reorder quantity, and a one-line plain-language reason, rendered in the app's Reorder List screen.</w:t>
      </w:r>
    </w:p>
    <w:p>
      <w:pPr>
        <w:pStyle w:val="ListParagraph"/>
        <w:numPr>
          <w:ilvl w:val="0"/>
          <w:numId w:val="2"/>
        </w:numPr>
        <w:spacing w:after="80"/>
      </w:pPr>
      <w:r>
        <w:rPr>
          <w:sz w:val="21"/>
          <w:szCs w:val="21"/>
        </w:rPr>
        <w:t xml:space="preserve">Low-stock and overstock/expiry rules unchanged from v1.0.</w:t>
      </w:r>
    </w:p>
    <w:p>
      <w:pPr>
        <w:pStyle w:val="ListParagraph"/>
        <w:numPr>
          <w:ilvl w:val="0"/>
          <w:numId w:val="2"/>
        </w:numPr>
        <w:spacing w:after="80"/>
      </w:pPr>
      <w:r>
        <w:rPr>
          <w:sz w:val="21"/>
          <w:szCs w:val="21"/>
        </w:rPr>
        <w:t xml:space="preserve">Every recommendation is mutable — owner edits are captured back into the data model both to execute correctly and to feed the feedback loop.</w:t>
      </w:r>
    </w:p>
    <w:p>
      <w:pPr>
        <w:pStyle w:val="Heading2"/>
        <w:spacing w:after="120" w:before="300"/>
      </w:pPr>
      <w:r>
        <w:t xml:space="preserve">5.4 Seasonal/Festival Calendar Service</w:t>
      </w:r>
    </w:p>
    <w:p>
      <w:pPr>
        <w:pStyle w:val="ListParagraph"/>
        <w:numPr>
          <w:ilvl w:val="0"/>
          <w:numId w:val="2"/>
        </w:numPr>
        <w:spacing w:after="80"/>
      </w:pPr>
      <w:r>
        <w:rPr>
          <w:sz w:val="21"/>
          <w:szCs w:val="21"/>
        </w:rPr>
        <w:t xml:space="preserve">Maintains a structured, versioned calendar of national holidays, curated regional festivals, and month-start/payday effects, queried by the forecasting engine by the store's mapped region — unchanged from v1.0.</w:t>
      </w:r>
    </w:p>
    <w:p>
      <w:pPr>
        <w:pStyle w:val="Heading2"/>
        <w:spacing w:after="120" w:before="300"/>
      </w:pPr>
      <w:r>
        <w:t xml:space="preserve">5.5 Push Notification Service [Pivot — replaces WhatsApp/SMS Delivery Layer]</w:t>
      </w:r>
    </w:p>
    <w:p>
      <w:pPr>
        <w:spacing w:after="160" w:line="276"/>
      </w:pPr>
      <w:r>
        <w:rPr>
          <w:sz w:val="21"/>
          <w:szCs w:val="21"/>
        </w:rPr>
        <w:t xml:space="preserve">Maps to PRD §9 'Push notification delivery' and the app-flow's daily alert (App Flow Document §5, to be updated separately for this edition).</w:t>
      </w:r>
    </w:p>
    <w:p>
      <w:pPr>
        <w:pStyle w:val="ListParagraph"/>
        <w:numPr>
          <w:ilvl w:val="0"/>
          <w:numId w:val="2"/>
        </w:numPr>
        <w:spacing w:after="80"/>
      </w:pPr>
      <w:r>
        <w:rPr>
          <w:sz w:val="21"/>
          <w:szCs w:val="21"/>
        </w:rPr>
        <w:t xml:space="preserve">Firebase Cloud Messaging (FCM) integration: daily summary notification (“X items need reordering, Y items are overstocked”) and discrete low-stock/overstock alerts.</w:t>
      </w:r>
    </w:p>
    <w:p>
      <w:pPr>
        <w:pStyle w:val="ListParagraph"/>
        <w:numPr>
          <w:ilvl w:val="0"/>
          <w:numId w:val="2"/>
        </w:numPr>
        <w:spacing w:after="80"/>
      </w:pPr>
      <w:r>
        <w:rPr>
          <w:sz w:val="21"/>
          <w:szCs w:val="21"/>
        </w:rPr>
        <w:t xml:space="preserve">Notification tap deep-links directly into the relevant in-app screen (Reorder List or Overstock &amp; Expiry), consistent with the app-flow requirement that the notification, not a separate open step, is the entry point.</w:t>
      </w:r>
    </w:p>
    <w:p>
      <w:pPr>
        <w:pStyle w:val="ListParagraph"/>
        <w:numPr>
          <w:ilvl w:val="0"/>
          <w:numId w:val="2"/>
        </w:numPr>
        <w:spacing w:after="80"/>
      </w:pPr>
      <w:r>
        <w:rPr>
          <w:sz w:val="21"/>
          <w:szCs w:val="21"/>
        </w:rPr>
        <w:t xml:space="preserve">[Risk — new] Delivery is not guaranteed the way a WhatsApp message was: Android OEM battery-optimization settings, a denied notification permission, or the app being force-stopped can silently suppress delivery with no equivalent SMS fallback. The service must track delivery/open status per notification and treat silent suppression as a first-class reliability signal (§9.3).</w:t>
      </w:r>
    </w:p>
    <w:p>
      <w:pPr>
        <w:pStyle w:val="ListParagraph"/>
        <w:numPr>
          <w:ilvl w:val="0"/>
          <w:numId w:val="2"/>
        </w:numPr>
        <w:spacing w:after="80"/>
      </w:pPr>
      <w:r>
        <w:rPr>
          <w:sz w:val="21"/>
          <w:szCs w:val="21"/>
        </w:rPr>
        <w:t xml:space="preserve">Onboarding explicitly walks the owner through granting notification permission and, where the OEM requires it, exempting the app from battery optimization — this is now a required onboarding step, not implicit.</w:t>
      </w:r>
    </w:p>
    <w:p>
      <w:pPr>
        <w:pStyle w:val="Heading2"/>
        <w:spacing w:after="120" w:before="300"/>
      </w:pPr>
      <w:r>
        <w:t xml:space="preserve">5.6 Android App (Primary &amp; Only Client)</w:t>
      </w:r>
    </w:p>
    <w:p>
      <w:pPr>
        <w:spacing w:after="160" w:line="276"/>
      </w:pPr>
      <w:r>
        <w:rPr>
          <w:sz w:val="21"/>
          <w:szCs w:val="21"/>
        </w:rPr>
        <w:t xml:space="preserve">Maps to the App Flow Document's full screen inventory, all of which is now load-bearing rather than a secondary/optional surface.</w:t>
      </w:r>
    </w:p>
    <w:p>
      <w:pPr>
        <w:pStyle w:val="ListParagraph"/>
        <w:numPr>
          <w:ilvl w:val="0"/>
          <w:numId w:val="2"/>
        </w:numPr>
        <w:spacing w:after="80"/>
      </w:pPr>
      <w:r>
        <w:rPr>
          <w:sz w:val="21"/>
          <w:szCs w:val="21"/>
        </w:rPr>
        <w:t xml:space="preserve">Screens: Onboarding, Home/Today, Reorder List, Overstock &amp; Expiry, Item Detail, Distributor Export, Feedback Prompt, Settings.</w:t>
      </w:r>
    </w:p>
    <w:p>
      <w:pPr>
        <w:pStyle w:val="ListParagraph"/>
        <w:numPr>
          <w:ilvl w:val="0"/>
          <w:numId w:val="2"/>
        </w:numPr>
        <w:spacing w:after="80"/>
      </w:pPr>
      <w:r>
        <w:rPr>
          <w:sz w:val="21"/>
          <w:szCs w:val="21"/>
        </w:rPr>
        <w:t xml:space="preserve">[Pivot, elevated] Offline-tolerant by design: caches the latest recommendation set locally (Room/SQLite) and queues owner actions (edits, mark-ordered, flags) to sync when connectivity returns. This is now the system's only resilience mechanism during connectivity gaps — there is no SMS to fall back to.</w:t>
      </w:r>
    </w:p>
    <w:p>
      <w:pPr>
        <w:pStyle w:val="ListParagraph"/>
        <w:numPr>
          <w:ilvl w:val="0"/>
          <w:numId w:val="2"/>
        </w:numPr>
        <w:spacing w:after="80"/>
      </w:pPr>
      <w:r>
        <w:rPr>
          <w:sz w:val="21"/>
          <w:szCs w:val="21"/>
        </w:rPr>
        <w:t xml:space="preserve">Distributor order-list export: one-tap generation of a shareable, formatted reorder list via the Android share-sheet, handing off to whatever app (commonly WhatsApp) the owner already uses to reach their distributor — preserves the owner's existing distributor relationship without the system depending on WhatsApp itself.</w:t>
      </w:r>
    </w:p>
    <w:p>
      <w:pPr>
        <w:pStyle w:val="ListParagraph"/>
        <w:numPr>
          <w:ilvl w:val="0"/>
          <w:numId w:val="2"/>
        </w:numPr>
        <w:spacing w:after="80"/>
      </w:pPr>
      <w:r>
        <w:rPr>
          <w:sz w:val="21"/>
          <w:szCs w:val="21"/>
        </w:rPr>
        <w:t xml:space="preserve">[Pivot, new] Lightweight pre-install nudge: a web landing page or field-agent-assisted setup flow to reduce drop-off between “interested” and “app installed” (PRD §9 'Should'), since there is no zero-install on-ramp in this edition.</w:t>
      </w:r>
    </w:p>
    <w:p>
      <w:pPr>
        <w:pStyle w:val="Heading2"/>
        <w:spacing w:after="120" w:before="300"/>
      </w:pPr>
      <w:r>
        <w:t xml:space="preserve">5.7 Feedback Loop Service</w:t>
      </w:r>
    </w:p>
    <w:p>
      <w:pPr>
        <w:pStyle w:val="ListParagraph"/>
        <w:numPr>
          <w:ilvl w:val="0"/>
          <w:numId w:val="2"/>
        </w:numPr>
        <w:spacing w:after="80"/>
      </w:pPr>
      <w:r>
        <w:rPr>
          <w:sz w:val="21"/>
          <w:szCs w:val="21"/>
        </w:rPr>
        <w:t xml:space="preserve">Weekly job compares actual sales against the prior forecast per SKU/store and logs the delta — unchanged from v1.0.</w:t>
      </w:r>
    </w:p>
    <w:p>
      <w:pPr>
        <w:pStyle w:val="ListParagraph"/>
        <w:numPr>
          <w:ilvl w:val="0"/>
          <w:numId w:val="2"/>
        </w:numPr>
        <w:spacing w:after="80"/>
      </w:pPr>
      <w:r>
        <w:rPr>
          <w:sz w:val="21"/>
          <w:szCs w:val="21"/>
        </w:rPr>
        <w:t xml:space="preserve">Owner-submitted 'this was wrong' flags are now captured in-app (Feedback Prompt screen) rather than via a WhatsApp quick-reply, with the same reason-code structure (unaccounted festival, one-off bulk buyer, other).</w:t>
      </w:r>
    </w:p>
    <w:p>
      <w:pPr>
        <w:pStyle w:val="Heading2"/>
        <w:spacing w:after="120" w:before="300"/>
      </w:pPr>
      <w:r>
        <w:t xml:space="preserve">5.8 Distributor/Brand Data Access Layer (Phase 0/1 groundwork)</w:t>
      </w:r>
    </w:p>
    <w:p>
      <w:pPr>
        <w:spacing w:after="160" w:line="276"/>
      </w:pPr>
      <w:r>
        <w:rPr>
          <w:sz w:val="21"/>
          <w:szCs w:val="21"/>
        </w:rPr>
        <w:t xml:space="preserve">Unchanged from v1.0: store-level data is never shared by default; any aggregate or store-specific view for a funding distributor/brand requires an explicit, revocable, per-store ConsentRecord (§6). No distributor-facing product ships in MVP.</w:t>
      </w:r>
    </w:p>
    <w:p>
      <w:pPr>
        <w:pStyle w:val="Heading1"/>
        <w:pBdr>
          <w:bottom w:val="single" w:color="1F3864" w:sz="6" w:space="4"/>
        </w:pBdr>
        <w:spacing w:after="200" w:before="400"/>
      </w:pPr>
      <w:r>
        <w:t xml:space="preserve">6. Data Model</w:t>
      </w:r>
    </w:p>
    <w:p>
      <w:pPr>
        <w:spacing w:after="160" w:line="276"/>
      </w:pPr>
      <w:r>
        <w:rPr>
          <w:sz w:val="21"/>
          <w:szCs w:val="21"/>
        </w:rPr>
        <w:t xml:space="preserve">Core entities are unchanged from TRD v1.0 with two additions reflecting the app-only pivot: a DeviceToken entity for push delivery, and an InstallEvent entity for tracking the new install/uninstall churn signal.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8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Entity</w:t>
            </w:r>
          </w:p>
        </w:tc>
        <w:tc>
          <w:tcPr>
            <w:tcW w:type="dxa" w:w="4000"/>
            <w:shd w:fill="1F3864" w:val="clear"/>
            <w:tcMar>
              <w:top w:type="dxa" w:w="80"/>
              <w:left w:type="dxa" w:w="100"/>
              <w:bottom w:type="dxa" w:w="80"/>
              <w:right w:type="dxa" w:w="100"/>
            </w:tcMar>
          </w:tcPr>
          <w:p>
            <w:r>
              <w:rPr>
                <w:b/>
                <w:bCs/>
                <w:color w:val="FFFFFF"/>
                <w:sz w:val="20"/>
                <w:szCs w:val="20"/>
              </w:rPr>
              <w:t xml:space="preserve">Key fields</w:t>
            </w:r>
          </w:p>
        </w:tc>
        <w:tc>
          <w:tcPr>
            <w:tcW w:type="dxa" w:w="2800"/>
            <w:shd w:fill="1F3864" w:val="clear"/>
            <w:tcMar>
              <w:top w:type="dxa" w:w="80"/>
              <w:left w:type="dxa" w:w="100"/>
              <w:bottom w:type="dxa" w:w="80"/>
              <w:right w:type="dxa" w:w="100"/>
            </w:tcMar>
          </w:tcPr>
          <w:p>
            <w:r>
              <w:rPr>
                <w:b/>
                <w:bCs/>
                <w:color w:val="FFFFFF"/>
                <w:sz w:val="20"/>
                <w:szCs w:val="20"/>
              </w:rPr>
              <w:t xml:space="preserve">Notes</w:t>
            </w:r>
          </w:p>
        </w:tc>
      </w:tr>
      <w:tr>
        <w:tc>
          <w:tcPr>
            <w:tcW w:type="dxa" w:w="2600"/>
            <w:tcMar>
              <w:top w:type="dxa" w:w="80"/>
              <w:left w:type="dxa" w:w="100"/>
              <w:bottom w:type="dxa" w:w="80"/>
              <w:right w:type="dxa" w:w="100"/>
            </w:tcMar>
          </w:tcPr>
          <w:p>
            <w:r>
              <w:rPr>
                <w:b w:val="false"/>
                <w:bCs w:val="false"/>
                <w:color w:val="1A1A1A"/>
                <w:sz w:val="20"/>
                <w:szCs w:val="20"/>
              </w:rPr>
              <w:t xml:space="preserve">Store</w:t>
            </w:r>
          </w:p>
        </w:tc>
        <w:tc>
          <w:tcPr>
            <w:tcW w:type="dxa" w:w="4000"/>
            <w:tcMar>
              <w:top w:type="dxa" w:w="80"/>
              <w:left w:type="dxa" w:w="100"/>
              <w:bottom w:type="dxa" w:w="80"/>
              <w:right w:type="dxa" w:w="100"/>
            </w:tcMar>
          </w:tcPr>
          <w:p>
            <w:r>
              <w:rPr>
                <w:b w:val="false"/>
                <w:bCs w:val="false"/>
                <w:color w:val="1A1A1A"/>
                <w:sz w:val="20"/>
                <w:szCs w:val="20"/>
              </w:rPr>
              <w:t xml:space="preserve">store_id, owner_name, city/region, category, language_pref, onboarding_source</w:t>
            </w:r>
          </w:p>
        </w:tc>
        <w:tc>
          <w:tcPr>
            <w:tcW w:type="dxa" w:w="2800"/>
            <w:tcMar>
              <w:top w:type="dxa" w:w="80"/>
              <w:left w:type="dxa" w:w="100"/>
              <w:bottom w:type="dxa" w:w="80"/>
              <w:right w:type="dxa" w:w="100"/>
            </w:tcMar>
          </w:tcPr>
          <w:p>
            <w:r>
              <w:rPr>
                <w:b w:val="false"/>
                <w:bCs w:val="false"/>
                <w:color w:val="1A1A1A"/>
                <w:sz w:val="20"/>
                <w:szCs w:val="20"/>
              </w:rPr>
              <w:t xml:space="preserve">channel_pref field removed — no longer meaningful with a single channel</w:t>
            </w:r>
          </w:p>
        </w:tc>
      </w:tr>
      <w:tr>
        <w:tc>
          <w:tcPr>
            <w:tcW w:type="dxa" w:w="2600"/>
            <w:tcMar>
              <w:top w:type="dxa" w:w="80"/>
              <w:left w:type="dxa" w:w="100"/>
              <w:bottom w:type="dxa" w:w="80"/>
              <w:right w:type="dxa" w:w="100"/>
            </w:tcMar>
          </w:tcPr>
          <w:p>
            <w:r>
              <w:rPr>
                <w:b w:val="false"/>
                <w:bCs w:val="false"/>
                <w:color w:val="1A1A1A"/>
                <w:sz w:val="20"/>
                <w:szCs w:val="20"/>
              </w:rPr>
              <w:t xml:space="preserve">SKU</w:t>
            </w:r>
          </w:p>
        </w:tc>
        <w:tc>
          <w:tcPr>
            <w:tcW w:type="dxa" w:w="4000"/>
            <w:tcMar>
              <w:top w:type="dxa" w:w="80"/>
              <w:left w:type="dxa" w:w="100"/>
              <w:bottom w:type="dxa" w:w="80"/>
              <w:right w:type="dxa" w:w="100"/>
            </w:tcMar>
          </w:tcPr>
          <w:p>
            <w:r>
              <w:rPr>
                <w:b w:val="false"/>
                <w:bCs w:val="false"/>
                <w:color w:val="1A1A1A"/>
                <w:sz w:val="20"/>
                <w:szCs w:val="20"/>
              </w:rPr>
              <w:t xml:space="preserve">sku_id, store_id, name, category, unit, is_perishable, expiry_date (nullable), supplier_lead_time_days</w:t>
            </w:r>
          </w:p>
        </w:tc>
        <w:tc>
          <w:tcPr>
            <w:tcW w:type="dxa" w:w="2800"/>
            <w:tcMar>
              <w:top w:type="dxa" w:w="80"/>
              <w:left w:type="dxa" w:w="100"/>
              <w:bottom w:type="dxa" w:w="80"/>
              <w:right w:type="dxa" w:w="100"/>
            </w:tcMar>
          </w:tcPr>
          <w:p>
            <w:r>
              <w:rPr>
                <w:b w:val="false"/>
                <w:bCs w:val="false"/>
                <w:color w:val="1A1A1A"/>
                <w:sz w:val="20"/>
                <w:szCs w:val="20"/>
              </w:rPr>
              <w:t xml:space="preserve">Unchanged</w:t>
            </w:r>
          </w:p>
        </w:tc>
      </w:tr>
      <w:tr>
        <w:tc>
          <w:tcPr>
            <w:tcW w:type="dxa" w:w="2600"/>
            <w:tcMar>
              <w:top w:type="dxa" w:w="80"/>
              <w:left w:type="dxa" w:w="100"/>
              <w:bottom w:type="dxa" w:w="80"/>
              <w:right w:type="dxa" w:w="100"/>
            </w:tcMar>
          </w:tcPr>
          <w:p>
            <w:r>
              <w:rPr>
                <w:b w:val="false"/>
                <w:bCs w:val="false"/>
                <w:color w:val="1A1A1A"/>
                <w:sz w:val="20"/>
                <w:szCs w:val="20"/>
              </w:rPr>
              <w:t xml:space="preserve">SalesRecord</w:t>
            </w:r>
          </w:p>
        </w:tc>
        <w:tc>
          <w:tcPr>
            <w:tcW w:type="dxa" w:w="4000"/>
            <w:tcMar>
              <w:top w:type="dxa" w:w="80"/>
              <w:left w:type="dxa" w:w="100"/>
              <w:bottom w:type="dxa" w:w="80"/>
              <w:right w:type="dxa" w:w="100"/>
            </w:tcMar>
          </w:tcPr>
          <w:p>
            <w:r>
              <w:rPr>
                <w:b w:val="false"/>
                <w:bCs w:val="false"/>
                <w:color w:val="1A1A1A"/>
                <w:sz w:val="20"/>
                <w:szCs w:val="20"/>
              </w:rPr>
              <w:t xml:space="preserve">record_id, store_id, sku_id, date, quantity_sold, source (manual/OCR/CSV/API), confidence</w:t>
            </w:r>
          </w:p>
        </w:tc>
        <w:tc>
          <w:tcPr>
            <w:tcW w:type="dxa" w:w="2800"/>
            <w:tcMar>
              <w:top w:type="dxa" w:w="80"/>
              <w:left w:type="dxa" w:w="100"/>
              <w:bottom w:type="dxa" w:w="80"/>
              <w:right w:type="dxa" w:w="100"/>
            </w:tcMar>
          </w:tcPr>
          <w:p>
            <w:r>
              <w:rPr>
                <w:b w:val="false"/>
                <w:bCs w:val="false"/>
                <w:color w:val="1A1A1A"/>
                <w:sz w:val="20"/>
                <w:szCs w:val="20"/>
              </w:rPr>
              <w:t xml:space="preserve">Unchanged</w:t>
            </w:r>
          </w:p>
        </w:tc>
      </w:tr>
      <w:tr>
        <w:tc>
          <w:tcPr>
            <w:tcW w:type="dxa" w:w="2600"/>
            <w:tcMar>
              <w:top w:type="dxa" w:w="80"/>
              <w:left w:type="dxa" w:w="100"/>
              <w:bottom w:type="dxa" w:w="80"/>
              <w:right w:type="dxa" w:w="100"/>
            </w:tcMar>
          </w:tcPr>
          <w:p>
            <w:r>
              <w:rPr>
                <w:b w:val="false"/>
                <w:bCs w:val="false"/>
                <w:color w:val="1A1A1A"/>
                <w:sz w:val="20"/>
                <w:szCs w:val="20"/>
              </w:rPr>
              <w:t xml:space="preserve">StockLevel</w:t>
            </w:r>
          </w:p>
        </w:tc>
        <w:tc>
          <w:tcPr>
            <w:tcW w:type="dxa" w:w="4000"/>
            <w:tcMar>
              <w:top w:type="dxa" w:w="80"/>
              <w:left w:type="dxa" w:w="100"/>
              <w:bottom w:type="dxa" w:w="80"/>
              <w:right w:type="dxa" w:w="100"/>
            </w:tcMar>
          </w:tcPr>
          <w:p>
            <w:r>
              <w:rPr>
                <w:b w:val="false"/>
                <w:bCs w:val="false"/>
                <w:color w:val="1A1A1A"/>
                <w:sz w:val="20"/>
                <w:szCs w:val="20"/>
              </w:rPr>
              <w:t xml:space="preserve">store_id, sku_id, as_of_date, quantity_on_hand</w:t>
            </w:r>
          </w:p>
        </w:tc>
        <w:tc>
          <w:tcPr>
            <w:tcW w:type="dxa" w:w="2800"/>
            <w:tcMar>
              <w:top w:type="dxa" w:w="80"/>
              <w:left w:type="dxa" w:w="100"/>
              <w:bottom w:type="dxa" w:w="80"/>
              <w:right w:type="dxa" w:w="100"/>
            </w:tcMar>
          </w:tcPr>
          <w:p>
            <w:r>
              <w:rPr>
                <w:b w:val="false"/>
                <w:bCs w:val="false"/>
                <w:color w:val="1A1A1A"/>
                <w:sz w:val="20"/>
                <w:szCs w:val="20"/>
              </w:rPr>
              <w:t xml:space="preserve">Unchanged</w:t>
            </w:r>
          </w:p>
        </w:tc>
      </w:tr>
      <w:tr>
        <w:tc>
          <w:tcPr>
            <w:tcW w:type="dxa" w:w="2600"/>
            <w:tcMar>
              <w:top w:type="dxa" w:w="80"/>
              <w:left w:type="dxa" w:w="100"/>
              <w:bottom w:type="dxa" w:w="80"/>
              <w:right w:type="dxa" w:w="100"/>
            </w:tcMar>
          </w:tcPr>
          <w:p>
            <w:r>
              <w:rPr>
                <w:b w:val="false"/>
                <w:bCs w:val="false"/>
                <w:color w:val="1A1A1A"/>
                <w:sz w:val="20"/>
                <w:szCs w:val="20"/>
              </w:rPr>
              <w:t xml:space="preserve">ForecastRun</w:t>
            </w:r>
          </w:p>
        </w:tc>
        <w:tc>
          <w:tcPr>
            <w:tcW w:type="dxa" w:w="4000"/>
            <w:tcMar>
              <w:top w:type="dxa" w:w="80"/>
              <w:left w:type="dxa" w:w="100"/>
              <w:bottom w:type="dxa" w:w="80"/>
              <w:right w:type="dxa" w:w="100"/>
            </w:tcMar>
          </w:tcPr>
          <w:p>
            <w:r>
              <w:rPr>
                <w:b w:val="false"/>
                <w:bCs w:val="false"/>
                <w:color w:val="1A1A1A"/>
                <w:sz w:val="20"/>
                <w:szCs w:val="20"/>
              </w:rPr>
              <w:t xml:space="preserve">forecast_id, store_id, sku_id, run_date, horizon_days, predicted_demand, model_version, cold_start_flag</w:t>
            </w:r>
          </w:p>
        </w:tc>
        <w:tc>
          <w:tcPr>
            <w:tcW w:type="dxa" w:w="2800"/>
            <w:tcMar>
              <w:top w:type="dxa" w:w="80"/>
              <w:left w:type="dxa" w:w="100"/>
              <w:bottom w:type="dxa" w:w="80"/>
              <w:right w:type="dxa" w:w="100"/>
            </w:tcMar>
          </w:tcPr>
          <w:p>
            <w:r>
              <w:rPr>
                <w:b w:val="false"/>
                <w:bCs w:val="false"/>
                <w:color w:val="1A1A1A"/>
                <w:sz w:val="20"/>
                <w:szCs w:val="20"/>
              </w:rPr>
              <w:t xml:space="preserve">Unchanged</w:t>
            </w:r>
          </w:p>
        </w:tc>
      </w:tr>
      <w:tr>
        <w:tc>
          <w:tcPr>
            <w:tcW w:type="dxa" w:w="2600"/>
            <w:tcMar>
              <w:top w:type="dxa" w:w="80"/>
              <w:left w:type="dxa" w:w="100"/>
              <w:bottom w:type="dxa" w:w="80"/>
              <w:right w:type="dxa" w:w="100"/>
            </w:tcMar>
          </w:tcPr>
          <w:p>
            <w:r>
              <w:rPr>
                <w:b w:val="false"/>
                <w:bCs w:val="false"/>
                <w:color w:val="1A1A1A"/>
                <w:sz w:val="20"/>
                <w:szCs w:val="20"/>
              </w:rPr>
              <w:t xml:space="preserve">Recommendation</w:t>
            </w:r>
          </w:p>
        </w:tc>
        <w:tc>
          <w:tcPr>
            <w:tcW w:type="dxa" w:w="4000"/>
            <w:tcMar>
              <w:top w:type="dxa" w:w="80"/>
              <w:left w:type="dxa" w:w="100"/>
              <w:bottom w:type="dxa" w:w="80"/>
              <w:right w:type="dxa" w:w="100"/>
            </w:tcMar>
          </w:tcPr>
          <w:p>
            <w:r>
              <w:rPr>
                <w:b w:val="false"/>
                <w:bCs w:val="false"/>
                <w:color w:val="1A1A1A"/>
                <w:sz w:val="20"/>
                <w:szCs w:val="20"/>
              </w:rPr>
              <w:t xml:space="preserve">rec_id, forecast_id, type, suggested_qty, reason_text, owner_edited_qty, status</w:t>
            </w:r>
          </w:p>
        </w:tc>
        <w:tc>
          <w:tcPr>
            <w:tcW w:type="dxa" w:w="2800"/>
            <w:tcMar>
              <w:top w:type="dxa" w:w="80"/>
              <w:left w:type="dxa" w:w="100"/>
              <w:bottom w:type="dxa" w:w="80"/>
              <w:right w:type="dxa" w:w="100"/>
            </w:tcMar>
          </w:tcPr>
          <w:p>
            <w:r>
              <w:rPr>
                <w:b w:val="false"/>
                <w:bCs w:val="false"/>
                <w:color w:val="1A1A1A"/>
                <w:sz w:val="20"/>
                <w:szCs w:val="20"/>
              </w:rPr>
              <w:t xml:space="preserve">Unchanged</w:t>
            </w:r>
          </w:p>
        </w:tc>
      </w:tr>
      <w:tr>
        <w:tc>
          <w:tcPr>
            <w:tcW w:type="dxa" w:w="2600"/>
            <w:tcMar>
              <w:top w:type="dxa" w:w="80"/>
              <w:left w:type="dxa" w:w="100"/>
              <w:bottom w:type="dxa" w:w="80"/>
              <w:right w:type="dxa" w:w="100"/>
            </w:tcMar>
          </w:tcPr>
          <w:p>
            <w:r>
              <w:rPr>
                <w:b w:val="false"/>
                <w:bCs w:val="false"/>
                <w:color w:val="1A1A1A"/>
                <w:sz w:val="20"/>
                <w:szCs w:val="20"/>
              </w:rPr>
              <w:t xml:space="preserve">FeedbackFlag</w:t>
            </w:r>
          </w:p>
        </w:tc>
        <w:tc>
          <w:tcPr>
            <w:tcW w:type="dxa" w:w="4000"/>
            <w:tcMar>
              <w:top w:type="dxa" w:w="80"/>
              <w:left w:type="dxa" w:w="100"/>
              <w:bottom w:type="dxa" w:w="80"/>
              <w:right w:type="dxa" w:w="100"/>
            </w:tcMar>
          </w:tcPr>
          <w:p>
            <w:r>
              <w:rPr>
                <w:b w:val="false"/>
                <w:bCs w:val="false"/>
                <w:color w:val="1A1A1A"/>
                <w:sz w:val="20"/>
                <w:szCs w:val="20"/>
              </w:rPr>
              <w:t xml:space="preserve">flag_id, rec_id, reason_code, free_text, submitted_at</w:t>
            </w:r>
          </w:p>
        </w:tc>
        <w:tc>
          <w:tcPr>
            <w:tcW w:type="dxa" w:w="2800"/>
            <w:tcMar>
              <w:top w:type="dxa" w:w="80"/>
              <w:left w:type="dxa" w:w="100"/>
              <w:bottom w:type="dxa" w:w="80"/>
              <w:right w:type="dxa" w:w="100"/>
            </w:tcMar>
          </w:tcPr>
          <w:p>
            <w:r>
              <w:rPr>
                <w:b w:val="false"/>
                <w:bCs w:val="false"/>
                <w:color w:val="1A1A1A"/>
                <w:sz w:val="20"/>
                <w:szCs w:val="20"/>
              </w:rPr>
              <w:t xml:space="preserve">Unchanged</w:t>
            </w:r>
          </w:p>
        </w:tc>
      </w:tr>
      <w:tr>
        <w:tc>
          <w:tcPr>
            <w:tcW w:type="dxa" w:w="2600"/>
            <w:tcMar>
              <w:top w:type="dxa" w:w="80"/>
              <w:left w:type="dxa" w:w="100"/>
              <w:bottom w:type="dxa" w:w="80"/>
              <w:right w:type="dxa" w:w="100"/>
            </w:tcMar>
          </w:tcPr>
          <w:p>
            <w:r>
              <w:rPr>
                <w:b w:val="false"/>
                <w:bCs w:val="false"/>
                <w:color w:val="1A1A1A"/>
                <w:sz w:val="20"/>
                <w:szCs w:val="20"/>
              </w:rPr>
              <w:t xml:space="preserve">FestivalCalendarEntry</w:t>
            </w:r>
          </w:p>
        </w:tc>
        <w:tc>
          <w:tcPr>
            <w:tcW w:type="dxa" w:w="4000"/>
            <w:tcMar>
              <w:top w:type="dxa" w:w="80"/>
              <w:left w:type="dxa" w:w="100"/>
              <w:bottom w:type="dxa" w:w="80"/>
              <w:right w:type="dxa" w:w="100"/>
            </w:tcMar>
          </w:tcPr>
          <w:p>
            <w:r>
              <w:rPr>
                <w:b w:val="false"/>
                <w:bCs w:val="false"/>
                <w:color w:val="1A1A1A"/>
                <w:sz w:val="20"/>
                <w:szCs w:val="20"/>
              </w:rPr>
              <w:t xml:space="preserve">entry_id, region, date, event_name, expected_demand_multiplier</w:t>
            </w:r>
          </w:p>
        </w:tc>
        <w:tc>
          <w:tcPr>
            <w:tcW w:type="dxa" w:w="2800"/>
            <w:tcMar>
              <w:top w:type="dxa" w:w="80"/>
              <w:left w:type="dxa" w:w="100"/>
              <w:bottom w:type="dxa" w:w="80"/>
              <w:right w:type="dxa" w:w="100"/>
            </w:tcMar>
          </w:tcPr>
          <w:p>
            <w:r>
              <w:rPr>
                <w:b w:val="false"/>
                <w:bCs w:val="false"/>
                <w:color w:val="1A1A1A"/>
                <w:sz w:val="20"/>
                <w:szCs w:val="20"/>
              </w:rPr>
              <w:t xml:space="preserve">Unchanged</w:t>
            </w:r>
          </w:p>
        </w:tc>
      </w:tr>
      <w:tr>
        <w:tc>
          <w:tcPr>
            <w:tcW w:type="dxa" w:w="2600"/>
            <w:tcMar>
              <w:top w:type="dxa" w:w="80"/>
              <w:left w:type="dxa" w:w="100"/>
              <w:bottom w:type="dxa" w:w="80"/>
              <w:right w:type="dxa" w:w="100"/>
            </w:tcMar>
          </w:tcPr>
          <w:p>
            <w:r>
              <w:rPr>
                <w:b w:val="false"/>
                <w:bCs w:val="false"/>
                <w:color w:val="1A1A1A"/>
                <w:sz w:val="20"/>
                <w:szCs w:val="20"/>
              </w:rPr>
              <w:t xml:space="preserve">ConsentRecord</w:t>
            </w:r>
          </w:p>
        </w:tc>
        <w:tc>
          <w:tcPr>
            <w:tcW w:type="dxa" w:w="4000"/>
            <w:tcMar>
              <w:top w:type="dxa" w:w="80"/>
              <w:left w:type="dxa" w:w="100"/>
              <w:bottom w:type="dxa" w:w="80"/>
              <w:right w:type="dxa" w:w="100"/>
            </w:tcMar>
          </w:tcPr>
          <w:p>
            <w:r>
              <w:rPr>
                <w:b w:val="false"/>
                <w:bCs w:val="false"/>
                <w:color w:val="1A1A1A"/>
                <w:sz w:val="20"/>
                <w:szCs w:val="20"/>
              </w:rPr>
              <w:t xml:space="preserve">consent_id, store_id, grantee, scope, granted_at, revoked_at</w:t>
            </w:r>
          </w:p>
        </w:tc>
        <w:tc>
          <w:tcPr>
            <w:tcW w:type="dxa" w:w="2800"/>
            <w:tcMar>
              <w:top w:type="dxa" w:w="80"/>
              <w:left w:type="dxa" w:w="100"/>
              <w:bottom w:type="dxa" w:w="80"/>
              <w:right w:type="dxa" w:w="100"/>
            </w:tcMar>
          </w:tcPr>
          <w:p>
            <w:r>
              <w:rPr>
                <w:b w:val="false"/>
                <w:bCs w:val="false"/>
                <w:color w:val="1A1A1A"/>
                <w:sz w:val="20"/>
                <w:szCs w:val="20"/>
              </w:rPr>
              <w:t xml:space="preserve">Unchanged</w:t>
            </w:r>
          </w:p>
        </w:tc>
      </w:tr>
      <w:tr>
        <w:tc>
          <w:tcPr>
            <w:tcW w:type="dxa" w:w="2600"/>
            <w:tcMar>
              <w:top w:type="dxa" w:w="80"/>
              <w:left w:type="dxa" w:w="100"/>
              <w:bottom w:type="dxa" w:w="80"/>
              <w:right w:type="dxa" w:w="100"/>
            </w:tcMar>
          </w:tcPr>
          <w:p>
            <w:r>
              <w:rPr>
                <w:b w:val="false"/>
                <w:bCs w:val="false"/>
                <w:color w:val="1A1A1A"/>
                <w:sz w:val="20"/>
                <w:szCs w:val="20"/>
              </w:rPr>
              <w:t xml:space="preserve">[Pivot, new] DeviceToken</w:t>
            </w:r>
          </w:p>
        </w:tc>
        <w:tc>
          <w:tcPr>
            <w:tcW w:type="dxa" w:w="4000"/>
            <w:tcMar>
              <w:top w:type="dxa" w:w="80"/>
              <w:left w:type="dxa" w:w="100"/>
              <w:bottom w:type="dxa" w:w="80"/>
              <w:right w:type="dxa" w:w="100"/>
            </w:tcMar>
          </w:tcPr>
          <w:p>
            <w:r>
              <w:rPr>
                <w:b w:val="false"/>
                <w:bCs w:val="false"/>
                <w:color w:val="1A1A1A"/>
                <w:sz w:val="20"/>
                <w:szCs w:val="20"/>
              </w:rPr>
              <w:t xml:space="preserve">token_id, store_id, fcm_token, device_model, os_version, registered_at, last_active_at</w:t>
            </w:r>
          </w:p>
        </w:tc>
        <w:tc>
          <w:tcPr>
            <w:tcW w:type="dxa" w:w="2800"/>
            <w:tcMar>
              <w:top w:type="dxa" w:w="80"/>
              <w:left w:type="dxa" w:w="100"/>
              <w:bottom w:type="dxa" w:w="80"/>
              <w:right w:type="dxa" w:w="100"/>
            </w:tcMar>
          </w:tcPr>
          <w:p>
            <w:r>
              <w:rPr>
                <w:b w:val="false"/>
                <w:bCs w:val="false"/>
                <w:color w:val="1A1A1A"/>
                <w:sz w:val="20"/>
                <w:szCs w:val="20"/>
              </w:rPr>
              <w:t xml:space="preserve">Replaces NotificationLog's WhatsApp/SMS routing fields; one store may have multiple tokens if the app is reinstalled or used on a new device</w:t>
            </w:r>
          </w:p>
        </w:tc>
      </w:tr>
      <w:tr>
        <w:tc>
          <w:tcPr>
            <w:tcW w:type="dxa" w:w="2600"/>
            <w:tcMar>
              <w:top w:type="dxa" w:w="80"/>
              <w:left w:type="dxa" w:w="100"/>
              <w:bottom w:type="dxa" w:w="80"/>
              <w:right w:type="dxa" w:w="100"/>
            </w:tcMar>
          </w:tcPr>
          <w:p>
            <w:r>
              <w:rPr>
                <w:b w:val="false"/>
                <w:bCs w:val="false"/>
                <w:color w:val="1A1A1A"/>
                <w:sz w:val="20"/>
                <w:szCs w:val="20"/>
              </w:rPr>
              <w:t xml:space="preserve">[Pivot, renamed] NotificationLog</w:t>
            </w:r>
          </w:p>
        </w:tc>
        <w:tc>
          <w:tcPr>
            <w:tcW w:type="dxa" w:w="4000"/>
            <w:tcMar>
              <w:top w:type="dxa" w:w="80"/>
              <w:left w:type="dxa" w:w="100"/>
              <w:bottom w:type="dxa" w:w="80"/>
              <w:right w:type="dxa" w:w="100"/>
            </w:tcMar>
          </w:tcPr>
          <w:p>
            <w:r>
              <w:rPr>
                <w:b w:val="false"/>
                <w:bCs w:val="false"/>
                <w:color w:val="1A1A1A"/>
                <w:sz w:val="20"/>
                <w:szCs w:val="20"/>
              </w:rPr>
              <w:t xml:space="preserve">notification_id, store_id, device_token_id, type, status (sent/delivered/opened/failed), sent_at</w:t>
            </w:r>
          </w:p>
        </w:tc>
        <w:tc>
          <w:tcPr>
            <w:tcW w:type="dxa" w:w="2800"/>
            <w:tcMar>
              <w:top w:type="dxa" w:w="80"/>
              <w:left w:type="dxa" w:w="100"/>
              <w:bottom w:type="dxa" w:w="80"/>
              <w:right w:type="dxa" w:w="100"/>
            </w:tcMar>
          </w:tcPr>
          <w:p>
            <w:r>
              <w:rPr>
                <w:b w:val="false"/>
                <w:bCs w:val="false"/>
                <w:color w:val="1A1A1A"/>
                <w:sz w:val="20"/>
                <w:szCs w:val="20"/>
              </w:rPr>
              <w:t xml:space="preserve">Now tracks FCM delivery/open status instead of WhatsApp delivery receipts</w:t>
            </w:r>
          </w:p>
        </w:tc>
      </w:tr>
      <w:tr>
        <w:tc>
          <w:tcPr>
            <w:tcW w:type="dxa" w:w="2600"/>
            <w:tcMar>
              <w:top w:type="dxa" w:w="80"/>
              <w:left w:type="dxa" w:w="100"/>
              <w:bottom w:type="dxa" w:w="80"/>
              <w:right w:type="dxa" w:w="100"/>
            </w:tcMar>
          </w:tcPr>
          <w:p>
            <w:r>
              <w:rPr>
                <w:b w:val="false"/>
                <w:bCs w:val="false"/>
                <w:color w:val="1A1A1A"/>
                <w:sz w:val="20"/>
                <w:szCs w:val="20"/>
              </w:rPr>
              <w:t xml:space="preserve">[Pivot, new] InstallEvent</w:t>
            </w:r>
          </w:p>
        </w:tc>
        <w:tc>
          <w:tcPr>
            <w:tcW w:type="dxa" w:w="4000"/>
            <w:tcMar>
              <w:top w:type="dxa" w:w="80"/>
              <w:left w:type="dxa" w:w="100"/>
              <w:bottom w:type="dxa" w:w="80"/>
              <w:right w:type="dxa" w:w="100"/>
            </w:tcMar>
          </w:tcPr>
          <w:p>
            <w:r>
              <w:rPr>
                <w:b w:val="false"/>
                <w:bCs w:val="false"/>
                <w:color w:val="1A1A1A"/>
                <w:sz w:val="20"/>
                <w:szCs w:val="20"/>
              </w:rPr>
              <w:t xml:space="preserve">event_id, store_id, event_type (installed/uninstalled/reinstalled), device_model, occurred_at</w:t>
            </w:r>
          </w:p>
        </w:tc>
        <w:tc>
          <w:tcPr>
            <w:tcW w:type="dxa" w:w="2800"/>
            <w:tcMar>
              <w:top w:type="dxa" w:w="80"/>
              <w:left w:type="dxa" w:w="100"/>
              <w:bottom w:type="dxa" w:w="80"/>
              <w:right w:type="dxa" w:w="100"/>
            </w:tcMar>
          </w:tcPr>
          <w:p>
            <w:r>
              <w:rPr>
                <w:b w:val="false"/>
                <w:bCs w:val="false"/>
                <w:color w:val="1A1A1A"/>
                <w:sz w:val="20"/>
                <w:szCs w:val="20"/>
              </w:rPr>
              <w:t xml:space="preserve">Backs the install-completion and uninstall-as-churn metrics in PRD §12</w:t>
            </w:r>
          </w:p>
        </w:tc>
      </w:tr>
    </w:tbl>
    <w:p>
      <w:pPr>
        <w:pStyle w:val="Heading1"/>
        <w:pBdr>
          <w:bottom w:val="single" w:color="1F3864" w:sz="6" w:space="4"/>
        </w:pBdr>
        <w:spacing w:after="200" w:before="400"/>
      </w:pPr>
      <w:r>
        <w:t xml:space="preserve">7. API Design</w:t>
      </w:r>
    </w:p>
    <w:p>
      <w:pPr>
        <w:spacing w:after="160" w:line="276"/>
      </w:pPr>
      <w:r>
        <w:rPr>
          <w:sz w:val="21"/>
          <w:szCs w:val="21"/>
        </w:rPr>
        <w:t xml:space="preserve">Internal REST API consumed exclusively by the Android app and internal batch jobs — the WhatsApp webhook endpoint from TRD v1.0 is removed, and a device-token registration endpoint is added.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200"/>
      </w:tblGrid>
      <w:tr>
        <w:trPr>
          <w:tblHeader/>
        </w:trPr>
        <w:tc>
          <w:tcPr>
            <w:tcW w:type="dxa" w:w="3600"/>
            <w:shd w:fill="1F3864" w:val="clear"/>
            <w:tcMar>
              <w:top w:type="dxa" w:w="80"/>
              <w:left w:type="dxa" w:w="100"/>
              <w:bottom w:type="dxa" w:w="80"/>
              <w:right w:type="dxa" w:w="100"/>
            </w:tcMar>
          </w:tcPr>
          <w:p>
            <w:r>
              <w:rPr>
                <w:b/>
                <w:bCs/>
                <w:color w:val="FFFFFF"/>
                <w:sz w:val="20"/>
                <w:szCs w:val="20"/>
              </w:rPr>
              <w:t xml:space="preserve">Endpoint</w:t>
            </w:r>
          </w:p>
        </w:tc>
        <w:tc>
          <w:tcPr>
            <w:tcW w:type="dxa" w:w="1400"/>
            <w:shd w:fill="1F3864" w:val="clear"/>
            <w:tcMar>
              <w:top w:type="dxa" w:w="80"/>
              <w:left w:type="dxa" w:w="100"/>
              <w:bottom w:type="dxa" w:w="80"/>
              <w:right w:type="dxa" w:w="100"/>
            </w:tcMar>
          </w:tcPr>
          <w:p>
            <w:r>
              <w:rPr>
                <w:b/>
                <w:bCs/>
                <w:color w:val="FFFFFF"/>
                <w:sz w:val="20"/>
                <w:szCs w:val="20"/>
              </w:rPr>
              <w:t xml:space="preserve">Method</w:t>
            </w:r>
          </w:p>
        </w:tc>
        <w:tc>
          <w:tcPr>
            <w:tcW w:type="dxa" w:w="4200"/>
            <w:shd w:fill="1F3864" w:val="clear"/>
            <w:tcMar>
              <w:top w:type="dxa" w:w="80"/>
              <w:left w:type="dxa" w:w="100"/>
              <w:bottom w:type="dxa" w:w="80"/>
              <w:right w:type="dxa" w:w="100"/>
            </w:tcMar>
          </w:tcPr>
          <w:p>
            <w:r>
              <w:rPr>
                <w:b/>
                <w:bCs/>
                <w:color w:val="FFFFFF"/>
                <w:sz w:val="20"/>
                <w:szCs w:val="20"/>
              </w:rPr>
              <w:t xml:space="preserve">Purpose</w:t>
            </w:r>
          </w:p>
        </w:tc>
      </w:tr>
      <w:tr>
        <w:tc>
          <w:tcPr>
            <w:tcW w:type="dxa" w:w="3600"/>
            <w:tcMar>
              <w:top w:type="dxa" w:w="80"/>
              <w:left w:type="dxa" w:w="100"/>
              <w:bottom w:type="dxa" w:w="80"/>
              <w:right w:type="dxa" w:w="100"/>
            </w:tcMar>
          </w:tcPr>
          <w:p>
            <w:r>
              <w:rPr>
                <w:b w:val="false"/>
                <w:bCs w:val="false"/>
                <w:color w:val="1A1A1A"/>
                <w:sz w:val="20"/>
                <w:szCs w:val="20"/>
              </w:rPr>
              <w:t xml:space="preserve">/stores/{storeId}/onboarding</w:t>
            </w:r>
          </w:p>
        </w:tc>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4200"/>
            <w:tcMar>
              <w:top w:type="dxa" w:w="80"/>
              <w:left w:type="dxa" w:w="100"/>
              <w:bottom w:type="dxa" w:w="80"/>
              <w:right w:type="dxa" w:w="100"/>
            </w:tcMar>
          </w:tcPr>
          <w:p>
            <w:r>
              <w:rPr>
                <w:b w:val="false"/>
                <w:bCs w:val="false"/>
                <w:color w:val="1A1A1A"/>
                <w:sz w:val="20"/>
                <w:szCs w:val="20"/>
              </w:rPr>
              <w:t xml:space="preserve">Capture category, SKU count, existing tracking method, language preference</w:t>
            </w:r>
          </w:p>
        </w:tc>
      </w:tr>
      <w:tr>
        <w:tc>
          <w:tcPr>
            <w:tcW w:type="dxa" w:w="3600"/>
            <w:tcMar>
              <w:top w:type="dxa" w:w="80"/>
              <w:left w:type="dxa" w:w="100"/>
              <w:bottom w:type="dxa" w:w="80"/>
              <w:right w:type="dxa" w:w="100"/>
            </w:tcMar>
          </w:tcPr>
          <w:p>
            <w:r>
              <w:rPr>
                <w:b w:val="false"/>
                <w:bCs w:val="false"/>
                <w:color w:val="1A1A1A"/>
                <w:sz w:val="20"/>
                <w:szCs w:val="20"/>
              </w:rPr>
              <w:t xml:space="preserve">[Pivot, new] /stores/{storeId}/device-tokens</w:t>
            </w:r>
          </w:p>
        </w:tc>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4200"/>
            <w:tcMar>
              <w:top w:type="dxa" w:w="80"/>
              <w:left w:type="dxa" w:w="100"/>
              <w:bottom w:type="dxa" w:w="80"/>
              <w:right w:type="dxa" w:w="100"/>
            </w:tcMar>
          </w:tcPr>
          <w:p>
            <w:r>
              <w:rPr>
                <w:b w:val="false"/>
                <w:bCs w:val="false"/>
                <w:color w:val="1A1A1A"/>
                <w:sz w:val="20"/>
                <w:szCs w:val="20"/>
              </w:rPr>
              <w:t xml:space="preserve">Register/refresh an FCM device token for push delivery</w:t>
            </w:r>
          </w:p>
        </w:tc>
      </w:tr>
      <w:tr>
        <w:tc>
          <w:tcPr>
            <w:tcW w:type="dxa" w:w="3600"/>
            <w:tcMar>
              <w:top w:type="dxa" w:w="80"/>
              <w:left w:type="dxa" w:w="100"/>
              <w:bottom w:type="dxa" w:w="80"/>
              <w:right w:type="dxa" w:w="100"/>
            </w:tcMar>
          </w:tcPr>
          <w:p>
            <w:r>
              <w:rPr>
                <w:b w:val="false"/>
                <w:bCs w:val="false"/>
                <w:color w:val="1A1A1A"/>
                <w:sz w:val="20"/>
                <w:szCs w:val="20"/>
              </w:rPr>
              <w:t xml:space="preserve">/stores/{storeId}/sales</w:t>
            </w:r>
          </w:p>
        </w:tc>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4200"/>
            <w:tcMar>
              <w:top w:type="dxa" w:w="80"/>
              <w:left w:type="dxa" w:w="100"/>
              <w:bottom w:type="dxa" w:w="80"/>
              <w:right w:type="dxa" w:w="100"/>
            </w:tcMar>
          </w:tcPr>
          <w:p>
            <w:r>
              <w:rPr>
                <w:b w:val="false"/>
                <w:bCs w:val="false"/>
                <w:color w:val="1A1A1A"/>
                <w:sz w:val="20"/>
                <w:szCs w:val="20"/>
              </w:rPr>
              <w:t xml:space="preserve">Manual sales entry</w:t>
            </w:r>
          </w:p>
        </w:tc>
      </w:tr>
      <w:tr>
        <w:tc>
          <w:tcPr>
            <w:tcW w:type="dxa" w:w="3600"/>
            <w:tcMar>
              <w:top w:type="dxa" w:w="80"/>
              <w:left w:type="dxa" w:w="100"/>
              <w:bottom w:type="dxa" w:w="80"/>
              <w:right w:type="dxa" w:w="100"/>
            </w:tcMar>
          </w:tcPr>
          <w:p>
            <w:r>
              <w:rPr>
                <w:b w:val="false"/>
                <w:bCs w:val="false"/>
                <w:color w:val="1A1A1A"/>
                <w:sz w:val="20"/>
                <w:szCs w:val="20"/>
              </w:rPr>
              <w:t xml:space="preserve">/stores/{storeId}/sales/import</w:t>
            </w:r>
          </w:p>
        </w:tc>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4200"/>
            <w:tcMar>
              <w:top w:type="dxa" w:w="80"/>
              <w:left w:type="dxa" w:w="100"/>
              <w:bottom w:type="dxa" w:w="80"/>
              <w:right w:type="dxa" w:w="100"/>
            </w:tcMar>
          </w:tcPr>
          <w:p>
            <w:r>
              <w:rPr>
                <w:b w:val="false"/>
                <w:bCs w:val="false"/>
                <w:color w:val="1A1A1A"/>
                <w:sz w:val="20"/>
                <w:szCs w:val="20"/>
              </w:rPr>
              <w:t xml:space="preserve">CSV/API bulk import</w:t>
            </w:r>
          </w:p>
        </w:tc>
      </w:tr>
      <w:tr>
        <w:tc>
          <w:tcPr>
            <w:tcW w:type="dxa" w:w="3600"/>
            <w:tcMar>
              <w:top w:type="dxa" w:w="80"/>
              <w:left w:type="dxa" w:w="100"/>
              <w:bottom w:type="dxa" w:w="80"/>
              <w:right w:type="dxa" w:w="100"/>
            </w:tcMar>
          </w:tcPr>
          <w:p>
            <w:r>
              <w:rPr>
                <w:b w:val="false"/>
                <w:bCs w:val="false"/>
                <w:color w:val="1A1A1A"/>
                <w:sz w:val="20"/>
                <w:szCs w:val="20"/>
              </w:rPr>
              <w:t xml:space="preserve">/stores/{storeId}/bills/photo</w:t>
            </w:r>
          </w:p>
        </w:tc>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4200"/>
            <w:tcMar>
              <w:top w:type="dxa" w:w="80"/>
              <w:left w:type="dxa" w:w="100"/>
              <w:bottom w:type="dxa" w:w="80"/>
              <w:right w:type="dxa" w:w="100"/>
            </w:tcMar>
          </w:tcPr>
          <w:p>
            <w:r>
              <w:rPr>
                <w:b w:val="false"/>
                <w:bCs w:val="false"/>
                <w:color w:val="1A1A1A"/>
                <w:sz w:val="20"/>
                <w:szCs w:val="20"/>
              </w:rPr>
              <w:t xml:space="preserve">Submit a photographed bill for OCR processing</w:t>
            </w:r>
          </w:p>
        </w:tc>
      </w:tr>
      <w:tr>
        <w:tc>
          <w:tcPr>
            <w:tcW w:type="dxa" w:w="3600"/>
            <w:tcMar>
              <w:top w:type="dxa" w:w="80"/>
              <w:left w:type="dxa" w:w="100"/>
              <w:bottom w:type="dxa" w:w="80"/>
              <w:right w:type="dxa" w:w="100"/>
            </w:tcMar>
          </w:tcPr>
          <w:p>
            <w:r>
              <w:rPr>
                <w:b w:val="false"/>
                <w:bCs w:val="false"/>
                <w:color w:val="1A1A1A"/>
                <w:sz w:val="20"/>
                <w:szCs w:val="20"/>
              </w:rPr>
              <w:t xml:space="preserve">/bills/jobs/{jobId}</w:t>
            </w:r>
          </w:p>
        </w:tc>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4200"/>
            <w:tcMar>
              <w:top w:type="dxa" w:w="80"/>
              <w:left w:type="dxa" w:w="100"/>
              <w:bottom w:type="dxa" w:w="80"/>
              <w:right w:type="dxa" w:w="100"/>
            </w:tcMar>
          </w:tcPr>
          <w:p>
            <w:r>
              <w:rPr>
                <w:b w:val="false"/>
                <w:bCs w:val="false"/>
                <w:color w:val="1A1A1A"/>
                <w:sz w:val="20"/>
                <w:szCs w:val="20"/>
              </w:rPr>
              <w:t xml:space="preserve">Poll/receive OCR parse result for owner confirmation</w:t>
            </w:r>
          </w:p>
        </w:tc>
      </w:tr>
      <w:tr>
        <w:tc>
          <w:tcPr>
            <w:tcW w:type="dxa" w:w="3600"/>
            <w:tcMar>
              <w:top w:type="dxa" w:w="80"/>
              <w:left w:type="dxa" w:w="100"/>
              <w:bottom w:type="dxa" w:w="80"/>
              <w:right w:type="dxa" w:w="100"/>
            </w:tcMar>
          </w:tcPr>
          <w:p>
            <w:r>
              <w:rPr>
                <w:b w:val="false"/>
                <w:bCs w:val="false"/>
                <w:color w:val="1A1A1A"/>
                <w:sz w:val="20"/>
                <w:szCs w:val="20"/>
              </w:rPr>
              <w:t xml:space="preserve">/stores/{storeId}/recommendations/today</w:t>
            </w:r>
          </w:p>
        </w:tc>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4200"/>
            <w:tcMar>
              <w:top w:type="dxa" w:w="80"/>
              <w:left w:type="dxa" w:w="100"/>
              <w:bottom w:type="dxa" w:w="80"/>
              <w:right w:type="dxa" w:w="100"/>
            </w:tcMar>
          </w:tcPr>
          <w:p>
            <w:r>
              <w:rPr>
                <w:b w:val="false"/>
                <w:bCs w:val="false"/>
                <w:color w:val="1A1A1A"/>
                <w:sz w:val="20"/>
                <w:szCs w:val="20"/>
              </w:rPr>
              <w:t xml:space="preserve">Fetch current reorder/low-stock/overstock recommendations</w:t>
            </w:r>
          </w:p>
        </w:tc>
      </w:tr>
      <w:tr>
        <w:tc>
          <w:tcPr>
            <w:tcW w:type="dxa" w:w="3600"/>
            <w:tcMar>
              <w:top w:type="dxa" w:w="80"/>
              <w:left w:type="dxa" w:w="100"/>
              <w:bottom w:type="dxa" w:w="80"/>
              <w:right w:type="dxa" w:w="100"/>
            </w:tcMar>
          </w:tcPr>
          <w:p>
            <w:r>
              <w:rPr>
                <w:b w:val="false"/>
                <w:bCs w:val="false"/>
                <w:color w:val="1A1A1A"/>
                <w:sz w:val="20"/>
                <w:szCs w:val="20"/>
              </w:rPr>
              <w:t xml:space="preserve">/recommendations/{recId}</w:t>
            </w:r>
          </w:p>
        </w:tc>
        <w:tc>
          <w:tcPr>
            <w:tcW w:type="dxa" w:w="1400"/>
            <w:tcMar>
              <w:top w:type="dxa" w:w="80"/>
              <w:left w:type="dxa" w:w="100"/>
              <w:bottom w:type="dxa" w:w="80"/>
              <w:right w:type="dxa" w:w="100"/>
            </w:tcMar>
          </w:tcPr>
          <w:p>
            <w:r>
              <w:rPr>
                <w:b w:val="false"/>
                <w:bCs w:val="false"/>
                <w:color w:val="1A1A1A"/>
                <w:sz w:val="20"/>
                <w:szCs w:val="20"/>
              </w:rPr>
              <w:t xml:space="preserve">PATCH</w:t>
            </w:r>
          </w:p>
        </w:tc>
        <w:tc>
          <w:tcPr>
            <w:tcW w:type="dxa" w:w="4200"/>
            <w:tcMar>
              <w:top w:type="dxa" w:w="80"/>
              <w:left w:type="dxa" w:w="100"/>
              <w:bottom w:type="dxa" w:w="80"/>
              <w:right w:type="dxa" w:w="100"/>
            </w:tcMar>
          </w:tcPr>
          <w:p>
            <w:r>
              <w:rPr>
                <w:b w:val="false"/>
                <w:bCs w:val="false"/>
                <w:color w:val="1A1A1A"/>
                <w:sz w:val="20"/>
                <w:szCs w:val="20"/>
              </w:rPr>
              <w:t xml:space="preserve">Owner edits quantity or marks ordered/dismissed</w:t>
            </w:r>
          </w:p>
        </w:tc>
      </w:tr>
      <w:tr>
        <w:tc>
          <w:tcPr>
            <w:tcW w:type="dxa" w:w="3600"/>
            <w:tcMar>
              <w:top w:type="dxa" w:w="80"/>
              <w:left w:type="dxa" w:w="100"/>
              <w:bottom w:type="dxa" w:w="80"/>
              <w:right w:type="dxa" w:w="100"/>
            </w:tcMar>
          </w:tcPr>
          <w:p>
            <w:r>
              <w:rPr>
                <w:b w:val="false"/>
                <w:bCs w:val="false"/>
                <w:color w:val="1A1A1A"/>
                <w:sz w:val="20"/>
                <w:szCs w:val="20"/>
              </w:rPr>
              <w:t xml:space="preserve">/recommendations/{recId}/flag</w:t>
            </w:r>
          </w:p>
        </w:tc>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4200"/>
            <w:tcMar>
              <w:top w:type="dxa" w:w="80"/>
              <w:left w:type="dxa" w:w="100"/>
              <w:bottom w:type="dxa" w:w="80"/>
              <w:right w:type="dxa" w:w="100"/>
            </w:tcMar>
          </w:tcPr>
          <w:p>
            <w:r>
              <w:rPr>
                <w:b w:val="false"/>
                <w:bCs w:val="false"/>
                <w:color w:val="1A1A1A"/>
                <w:sz w:val="20"/>
                <w:szCs w:val="20"/>
              </w:rPr>
              <w:t xml:space="preserve">Submit a 'forecast was wrong' feedback flag with reason code</w:t>
            </w:r>
          </w:p>
        </w:tc>
      </w:tr>
      <w:tr>
        <w:tc>
          <w:tcPr>
            <w:tcW w:type="dxa" w:w="3600"/>
            <w:tcMar>
              <w:top w:type="dxa" w:w="80"/>
              <w:left w:type="dxa" w:w="100"/>
              <w:bottom w:type="dxa" w:w="80"/>
              <w:right w:type="dxa" w:w="100"/>
            </w:tcMar>
          </w:tcPr>
          <w:p>
            <w:r>
              <w:rPr>
                <w:b w:val="false"/>
                <w:bCs w:val="false"/>
                <w:color w:val="1A1A1A"/>
                <w:sz w:val="20"/>
                <w:szCs w:val="20"/>
              </w:rPr>
              <w:t xml:space="preserve">/stores/{storeId}/export/distributor-list</w:t>
            </w:r>
          </w:p>
        </w:tc>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4200"/>
            <w:tcMar>
              <w:top w:type="dxa" w:w="80"/>
              <w:left w:type="dxa" w:w="100"/>
              <w:bottom w:type="dxa" w:w="80"/>
              <w:right w:type="dxa" w:w="100"/>
            </w:tcMar>
          </w:tcPr>
          <w:p>
            <w:r>
              <w:rPr>
                <w:b w:val="false"/>
                <w:bCs w:val="false"/>
                <w:color w:val="1A1A1A"/>
                <w:sz w:val="20"/>
                <w:szCs w:val="20"/>
              </w:rPr>
              <w:t xml:space="preserve">Generate the shareable distributor order-list export for the Android share-sheet</w:t>
            </w:r>
          </w:p>
        </w:tc>
      </w:tr>
      <w:tr>
        <w:tc>
          <w:tcPr>
            <w:tcW w:type="dxa" w:w="3600"/>
            <w:tcMar>
              <w:top w:type="dxa" w:w="80"/>
              <w:left w:type="dxa" w:w="100"/>
              <w:bottom w:type="dxa" w:w="80"/>
              <w:right w:type="dxa" w:w="100"/>
            </w:tcMar>
          </w:tcPr>
          <w:p>
            <w:r>
              <w:rPr>
                <w:b w:val="false"/>
                <w:bCs w:val="false"/>
                <w:color w:val="1A1A1A"/>
                <w:sz w:val="20"/>
                <w:szCs w:val="20"/>
              </w:rPr>
              <w:t xml:space="preserve">/stores/{storeId}/consent</w:t>
            </w:r>
          </w:p>
        </w:tc>
        <w:tc>
          <w:tcPr>
            <w:tcW w:type="dxa" w:w="1400"/>
            <w:tcMar>
              <w:top w:type="dxa" w:w="80"/>
              <w:left w:type="dxa" w:w="100"/>
              <w:bottom w:type="dxa" w:w="80"/>
              <w:right w:type="dxa" w:w="100"/>
            </w:tcMar>
          </w:tcPr>
          <w:p>
            <w:r>
              <w:rPr>
                <w:b w:val="false"/>
                <w:bCs w:val="false"/>
                <w:color w:val="1A1A1A"/>
                <w:sz w:val="20"/>
                <w:szCs w:val="20"/>
              </w:rPr>
              <w:t xml:space="preserve">POST/DELETE</w:t>
            </w:r>
          </w:p>
        </w:tc>
        <w:tc>
          <w:tcPr>
            <w:tcW w:type="dxa" w:w="4200"/>
            <w:tcMar>
              <w:top w:type="dxa" w:w="80"/>
              <w:left w:type="dxa" w:w="100"/>
              <w:bottom w:type="dxa" w:w="80"/>
              <w:right w:type="dxa" w:w="100"/>
            </w:tcMar>
          </w:tcPr>
          <w:p>
            <w:r>
              <w:rPr>
                <w:b w:val="false"/>
                <w:bCs w:val="false"/>
                <w:color w:val="1A1A1A"/>
                <w:sz w:val="20"/>
                <w:szCs w:val="20"/>
              </w:rPr>
              <w:t xml:space="preserve">Grant or revoke a distributor/brand data-access consent record</w:t>
            </w:r>
          </w:p>
        </w:tc>
      </w:tr>
      <w:tr>
        <w:tc>
          <w:tcPr>
            <w:tcW w:type="dxa" w:w="3600"/>
            <w:tcMar>
              <w:top w:type="dxa" w:w="80"/>
              <w:left w:type="dxa" w:w="100"/>
              <w:bottom w:type="dxa" w:w="80"/>
              <w:right w:type="dxa" w:w="100"/>
            </w:tcMar>
          </w:tcPr>
          <w:p>
            <w:r>
              <w:rPr>
                <w:b w:val="false"/>
                <w:bCs w:val="false"/>
                <w:color w:val="1A1A1A"/>
                <w:sz w:val="20"/>
                <w:szCs w:val="20"/>
              </w:rPr>
              <w:t xml:space="preserve">[Pivot, removed] /webhooks/whatsapp/inbound</w:t>
            </w:r>
          </w:p>
        </w:tc>
        <w:tc>
          <w:tcPr>
            <w:tcW w:type="dxa" w:w="1400"/>
            <w:tcMar>
              <w:top w:type="dxa" w:w="80"/>
              <w:left w:type="dxa" w:w="100"/>
              <w:bottom w:type="dxa" w:w="80"/>
              <w:right w:type="dxa" w:w="100"/>
            </w:tcMar>
          </w:tcPr>
          <w:p>
            <w:r>
              <w:rPr>
                <w:b w:val="false"/>
                <w:bCs w:val="false"/>
                <w:color w:val="1A1A1A"/>
                <w:sz w:val="20"/>
                <w:szCs w:val="20"/>
              </w:rPr>
              <w:t xml:space="preserve">—</w:t>
            </w:r>
          </w:p>
        </w:tc>
        <w:tc>
          <w:tcPr>
            <w:tcW w:type="dxa" w:w="4200"/>
            <w:tcMar>
              <w:top w:type="dxa" w:w="80"/>
              <w:left w:type="dxa" w:w="100"/>
              <w:bottom w:type="dxa" w:w="80"/>
              <w:right w:type="dxa" w:w="100"/>
            </w:tcMar>
          </w:tcPr>
          <w:p>
            <w:r>
              <w:rPr>
                <w:b w:val="false"/>
                <w:bCs w:val="false"/>
                <w:color w:val="1A1A1A"/>
                <w:sz w:val="20"/>
                <w:szCs w:val="20"/>
              </w:rPr>
              <w:t xml:space="preserve">Removed — no WhatsApp integration in this edition</w:t>
            </w:r>
          </w:p>
        </w:tc>
      </w:tr>
    </w:tbl>
    <w:p>
      <w:pPr>
        <w:pStyle w:val="Heading2"/>
        <w:spacing w:after="120" w:before="300"/>
      </w:pPr>
      <w:r>
        <w:t xml:space="preserve">7.1 API Design Principles</w:t>
      </w:r>
    </w:p>
    <w:p>
      <w:pPr>
        <w:pStyle w:val="ListParagraph"/>
        <w:numPr>
          <w:ilvl w:val="0"/>
          <w:numId w:val="2"/>
        </w:numPr>
        <w:spacing w:after="80"/>
      </w:pPr>
      <w:r>
        <w:rPr>
          <w:sz w:val="21"/>
          <w:szCs w:val="21"/>
        </w:rPr>
        <w:t xml:space="preserve">All endpoints scoped by store_id and authenticated per store/owner session — unchanged from v1.0.</w:t>
      </w:r>
    </w:p>
    <w:p>
      <w:pPr>
        <w:pStyle w:val="ListParagraph"/>
        <w:numPr>
          <w:ilvl w:val="0"/>
          <w:numId w:val="2"/>
        </w:numPr>
        <w:spacing w:after="80"/>
      </w:pPr>
      <w:r>
        <w:rPr>
          <w:sz w:val="21"/>
          <w:szCs w:val="21"/>
        </w:rPr>
        <w:t xml:space="preserve">Payloads kept minimal for low-bandwidth clients; images/OCR jobs remain async (submit + poll).</w:t>
      </w:r>
    </w:p>
    <w:p>
      <w:pPr>
        <w:pStyle w:val="ListParagraph"/>
        <w:numPr>
          <w:ilvl w:val="0"/>
          <w:numId w:val="2"/>
        </w:numPr>
        <w:spacing w:after="80"/>
      </w:pPr>
      <w:r>
        <w:rPr>
          <w:sz w:val="21"/>
          <w:szCs w:val="21"/>
        </w:rPr>
        <w:t xml:space="preserve">[Pivot] With a single client consuming the API, request/response shapes can be tuned specifically to the Android app's screens rather than needing to serve both a chat bot and a dashboard — simplifies versioning but increases coupling between API changes and app releases, which now require a Play Store rollout.</w:t>
      </w:r>
    </w:p>
    <w:p>
      <w:pPr>
        <w:pStyle w:val="Heading1"/>
        <w:pBdr>
          <w:bottom w:val="single" w:color="1F3864" w:sz="6" w:space="4"/>
        </w:pBdr>
        <w:spacing w:after="200" w:before="400"/>
      </w:pPr>
      <w:r>
        <w:t xml:space="preserve">8. Push Notification Design [Pivot — new section]</w:t>
      </w:r>
    </w:p>
    <w:p>
      <w:pPr>
        <w:spacing w:after="160" w:line="276"/>
      </w:pPr>
      <w:r>
        <w:rPr>
          <w:sz w:val="21"/>
          <w:szCs w:val="21"/>
        </w:rPr>
        <w:t xml:space="preserve">This section did not exist in TRD v1.0; it replaces the prior 'Third-Party Integrations' section's WhatsApp/SMS content.</w:t>
      </w:r>
    </w:p>
    <w:p>
      <w:pPr>
        <w:pStyle w:val="Heading2"/>
        <w:spacing w:after="120" w:before="300"/>
      </w:pPr>
      <w:r>
        <w:t xml:space="preserve">8.1 Notification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Type</w:t>
            </w:r>
          </w:p>
        </w:tc>
        <w:tc>
          <w:tcPr>
            <w:tcW w:type="dxa" w:w="3800"/>
            <w:shd w:fill="1F3864" w:val="clear"/>
            <w:tcMar>
              <w:top w:type="dxa" w:w="80"/>
              <w:left w:type="dxa" w:w="100"/>
              <w:bottom w:type="dxa" w:w="80"/>
              <w:right w:type="dxa" w:w="100"/>
            </w:tcMar>
          </w:tcPr>
          <w:p>
            <w:r>
              <w:rPr>
                <w:b/>
                <w:bCs/>
                <w:color w:val="FFFFFF"/>
                <w:sz w:val="20"/>
                <w:szCs w:val="20"/>
              </w:rPr>
              <w:t xml:space="preserve">Trigger</w:t>
            </w:r>
          </w:p>
        </w:tc>
        <w:tc>
          <w:tcPr>
            <w:tcW w:type="dxa" w:w="3200"/>
            <w:shd w:fill="1F3864" w:val="clear"/>
            <w:tcMar>
              <w:top w:type="dxa" w:w="80"/>
              <w:left w:type="dxa" w:w="100"/>
              <w:bottom w:type="dxa" w:w="80"/>
              <w:right w:type="dxa" w:w="100"/>
            </w:tcMar>
          </w:tcPr>
          <w:p>
            <w:r>
              <w:rPr>
                <w:b/>
                <w:bCs/>
                <w:color w:val="FFFFFF"/>
                <w:sz w:val="20"/>
                <w:szCs w:val="20"/>
              </w:rPr>
              <w:t xml:space="preserve">Deep link target</w:t>
            </w:r>
          </w:p>
        </w:tc>
      </w:tr>
      <w:tr>
        <w:tc>
          <w:tcPr>
            <w:tcW w:type="dxa" w:w="2200"/>
            <w:tcMar>
              <w:top w:type="dxa" w:w="80"/>
              <w:left w:type="dxa" w:w="100"/>
              <w:bottom w:type="dxa" w:w="80"/>
              <w:right w:type="dxa" w:w="100"/>
            </w:tcMar>
          </w:tcPr>
          <w:p>
            <w:r>
              <w:rPr>
                <w:b w:val="false"/>
                <w:bCs w:val="false"/>
                <w:color w:val="1A1A1A"/>
                <w:sz w:val="20"/>
                <w:szCs w:val="20"/>
              </w:rPr>
              <w:t xml:space="preserve">Daily summary</w:t>
            </w:r>
          </w:p>
        </w:tc>
        <w:tc>
          <w:tcPr>
            <w:tcW w:type="dxa" w:w="3800"/>
            <w:tcMar>
              <w:top w:type="dxa" w:w="80"/>
              <w:left w:type="dxa" w:w="100"/>
              <w:bottom w:type="dxa" w:w="80"/>
              <w:right w:type="dxa" w:w="100"/>
            </w:tcMar>
          </w:tcPr>
          <w:p>
            <w:r>
              <w:rPr>
                <w:b w:val="false"/>
                <w:bCs w:val="false"/>
                <w:color w:val="1A1A1A"/>
                <w:sz w:val="20"/>
                <w:szCs w:val="20"/>
              </w:rPr>
              <w:t xml:space="preserve">Nightly batch completes for the store</w:t>
            </w:r>
          </w:p>
        </w:tc>
        <w:tc>
          <w:tcPr>
            <w:tcW w:type="dxa" w:w="3200"/>
            <w:tcMar>
              <w:top w:type="dxa" w:w="80"/>
              <w:left w:type="dxa" w:w="100"/>
              <w:bottom w:type="dxa" w:w="80"/>
              <w:right w:type="dxa" w:w="100"/>
            </w:tcMar>
          </w:tcPr>
          <w:p>
            <w:r>
              <w:rPr>
                <w:b w:val="false"/>
                <w:bCs w:val="false"/>
                <w:color w:val="1A1A1A"/>
                <w:sz w:val="20"/>
                <w:szCs w:val="20"/>
              </w:rPr>
              <w:t xml:space="preserve">Reorder List screen</w:t>
            </w:r>
          </w:p>
        </w:tc>
      </w:tr>
      <w:tr>
        <w:tc>
          <w:tcPr>
            <w:tcW w:type="dxa" w:w="2200"/>
            <w:tcMar>
              <w:top w:type="dxa" w:w="80"/>
              <w:left w:type="dxa" w:w="100"/>
              <w:bottom w:type="dxa" w:w="80"/>
              <w:right w:type="dxa" w:w="100"/>
            </w:tcMar>
          </w:tcPr>
          <w:p>
            <w:r>
              <w:rPr>
                <w:b w:val="false"/>
                <w:bCs w:val="false"/>
                <w:color w:val="1A1A1A"/>
                <w:sz w:val="20"/>
                <w:szCs w:val="20"/>
              </w:rPr>
              <w:t xml:space="preserve">Low-stock alert</w:t>
            </w:r>
          </w:p>
        </w:tc>
        <w:tc>
          <w:tcPr>
            <w:tcW w:type="dxa" w:w="3800"/>
            <w:tcMar>
              <w:top w:type="dxa" w:w="80"/>
              <w:left w:type="dxa" w:w="100"/>
              <w:bottom w:type="dxa" w:w="80"/>
              <w:right w:type="dxa" w:w="100"/>
            </w:tcMar>
          </w:tcPr>
          <w:p>
            <w:r>
              <w:rPr>
                <w:b w:val="false"/>
                <w:bCs w:val="false"/>
                <w:color w:val="1A1A1A"/>
                <w:sz w:val="20"/>
                <w:szCs w:val="20"/>
              </w:rPr>
              <w:t xml:space="preserve">A fast-mover crosses the lead-time stockout threshold intraday</w:t>
            </w:r>
          </w:p>
        </w:tc>
        <w:tc>
          <w:tcPr>
            <w:tcW w:type="dxa" w:w="3200"/>
            <w:tcMar>
              <w:top w:type="dxa" w:w="80"/>
              <w:left w:type="dxa" w:w="100"/>
              <w:bottom w:type="dxa" w:w="80"/>
              <w:right w:type="dxa" w:w="100"/>
            </w:tcMar>
          </w:tcPr>
          <w:p>
            <w:r>
              <w:rPr>
                <w:b w:val="false"/>
                <w:bCs w:val="false"/>
                <w:color w:val="1A1A1A"/>
                <w:sz w:val="20"/>
                <w:szCs w:val="20"/>
              </w:rPr>
              <w:t xml:space="preserve">Item Detail screen</w:t>
            </w:r>
          </w:p>
        </w:tc>
      </w:tr>
      <w:tr>
        <w:tc>
          <w:tcPr>
            <w:tcW w:type="dxa" w:w="2200"/>
            <w:tcMar>
              <w:top w:type="dxa" w:w="80"/>
              <w:left w:type="dxa" w:w="100"/>
              <w:bottom w:type="dxa" w:w="80"/>
              <w:right w:type="dxa" w:w="100"/>
            </w:tcMar>
          </w:tcPr>
          <w:p>
            <w:r>
              <w:rPr>
                <w:b w:val="false"/>
                <w:bCs w:val="false"/>
                <w:color w:val="1A1A1A"/>
                <w:sz w:val="20"/>
                <w:szCs w:val="20"/>
              </w:rPr>
              <w:t xml:space="preserve">Overstock/expiry alert</w:t>
            </w:r>
          </w:p>
        </w:tc>
        <w:tc>
          <w:tcPr>
            <w:tcW w:type="dxa" w:w="3800"/>
            <w:tcMar>
              <w:top w:type="dxa" w:w="80"/>
              <w:left w:type="dxa" w:w="100"/>
              <w:bottom w:type="dxa" w:w="80"/>
              <w:right w:type="dxa" w:w="100"/>
            </w:tcMar>
          </w:tcPr>
          <w:p>
            <w:r>
              <w:rPr>
                <w:b w:val="false"/>
                <w:bCs w:val="false"/>
                <w:color w:val="1A1A1A"/>
                <w:sz w:val="20"/>
                <w:szCs w:val="20"/>
              </w:rPr>
              <w:t xml:space="preserve">A slow-mover or expiry-risk item is flagged</w:t>
            </w:r>
          </w:p>
        </w:tc>
        <w:tc>
          <w:tcPr>
            <w:tcW w:type="dxa" w:w="3200"/>
            <w:tcMar>
              <w:top w:type="dxa" w:w="80"/>
              <w:left w:type="dxa" w:w="100"/>
              <w:bottom w:type="dxa" w:w="80"/>
              <w:right w:type="dxa" w:w="100"/>
            </w:tcMar>
          </w:tcPr>
          <w:p>
            <w:r>
              <w:rPr>
                <w:b w:val="false"/>
                <w:bCs w:val="false"/>
                <w:color w:val="1A1A1A"/>
                <w:sz w:val="20"/>
                <w:szCs w:val="20"/>
              </w:rPr>
              <w:t xml:space="preserve">Overstock &amp; Expiry screen</w:t>
            </w:r>
          </w:p>
        </w:tc>
      </w:tr>
      <w:tr>
        <w:tc>
          <w:tcPr>
            <w:tcW w:type="dxa" w:w="2200"/>
            <w:tcMar>
              <w:top w:type="dxa" w:w="80"/>
              <w:left w:type="dxa" w:w="100"/>
              <w:bottom w:type="dxa" w:w="80"/>
              <w:right w:type="dxa" w:w="100"/>
            </w:tcMar>
          </w:tcPr>
          <w:p>
            <w:r>
              <w:rPr>
                <w:b w:val="false"/>
                <w:bCs w:val="false"/>
                <w:color w:val="1A1A1A"/>
                <w:sz w:val="20"/>
                <w:szCs w:val="20"/>
              </w:rPr>
              <w:t xml:space="preserve">Feedback prompt</w:t>
            </w:r>
          </w:p>
        </w:tc>
        <w:tc>
          <w:tcPr>
            <w:tcW w:type="dxa" w:w="3800"/>
            <w:tcMar>
              <w:top w:type="dxa" w:w="80"/>
              <w:left w:type="dxa" w:w="100"/>
              <w:bottom w:type="dxa" w:w="80"/>
              <w:right w:type="dxa" w:w="100"/>
            </w:tcMar>
          </w:tcPr>
          <w:p>
            <w:r>
              <w:rPr>
                <w:b w:val="false"/>
                <w:bCs w:val="false"/>
                <w:color w:val="1A1A1A"/>
                <w:sz w:val="20"/>
                <w:szCs w:val="20"/>
              </w:rPr>
              <w:t xml:space="preserve">A dismissed/heavily-edited recommendation qualifies (weekly job)</w:t>
            </w:r>
          </w:p>
        </w:tc>
        <w:tc>
          <w:tcPr>
            <w:tcW w:type="dxa" w:w="3200"/>
            <w:tcMar>
              <w:top w:type="dxa" w:w="80"/>
              <w:left w:type="dxa" w:w="100"/>
              <w:bottom w:type="dxa" w:w="80"/>
              <w:right w:type="dxa" w:w="100"/>
            </w:tcMar>
          </w:tcPr>
          <w:p>
            <w:r>
              <w:rPr>
                <w:b w:val="false"/>
                <w:bCs w:val="false"/>
                <w:color w:val="1A1A1A"/>
                <w:sz w:val="20"/>
                <w:szCs w:val="20"/>
              </w:rPr>
              <w:t xml:space="preserve">Feedback Prompt screen</w:t>
            </w:r>
          </w:p>
        </w:tc>
      </w:tr>
    </w:tbl>
    <w:p>
      <w:pPr>
        <w:pStyle w:val="Heading2"/>
        <w:spacing w:after="120" w:before="300"/>
      </w:pPr>
      <w:r>
        <w:t xml:space="preserve">8.2 Reliability Safeguards</w:t>
      </w:r>
    </w:p>
    <w:p>
      <w:pPr>
        <w:pStyle w:val="ListParagraph"/>
        <w:numPr>
          <w:ilvl w:val="0"/>
          <w:numId w:val="2"/>
        </w:numPr>
        <w:spacing w:after="80"/>
      </w:pPr>
      <w:r>
        <w:rPr>
          <w:sz w:val="21"/>
          <w:szCs w:val="21"/>
        </w:rPr>
        <w:t xml:space="preserve">Track sent/delivered/opened status per notification (NotificationLog, §6) — delivered without opened, over multiple consecutive days, is a proxy for a suppressed or ignored channel and should surface on an internal ops dashboard.</w:t>
      </w:r>
    </w:p>
    <w:p>
      <w:pPr>
        <w:pStyle w:val="ListParagraph"/>
        <w:numPr>
          <w:ilvl w:val="0"/>
          <w:numId w:val="2"/>
        </w:numPr>
        <w:spacing w:after="80"/>
      </w:pPr>
      <w:r>
        <w:rPr>
          <w:sz w:val="21"/>
          <w:szCs w:val="21"/>
        </w:rPr>
        <w:t xml:space="preserve">Onboarding flow requests notification permission explicitly and explains why it matters, rather than relying on the OS default prompt alone.</w:t>
      </w:r>
    </w:p>
    <w:p>
      <w:pPr>
        <w:pStyle w:val="ListParagraph"/>
        <w:numPr>
          <w:ilvl w:val="0"/>
          <w:numId w:val="2"/>
        </w:numPr>
        <w:spacing w:after="80"/>
      </w:pPr>
      <w:r>
        <w:rPr>
          <w:sz w:val="21"/>
          <w:szCs w:val="21"/>
        </w:rPr>
        <w:t xml:space="preserve">In-app fallback: even if a push notification is missed entirely, the Home/Today screen always reflects the current recommendation state on next open — the notification is a convenience trigger, not the only path to the data.</w:t>
      </w:r>
    </w:p>
    <w:p>
      <w:pPr>
        <w:pStyle w:val="ListParagraph"/>
        <w:numPr>
          <w:ilvl w:val="0"/>
          <w:numId w:val="2"/>
        </w:numPr>
        <w:spacing w:after="80"/>
      </w:pPr>
      <w:r>
        <w:rPr>
          <w:sz w:val="21"/>
          <w:szCs w:val="21"/>
        </w:rPr>
        <w:t xml:space="preserve">[To validate] Whether a secondary local reminder (an in-app scheduled notification independent of FCM) is worth building as a safety net for OEMs known to aggressively kill background delivery — to be assessed after Phase 0 delivery-rate data exists.</w:t>
      </w:r>
    </w:p>
    <w:p>
      <w:pPr>
        <w:pStyle w:val="Heading1"/>
        <w:pBdr>
          <w:bottom w:val="single" w:color="1F3864" w:sz="6" w:space="4"/>
        </w:pBdr>
        <w:spacing w:after="200" w:before="400"/>
      </w:pPr>
      <w:r>
        <w:t xml:space="preserve">9. Non-Functional Requirements</w:t>
      </w:r>
    </w:p>
    <w:p>
      <w:pPr>
        <w:pStyle w:val="Heading2"/>
        <w:spacing w:after="120" w:before="300"/>
      </w:pPr>
      <w:r>
        <w:t xml:space="preserve">9.1 Performance</w:t>
      </w:r>
    </w:p>
    <w:p>
      <w:pPr>
        <w:pStyle w:val="ListParagraph"/>
        <w:numPr>
          <w:ilvl w:val="0"/>
          <w:numId w:val="2"/>
        </w:numPr>
        <w:spacing w:after="80"/>
      </w:pPr>
      <w:r>
        <w:rPr>
          <w:sz w:val="21"/>
          <w:szCs w:val="21"/>
        </w:rPr>
        <w:t xml:space="preserve">App must remain usable on 2–3GB RAM Android devices — target cold-start under 3 seconds on a throttled 3G connection profile.</w:t>
      </w:r>
    </w:p>
    <w:p>
      <w:pPr>
        <w:pStyle w:val="ListParagraph"/>
        <w:numPr>
          <w:ilvl w:val="0"/>
          <w:numId w:val="2"/>
        </w:numPr>
        <w:spacing w:after="80"/>
      </w:pPr>
      <w:r>
        <w:rPr>
          <w:sz w:val="21"/>
          <w:szCs w:val="21"/>
        </w:rPr>
        <w:t xml:space="preserve">Nightly forecasting batch for the full pilot cohort must complete within an operational window that still allows same-morning notification delivery.</w:t>
      </w:r>
    </w:p>
    <w:p>
      <w:pPr>
        <w:pStyle w:val="Heading2"/>
        <w:spacing w:after="120" w:before="300"/>
      </w:pPr>
      <w:r>
        <w:t xml:space="preserve">9.2 Offline Tolerance [Pivot — elevated to core reliability requirement]</w:t>
      </w:r>
    </w:p>
    <w:p>
      <w:pPr>
        <w:pStyle w:val="ListParagraph"/>
        <w:numPr>
          <w:ilvl w:val="0"/>
          <w:numId w:val="2"/>
        </w:numPr>
        <w:spacing w:after="80"/>
      </w:pPr>
      <w:r>
        <w:rPr>
          <w:sz w:val="21"/>
          <w:szCs w:val="21"/>
        </w:rPr>
        <w:t xml:space="preserve">App caches the latest recommendation set and supports full read access with no connectivity; owner actions taken offline are queued and synced on reconnect.</w:t>
      </w:r>
    </w:p>
    <w:p>
      <w:pPr>
        <w:pStyle w:val="ListParagraph"/>
        <w:numPr>
          <w:ilvl w:val="0"/>
          <w:numId w:val="2"/>
        </w:numPr>
        <w:spacing w:after="80"/>
      </w:pPr>
      <w:r>
        <w:rPr>
          <w:sz w:val="21"/>
          <w:szCs w:val="21"/>
        </w:rPr>
        <w:t xml:space="preserve">Because there is no SMS/chat fallback in this edition, offline tolerance is the system's primary answer to connectivity gaps — it must be tested explicitly, not treated as a nice-to-have.</w:t>
      </w:r>
    </w:p>
    <w:p>
      <w:pPr>
        <w:pStyle w:val="Heading2"/>
        <w:spacing w:after="120" w:before="300"/>
      </w:pPr>
      <w:r>
        <w:t xml:space="preserve">9.3 Reliability [Pivot]</w:t>
      </w:r>
    </w:p>
    <w:p>
      <w:pPr>
        <w:pStyle w:val="ListParagraph"/>
        <w:numPr>
          <w:ilvl w:val="0"/>
          <w:numId w:val="2"/>
        </w:numPr>
        <w:spacing w:after="80"/>
      </w:pPr>
      <w:r>
        <w:rPr>
          <w:sz w:val="21"/>
          <w:szCs w:val="21"/>
        </w:rPr>
        <w:t xml:space="preserve">Push notification delivery/open rate is now the equivalent first-class metric that WhatsApp/SMS delivery reliability was in TRD v1.0 (§8.2).</w:t>
      </w:r>
    </w:p>
    <w:p>
      <w:pPr>
        <w:pStyle w:val="ListParagraph"/>
        <w:numPr>
          <w:ilvl w:val="0"/>
          <w:numId w:val="2"/>
        </w:numPr>
        <w:spacing w:after="80"/>
      </w:pPr>
      <w:r>
        <w:rPr>
          <w:sz w:val="21"/>
          <w:szCs w:val="21"/>
        </w:rPr>
        <w:t xml:space="preserve">Ingestion, forecasting, and notification remain decoupled via a queue so a failure or delay in one does not silently drop the others.</w:t>
      </w:r>
    </w:p>
    <w:p>
      <w:pPr>
        <w:pStyle w:val="Heading2"/>
        <w:spacing w:after="120" w:before="300"/>
      </w:pPr>
      <w:r>
        <w:t xml:space="preserve">9.4 Data Privacy &amp; Security</w:t>
      </w:r>
    </w:p>
    <w:p>
      <w:pPr>
        <w:pStyle w:val="ListParagraph"/>
        <w:numPr>
          <w:ilvl w:val="0"/>
          <w:numId w:val="2"/>
        </w:numPr>
        <w:spacing w:after="80"/>
      </w:pPr>
      <w:r>
        <w:rPr>
          <w:sz w:val="21"/>
          <w:szCs w:val="21"/>
        </w:rPr>
        <w:t xml:space="preserve">Store-level sales data access control unchanged: enforced at the API layer keyed on store_id, distributor/brand access gated exclusively through ConsentRecord.</w:t>
      </w:r>
    </w:p>
    <w:p>
      <w:pPr>
        <w:pStyle w:val="ListParagraph"/>
        <w:numPr>
          <w:ilvl w:val="0"/>
          <w:numId w:val="2"/>
        </w:numPr>
        <w:spacing w:after="80"/>
      </w:pPr>
      <w:r>
        <w:rPr>
          <w:sz w:val="21"/>
          <w:szCs w:val="21"/>
        </w:rPr>
        <w:t xml:space="preserve">Data encrypted in transit (TLS) and at rest; OCR-submitted bill images retained only as long as needed and then purged/anonymized per a defined retention policy [To validate].</w:t>
      </w:r>
    </w:p>
    <w:p>
      <w:pPr>
        <w:pStyle w:val="Heading2"/>
        <w:spacing w:after="120" w:before="300"/>
      </w:pPr>
      <w:r>
        <w:t xml:space="preserve">9.5 Localization</w:t>
      </w:r>
    </w:p>
    <w:p>
      <w:pPr>
        <w:pStyle w:val="ListParagraph"/>
        <w:numPr>
          <w:ilvl w:val="0"/>
          <w:numId w:val="2"/>
        </w:numPr>
        <w:spacing w:after="80"/>
      </w:pPr>
      <w:r>
        <w:rPr>
          <w:sz w:val="21"/>
          <w:szCs w:val="21"/>
        </w:rPr>
        <w:t xml:space="preserve">All user-facing strings served from Android resource files plus a server-managed catalog for content not baked into the APK, so adding a language doesn't always require an app-store release.</w:t>
      </w:r>
    </w:p>
    <w:p>
      <w:pPr>
        <w:pStyle w:val="Heading2"/>
        <w:spacing w:after="120" w:before="300"/>
      </w:pPr>
      <w:r>
        <w:t xml:space="preserve">9.6 Cost-to-Serve [Pivot — simplified]</w:t>
      </w:r>
    </w:p>
    <w:p>
      <w:pPr>
        <w:pStyle w:val="ListParagraph"/>
        <w:numPr>
          <w:ilvl w:val="0"/>
          <w:numId w:val="2"/>
        </w:numPr>
        <w:spacing w:after="80"/>
      </w:pPr>
      <w:r>
        <w:rPr>
          <w:sz w:val="21"/>
          <w:szCs w:val="21"/>
        </w:rPr>
        <w:t xml:space="preserve">Removing WhatsApp Business API and SMS gateway costs eliminates the largest recurring per-message expense from the v1.0 cost model; FCM push notifications are free and uncapped.</w:t>
      </w:r>
    </w:p>
    <w:p>
      <w:pPr>
        <w:pStyle w:val="ListParagraph"/>
        <w:numPr>
          <w:ilvl w:val="0"/>
          <w:numId w:val="2"/>
        </w:numPr>
        <w:spacing w:after="80"/>
      </w:pPr>
      <w:r>
        <w:rPr>
          <w:sz w:val="21"/>
          <w:szCs w:val="21"/>
        </w:rPr>
        <w:t xml:space="preserve">Remaining variable-cost drivers: forecasting compute and OCR calls. Both should stay instrumented per store per month so unit economics remain visible ahead of scaling past the pilot (PRD §16).</w:t>
      </w:r>
    </w:p>
    <w:p>
      <w:pPr>
        <w:pStyle w:val="Heading2"/>
        <w:spacing w:after="120" w:before="300"/>
      </w:pPr>
      <w:r>
        <w:t xml:space="preserve">9.7 App Distribution &amp; Update Friction [Pivot — new]</w:t>
      </w:r>
    </w:p>
    <w:p>
      <w:pPr>
        <w:pStyle w:val="ListParagraph"/>
        <w:numPr>
          <w:ilvl w:val="0"/>
          <w:numId w:val="2"/>
        </w:numPr>
        <w:spacing w:after="80"/>
      </w:pPr>
      <w:r>
        <w:rPr>
          <w:sz w:val="21"/>
          <w:szCs w:val="21"/>
        </w:rPr>
        <w:t xml:space="preserve">APK/app-bundle size and update frequency must respect limited storage and patchy connectivity — an update an owner can't easily download is functionally equivalent to an outage.</w:t>
      </w:r>
    </w:p>
    <w:p>
      <w:pPr>
        <w:pStyle w:val="ListParagraph"/>
        <w:numPr>
          <w:ilvl w:val="0"/>
          <w:numId w:val="2"/>
        </w:numPr>
        <w:spacing w:after="80"/>
      </w:pPr>
      <w:r>
        <w:rPr>
          <w:sz w:val="21"/>
          <w:szCs w:val="21"/>
        </w:rPr>
        <w:t xml:space="preserve">Play Store review turnaround becomes a release-planning constraint that did not exist when WhatsApp template changes were the only external review dependency.</w:t>
      </w:r>
    </w:p>
    <w:p>
      <w:pPr>
        <w:pStyle w:val="Heading1"/>
        <w:pBdr>
          <w:bottom w:val="single" w:color="1F3864" w:sz="6" w:space="4"/>
        </w:pBdr>
        <w:spacing w:after="200" w:before="400"/>
      </w:pPr>
      <w:r>
        <w:t xml:space="preserve">10. App Install &amp; Onboarding Reliability [Pivot — new section]</w:t>
      </w:r>
    </w:p>
    <w:p>
      <w:pPr>
        <w:spacing w:after="160" w:line="276"/>
      </w:pPr>
      <w:r>
        <w:rPr>
          <w:sz w:val="21"/>
          <w:szCs w:val="21"/>
        </w:rPr>
        <w:t xml:space="preserve">This section exists specifically because PRD §14–§15 name app-install willingness as the single largest unvalidated assumption in this edition.</w:t>
      </w:r>
    </w:p>
    <w:p>
      <w:pPr>
        <w:pStyle w:val="ListParagraph"/>
        <w:numPr>
          <w:ilvl w:val="0"/>
          <w:numId w:val="2"/>
        </w:numPr>
        <w:spacing w:after="80"/>
      </w:pPr>
      <w:r>
        <w:rPr>
          <w:sz w:val="21"/>
          <w:szCs w:val="21"/>
        </w:rPr>
        <w:t xml:space="preserve">Instrument install-completion rate from the moment an owner starts onboarding (whether self-initiated or field-agent-assisted) through first successful app open (PRD §12 target: 70%+).</w:t>
      </w:r>
    </w:p>
    <w:p>
      <w:pPr>
        <w:pStyle w:val="ListParagraph"/>
        <w:numPr>
          <w:ilvl w:val="0"/>
          <w:numId w:val="2"/>
        </w:numPr>
        <w:spacing w:after="80"/>
      </w:pPr>
      <w:r>
        <w:rPr>
          <w:sz w:val="21"/>
          <w:szCs w:val="21"/>
        </w:rPr>
        <w:t xml:space="preserve">Instrument notification opt-in rate separately from install completion, since a completed install with denied notification permission still degrades the core daily-alert experience (PRD §12 target: 80%+ of installed stores).</w:t>
      </w:r>
    </w:p>
    <w:p>
      <w:pPr>
        <w:pStyle w:val="ListParagraph"/>
        <w:numPr>
          <w:ilvl w:val="0"/>
          <w:numId w:val="2"/>
        </w:numPr>
        <w:spacing w:after="80"/>
      </w:pPr>
      <w:r>
        <w:rPr>
          <w:sz w:val="21"/>
          <w:szCs w:val="21"/>
        </w:rPr>
        <w:t xml:space="preserve">Track InstallEvent records (§6) to make uninstalls visible as a churn signal — something the WhatsApp-first design never needed to track, since there was no equivalent “delete” action.</w:t>
      </w:r>
    </w:p>
    <w:p>
      <w:pPr>
        <w:pStyle w:val="ListParagraph"/>
        <w:numPr>
          <w:ilvl w:val="0"/>
          <w:numId w:val="2"/>
        </w:numPr>
        <w:spacing w:after="80"/>
      </w:pPr>
      <w:r>
        <w:rPr>
          <w:sz w:val="21"/>
          <w:szCs w:val="21"/>
        </w:rPr>
        <w:t xml:space="preserve">Support field-agent-assisted installation as a first-class onboarding path for Phase 0 (PRD §17), including a lightweight pre-install web preview so an owner can see value before committing to a download.</w:t>
      </w:r>
    </w:p>
    <w:p>
      <w:pPr>
        <w:pStyle w:val="Heading1"/>
        <w:pBdr>
          <w:bottom w:val="single" w:color="1F3864" w:sz="6" w:space="4"/>
        </w:pBdr>
        <w:spacing w:after="200" w:before="400"/>
      </w:pPr>
      <w:r>
        <w:t xml:space="preserve">11. Infrastructure &amp; Deployment</w:t>
      </w:r>
    </w:p>
    <w:p>
      <w:pPr>
        <w:pStyle w:val="Heading2"/>
        <w:spacing w:after="120" w:before="300"/>
      </w:pPr>
      <w:r>
        <w:t xml:space="preserve">11.1 Environments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Environment</w:t>
            </w:r>
          </w:p>
        </w:tc>
        <w:tc>
          <w:tcPr>
            <w:tcW w:type="dxa" w:w="6900"/>
            <w:shd w:fill="1F3864"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color w:val="1A1A1A"/>
                <w:sz w:val="20"/>
                <w:szCs w:val="20"/>
              </w:rPr>
              <w:t xml:space="preserve">Local/dev</w:t>
            </w:r>
          </w:p>
        </w:tc>
        <w:tc>
          <w:tcPr>
            <w:tcW w:type="dxa" w:w="6900"/>
            <w:tcMar>
              <w:top w:type="dxa" w:w="80"/>
              <w:left w:type="dxa" w:w="100"/>
              <w:bottom w:type="dxa" w:w="80"/>
              <w:right w:type="dxa" w:w="100"/>
            </w:tcMar>
          </w:tcPr>
          <w:p>
            <w:r>
              <w:rPr>
                <w:b w:val="false"/>
                <w:bCs w:val="false"/>
                <w:color w:val="1A1A1A"/>
                <w:sz w:val="20"/>
                <w:szCs w:val="20"/>
              </w:rPr>
              <w:t xml:space="preserve">Individual developer work; mocked FCM and OCR providers</w:t>
            </w:r>
          </w:p>
        </w:tc>
      </w:tr>
      <w:tr>
        <w:tc>
          <w:tcPr>
            <w:tcW w:type="dxa" w:w="2600"/>
            <w:tcMar>
              <w:top w:type="dxa" w:w="80"/>
              <w:left w:type="dxa" w:w="100"/>
              <w:bottom w:type="dxa" w:w="80"/>
              <w:right w:type="dxa" w:w="100"/>
            </w:tcMar>
          </w:tcPr>
          <w:p>
            <w:r>
              <w:rPr>
                <w:b w:val="false"/>
                <w:bCs w:val="false"/>
                <w:color w:val="1A1A1A"/>
                <w:sz w:val="20"/>
                <w:szCs w:val="20"/>
              </w:rPr>
              <w:t xml:space="preserve">Staging</w:t>
            </w:r>
          </w:p>
        </w:tc>
        <w:tc>
          <w:tcPr>
            <w:tcW w:type="dxa" w:w="6900"/>
            <w:tcMar>
              <w:top w:type="dxa" w:w="80"/>
              <w:left w:type="dxa" w:w="100"/>
              <w:bottom w:type="dxa" w:w="80"/>
              <w:right w:type="dxa" w:w="100"/>
            </w:tcMar>
          </w:tcPr>
          <w:p>
            <w:r>
              <w:rPr>
                <w:b w:val="false"/>
                <w:bCs w:val="false"/>
                <w:color w:val="1A1A1A"/>
                <w:sz w:val="20"/>
                <w:szCs w:val="20"/>
              </w:rPr>
              <w:t xml:space="preserve">Pilot-city rehearsal — real FCM sandbox, synthetic store data, internal test track for the Android app</w:t>
            </w:r>
          </w:p>
        </w:tc>
      </w:tr>
      <w:tr>
        <w:tc>
          <w:tcPr>
            <w:tcW w:type="dxa" w:w="2600"/>
            <w:tcMar>
              <w:top w:type="dxa" w:w="80"/>
              <w:left w:type="dxa" w:w="100"/>
              <w:bottom w:type="dxa" w:w="80"/>
              <w:right w:type="dxa" w:w="100"/>
            </w:tcMar>
          </w:tcPr>
          <w:p>
            <w:r>
              <w:rPr>
                <w:b w:val="false"/>
                <w:bCs w:val="false"/>
                <w:color w:val="1A1A1A"/>
                <w:sz w:val="20"/>
                <w:szCs w:val="20"/>
              </w:rPr>
              <w:t xml:space="preserve">Production — Pilot</w:t>
            </w:r>
          </w:p>
        </w:tc>
        <w:tc>
          <w:tcPr>
            <w:tcW w:type="dxa" w:w="6900"/>
            <w:tcMar>
              <w:top w:type="dxa" w:w="80"/>
              <w:left w:type="dxa" w:w="100"/>
              <w:bottom w:type="dxa" w:w="80"/>
              <w:right w:type="dxa" w:w="100"/>
            </w:tcMar>
          </w:tcPr>
          <w:p>
            <w:r>
              <w:rPr>
                <w:b w:val="false"/>
                <w:bCs w:val="false"/>
                <w:color w:val="1A1A1A"/>
                <w:sz w:val="20"/>
                <w:szCs w:val="20"/>
              </w:rPr>
              <w:t xml:space="preserve">Phase 0 cohort (20–50 stores, 1 city) — closed/internal testing track, closely monitored</w:t>
            </w:r>
          </w:p>
        </w:tc>
      </w:tr>
      <w:tr>
        <w:tc>
          <w:tcPr>
            <w:tcW w:type="dxa" w:w="2600"/>
            <w:tcMar>
              <w:top w:type="dxa" w:w="80"/>
              <w:left w:type="dxa" w:w="100"/>
              <w:bottom w:type="dxa" w:w="80"/>
              <w:right w:type="dxa" w:w="100"/>
            </w:tcMar>
          </w:tcPr>
          <w:p>
            <w:r>
              <w:rPr>
                <w:b w:val="false"/>
                <w:bCs w:val="false"/>
                <w:color w:val="1A1A1A"/>
                <w:sz w:val="20"/>
                <w:szCs w:val="20"/>
              </w:rPr>
              <w:t xml:space="preserve">Production — MVP</w:t>
            </w:r>
          </w:p>
        </w:tc>
        <w:tc>
          <w:tcPr>
            <w:tcW w:type="dxa" w:w="6900"/>
            <w:tcMar>
              <w:top w:type="dxa" w:w="80"/>
              <w:left w:type="dxa" w:w="100"/>
              <w:bottom w:type="dxa" w:w="80"/>
              <w:right w:type="dxa" w:w="100"/>
            </w:tcMar>
          </w:tcPr>
          <w:p>
            <w:r>
              <w:rPr>
                <w:b w:val="false"/>
                <w:bCs w:val="false"/>
                <w:color w:val="1A1A1A"/>
                <w:sz w:val="20"/>
                <w:szCs w:val="20"/>
              </w:rPr>
              <w:t xml:space="preserve">Phase 1 (200–500 stores, 2–3 cities) — public or open-testing Play Store release</w:t>
            </w:r>
          </w:p>
        </w:tc>
      </w:tr>
    </w:tbl>
    <w:p>
      <w:pPr>
        <w:pStyle w:val="Heading2"/>
        <w:spacing w:after="120" w:before="300"/>
      </w:pPr>
      <w:r>
        <w:t xml:space="preserve">11.2 Deployment Approach</w:t>
      </w:r>
    </w:p>
    <w:p>
      <w:pPr>
        <w:pStyle w:val="ListParagraph"/>
        <w:numPr>
          <w:ilvl w:val="0"/>
          <w:numId w:val="2"/>
        </w:numPr>
        <w:spacing w:after="80"/>
      </w:pPr>
      <w:r>
        <w:rPr>
          <w:sz w:val="21"/>
          <w:szCs w:val="21"/>
        </w:rPr>
        <w:t xml:space="preserve">Backend: containerized services deployed via CI/CD, environment-specific config for FCM credentials and feature flags — unchanged from v1.0.</w:t>
      </w:r>
    </w:p>
    <w:p>
      <w:pPr>
        <w:pStyle w:val="ListParagraph"/>
        <w:numPr>
          <w:ilvl w:val="0"/>
          <w:numId w:val="2"/>
        </w:numPr>
        <w:spacing w:after="80"/>
      </w:pPr>
      <w:r>
        <w:rPr>
          <w:sz w:val="21"/>
          <w:szCs w:val="21"/>
        </w:rPr>
        <w:t xml:space="preserve">[Pivot, new] Android app: separate release pipeline through Google Play (internal testing → closed testing → production tracks), which introduces review turnaround as a new dependency in the release calendar that a WhatsApp template update never had.</w:t>
      </w:r>
    </w:p>
    <w:p>
      <w:pPr>
        <w:pStyle w:val="ListParagraph"/>
        <w:numPr>
          <w:ilvl w:val="0"/>
          <w:numId w:val="2"/>
        </w:numPr>
        <w:spacing w:after="80"/>
      </w:pPr>
      <w:r>
        <w:rPr>
          <w:sz w:val="21"/>
          <w:szCs w:val="21"/>
        </w:rPr>
        <w:t xml:space="preserve">Forecasting batch jobs run as scheduled jobs, independently scalable from the API tier — unchanged.</w:t>
      </w:r>
    </w:p>
    <w:p>
      <w:pPr>
        <w:pStyle w:val="Heading1"/>
        <w:pBdr>
          <w:bottom w:val="single" w:color="1F3864" w:sz="6" w:space="4"/>
        </w:pBdr>
        <w:spacing w:after="200" w:before="400"/>
      </w:pPr>
      <w:r>
        <w:t xml:space="preserve">12. Testing Strategy</w:t>
      </w:r>
    </w:p>
    <w:p>
      <w:pPr>
        <w:pStyle w:val="ListParagraph"/>
        <w:numPr>
          <w:ilvl w:val="0"/>
          <w:numId w:val="2"/>
        </w:numPr>
        <w:spacing w:after="80"/>
      </w:pPr>
      <w:r>
        <w:rPr>
          <w:sz w:val="21"/>
          <w:szCs w:val="21"/>
        </w:rPr>
        <w:t xml:space="preserve">Unit tests for ingestion normalization, forecast post-processing, and recommendation rule logic — unchanged from v1.0.</w:t>
      </w:r>
    </w:p>
    <w:p>
      <w:pPr>
        <w:pStyle w:val="ListParagraph"/>
        <w:numPr>
          <w:ilvl w:val="0"/>
          <w:numId w:val="2"/>
        </w:numPr>
        <w:spacing w:after="80"/>
      </w:pPr>
      <w:r>
        <w:rPr>
          <w:sz w:val="21"/>
          <w:szCs w:val="21"/>
        </w:rPr>
        <w:t xml:space="preserve">Forecast accuracy backtesting against the PRD §12 MAPE target — unchanged.</w:t>
      </w:r>
    </w:p>
    <w:p>
      <w:pPr>
        <w:pStyle w:val="ListParagraph"/>
        <w:numPr>
          <w:ilvl w:val="0"/>
          <w:numId w:val="2"/>
        </w:numPr>
        <w:spacing w:after="80"/>
      </w:pPr>
      <w:r>
        <w:rPr>
          <w:sz w:val="21"/>
          <w:szCs w:val="21"/>
        </w:rPr>
        <w:t xml:space="preserve">[Pivot] Integration tests against the FCM sandbox, including failure-path tests: denied permission, force-stopped app, OEM battery-optimization simulation where feasible.</w:t>
      </w:r>
    </w:p>
    <w:p>
      <w:pPr>
        <w:pStyle w:val="ListParagraph"/>
        <w:numPr>
          <w:ilvl w:val="0"/>
          <w:numId w:val="2"/>
        </w:numPr>
        <w:spacing w:after="80"/>
      </w:pPr>
      <w:r>
        <w:rPr>
          <w:sz w:val="21"/>
          <w:szCs w:val="21"/>
        </w:rPr>
        <w:t xml:space="preserve">[Pivot, new] Install-flow testing on representative low-end/budget Android devices and OEM skins (not just emulators) specifically for install friction and notification suppression — this is now core QA scope, not an edge case.</w:t>
      </w:r>
    </w:p>
    <w:p>
      <w:pPr>
        <w:pStyle w:val="ListParagraph"/>
        <w:numPr>
          <w:ilvl w:val="0"/>
          <w:numId w:val="2"/>
        </w:numPr>
        <w:spacing w:after="80"/>
      </w:pPr>
      <w:r>
        <w:rPr>
          <w:sz w:val="21"/>
          <w:szCs w:val="21"/>
        </w:rPr>
        <w:t xml:space="preserve">Field testing on representative low-end Android hardware and throttled network conditions.</w:t>
      </w:r>
    </w:p>
    <w:p>
      <w:pPr>
        <w:pStyle w:val="ListParagraph"/>
        <w:numPr>
          <w:ilvl w:val="0"/>
          <w:numId w:val="2"/>
        </w:numPr>
        <w:spacing w:after="80"/>
      </w:pPr>
      <w:r>
        <w:rPr>
          <w:sz w:val="21"/>
          <w:szCs w:val="21"/>
        </w:rPr>
        <w:t xml:space="preserve">Localization QA: every supported language reviewed by a native speaker for the store's region.</w:t>
      </w:r>
    </w:p>
    <w:p>
      <w:pPr>
        <w:pStyle w:val="Heading1"/>
        <w:pBdr>
          <w:bottom w:val="single" w:color="1F3864" w:sz="6" w:space="4"/>
        </w:pBdr>
        <w:spacing w:after="200" w:before="400"/>
      </w:pPr>
      <w:r>
        <w:t xml:space="preserve">13. Phase-by-Phase Technical Notes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Phase (PRD §17)</w:t>
            </w:r>
          </w:p>
        </w:tc>
        <w:tc>
          <w:tcPr>
            <w:tcW w:type="dxa" w:w="6900"/>
            <w:shd w:fill="1F3864" w:val="clear"/>
            <w:tcMar>
              <w:top w:type="dxa" w:w="80"/>
              <w:left w:type="dxa" w:w="100"/>
              <w:bottom w:type="dxa" w:w="80"/>
              <w:right w:type="dxa" w:w="100"/>
            </w:tcMar>
          </w:tcPr>
          <w:p>
            <w:r>
              <w:rPr>
                <w:b/>
                <w:bCs/>
                <w:color w:val="FFFFFF"/>
                <w:sz w:val="20"/>
                <w:szCs w:val="20"/>
              </w:rPr>
              <w:t xml:space="preserve">Technical focus</w:t>
            </w:r>
          </w:p>
        </w:tc>
      </w:tr>
      <w:tr>
        <w:tc>
          <w:tcPr>
            <w:tcW w:type="dxa" w:w="2600"/>
            <w:tcMar>
              <w:top w:type="dxa" w:w="80"/>
              <w:left w:type="dxa" w:w="100"/>
              <w:bottom w:type="dxa" w:w="80"/>
              <w:right w:type="dxa" w:w="100"/>
            </w:tcMar>
          </w:tcPr>
          <w:p>
            <w:r>
              <w:rPr>
                <w:b w:val="false"/>
                <w:bCs w:val="false"/>
                <w:color w:val="1A1A1A"/>
                <w:sz w:val="20"/>
                <w:szCs w:val="20"/>
              </w:rPr>
              <w:t xml:space="preserve">Phase 0 — Pilot</w:t>
            </w:r>
          </w:p>
        </w:tc>
        <w:tc>
          <w:tcPr>
            <w:tcW w:type="dxa" w:w="6900"/>
            <w:tcMar>
              <w:top w:type="dxa" w:w="80"/>
              <w:left w:type="dxa" w:w="100"/>
              <w:bottom w:type="dxa" w:w="80"/>
              <w:right w:type="dxa" w:w="100"/>
            </w:tcMar>
          </w:tcPr>
          <w:p>
            <w:r>
              <w:rPr>
                <w:b w:val="false"/>
                <w:bCs w:val="false"/>
                <w:color w:val="1A1A1A"/>
                <w:sz w:val="20"/>
                <w:szCs w:val="20"/>
              </w:rPr>
              <w:t xml:space="preserve">[Pivot] Prove forecast accuracy AND app install/retention viability together; heavy instrumentation on install-completion, notification opt-in, and forecast-vs-actual; field-agent-assisted install tooling</w:t>
            </w:r>
          </w:p>
        </w:tc>
      </w:tr>
      <w:tr>
        <w:tc>
          <w:tcPr>
            <w:tcW w:type="dxa" w:w="2600"/>
            <w:tcMar>
              <w:top w:type="dxa" w:w="80"/>
              <w:left w:type="dxa" w:w="100"/>
              <w:bottom w:type="dxa" w:w="80"/>
              <w:right w:type="dxa" w:w="100"/>
            </w:tcMar>
          </w:tcPr>
          <w:p>
            <w:r>
              <w:rPr>
                <w:b w:val="false"/>
                <w:bCs w:val="false"/>
                <w:color w:val="1A1A1A"/>
                <w:sz w:val="20"/>
                <w:szCs w:val="20"/>
              </w:rPr>
              <w:t xml:space="preserve">Phase 1 — MVP launch</w:t>
            </w:r>
          </w:p>
        </w:tc>
        <w:tc>
          <w:tcPr>
            <w:tcW w:type="dxa" w:w="6900"/>
            <w:tcMar>
              <w:top w:type="dxa" w:w="80"/>
              <w:left w:type="dxa" w:w="100"/>
              <w:bottom w:type="dxa" w:w="80"/>
              <w:right w:type="dxa" w:w="100"/>
            </w:tcMar>
          </w:tcPr>
          <w:p>
            <w:r>
              <w:rPr>
                <w:b w:val="false"/>
                <w:bCs w:val="false"/>
                <w:color w:val="1A1A1A"/>
                <w:sz w:val="20"/>
                <w:szCs w:val="20"/>
              </w:rPr>
              <w:t xml:space="preserve">Harden the ingestion/forecast/push pipeline for 200–500 concurrent stores; move from closed to open Play Store testing</w:t>
            </w:r>
          </w:p>
        </w:tc>
      </w:tr>
      <w:tr>
        <w:tc>
          <w:tcPr>
            <w:tcW w:type="dxa" w:w="2600"/>
            <w:tcMar>
              <w:top w:type="dxa" w:w="80"/>
              <w:left w:type="dxa" w:w="100"/>
              <w:bottom w:type="dxa" w:w="80"/>
              <w:right w:type="dxa" w:w="100"/>
            </w:tcMar>
          </w:tcPr>
          <w:p>
            <w:r>
              <w:rPr>
                <w:b w:val="false"/>
                <w:bCs w:val="false"/>
                <w:color w:val="1A1A1A"/>
                <w:sz w:val="20"/>
                <w:szCs w:val="20"/>
              </w:rPr>
              <w:t xml:space="preserve">Phase 2 — Scale &amp; trust</w:t>
            </w:r>
          </w:p>
        </w:tc>
        <w:tc>
          <w:tcPr>
            <w:tcW w:type="dxa" w:w="6900"/>
            <w:tcMar>
              <w:top w:type="dxa" w:w="80"/>
              <w:left w:type="dxa" w:w="100"/>
              <w:bottom w:type="dxa" w:w="80"/>
              <w:right w:type="dxa" w:w="100"/>
            </w:tcMar>
          </w:tcPr>
          <w:p>
            <w:r>
              <w:rPr>
                <w:b w:val="false"/>
                <w:bCs w:val="false"/>
                <w:color w:val="1A1A1A"/>
                <w:sz w:val="20"/>
                <w:szCs w:val="20"/>
              </w:rPr>
              <w:t xml:space="preserve">Billing-app direct integrations, distributor order-list export polish, expanded languages; [Pivot] explicit checkpoint to reassess whether a hybrid WhatsApp layer should be reintroduced if Phase 0/1 install-friction data warrants it (PRD §17, §18)</w:t>
            </w:r>
          </w:p>
        </w:tc>
      </w:tr>
      <w:tr>
        <w:tc>
          <w:tcPr>
            <w:tcW w:type="dxa" w:w="2600"/>
            <w:tcMar>
              <w:top w:type="dxa" w:w="80"/>
              <w:left w:type="dxa" w:w="100"/>
              <w:bottom w:type="dxa" w:w="80"/>
              <w:right w:type="dxa" w:w="100"/>
            </w:tcMar>
          </w:tcPr>
          <w:p>
            <w:r>
              <w:rPr>
                <w:b w:val="false"/>
                <w:bCs w:val="false"/>
                <w:color w:val="1A1A1A"/>
                <w:sz w:val="20"/>
                <w:szCs w:val="20"/>
              </w:rPr>
              <w:t xml:space="preserve">Phase 3 — Platform</w:t>
            </w:r>
          </w:p>
        </w:tc>
        <w:tc>
          <w:tcPr>
            <w:tcW w:type="dxa" w:w="6900"/>
            <w:tcMar>
              <w:top w:type="dxa" w:w="80"/>
              <w:left w:type="dxa" w:w="100"/>
              <w:bottom w:type="dxa" w:w="80"/>
              <w:right w:type="dxa" w:w="100"/>
            </w:tcMar>
          </w:tcPr>
          <w:p>
            <w:r>
              <w:rPr>
                <w:b w:val="false"/>
                <w:bCs w:val="false"/>
                <w:color w:val="1A1A1A"/>
                <w:sz w:val="20"/>
                <w:szCs w:val="20"/>
              </w:rPr>
              <w:t xml:space="preserve">Voice input/output, multi-store owner support, external demand signals, potential ONDC integration</w:t>
            </w:r>
          </w:p>
        </w:tc>
      </w:tr>
    </w:tbl>
    <w:p>
      <w:pPr>
        <w:pStyle w:val="Heading1"/>
        <w:pBdr>
          <w:bottom w:val="single" w:color="1F3864" w:sz="6" w:space="4"/>
        </w:pBdr>
        <w:spacing w:after="200" w:before="400"/>
      </w:pPr>
      <w:r>
        <w:t xml:space="preserve">14. Open Technical Questions</w:t>
      </w:r>
    </w:p>
    <w:p>
      <w:pPr>
        <w:pStyle w:val="ListParagraph"/>
        <w:numPr>
          <w:ilvl w:val="0"/>
          <w:numId w:val="3"/>
        </w:numPr>
        <w:spacing w:after="80"/>
      </w:pPr>
      <w:r>
        <w:rPr>
          <w:sz w:val="21"/>
          <w:szCs w:val="21"/>
        </w:rPr>
        <w:t xml:space="preserve">[Most urgent] What install-completion and notification-opt-in rates does Phase 0 actually achieve, and at what threshold does the team fall back to a hybrid app+WhatsApp model rather than continuing app-only?</w:t>
      </w:r>
    </w:p>
    <w:p>
      <w:pPr>
        <w:pStyle w:val="ListParagraph"/>
        <w:numPr>
          <w:ilvl w:val="0"/>
          <w:numId w:val="3"/>
        </w:numPr>
        <w:spacing w:after="80"/>
      </w:pPr>
      <w:r>
        <w:rPr>
          <w:sz w:val="21"/>
          <w:szCs w:val="21"/>
        </w:rPr>
        <w:t xml:space="preserve">How aggressively do the OEMs common in the pilot cities (budget Android brands) throttle background FCM delivery, and does that require a local-notification safety net (§8.2)?</w:t>
      </w:r>
    </w:p>
    <w:p>
      <w:pPr>
        <w:pStyle w:val="ListParagraph"/>
        <w:numPr>
          <w:ilvl w:val="0"/>
          <w:numId w:val="3"/>
        </w:numPr>
        <w:spacing w:after="80"/>
      </w:pPr>
      <w:r>
        <w:rPr>
          <w:sz w:val="21"/>
          <w:szCs w:val="21"/>
        </w:rPr>
        <w:t xml:space="preserve">Build vs. partner for billing-app data import — unchanged open question from v1.0.</w:t>
      </w:r>
    </w:p>
    <w:p>
      <w:pPr>
        <w:pStyle w:val="ListParagraph"/>
        <w:numPr>
          <w:ilvl w:val="0"/>
          <w:numId w:val="3"/>
        </w:numPr>
        <w:spacing w:after="80"/>
      </w:pPr>
      <w:r>
        <w:rPr>
          <w:sz w:val="21"/>
          <w:szCs w:val="21"/>
        </w:rPr>
        <w:t xml:space="preserve">What OCR accuracy is achievable on handwritten Hindi/regional-script bills, now captured entirely through the in-app camera flow rather than a WhatsApp photo message — does the capture UX itself affect submission quality?</w:t>
      </w:r>
    </w:p>
    <w:p>
      <w:pPr>
        <w:pStyle w:val="ListParagraph"/>
        <w:numPr>
          <w:ilvl w:val="0"/>
          <w:numId w:val="3"/>
        </w:numPr>
        <w:spacing w:after="80"/>
      </w:pPr>
      <w:r>
        <w:rPr>
          <w:sz w:val="21"/>
          <w:szCs w:val="21"/>
        </w:rPr>
        <w:t xml:space="preserve">What data-retention window is appropriate for OCR-submitted bill images and raw sales data (legal/compliance sign-off before Phase 0)?</w:t>
      </w:r>
    </w:p>
    <w:p>
      <w:pPr>
        <w:pStyle w:val="ListParagraph"/>
        <w:numPr>
          <w:ilvl w:val="0"/>
          <w:numId w:val="3"/>
        </w:numPr>
        <w:spacing w:after="80"/>
      </w:pPr>
      <w:r>
        <w:rPr>
          <w:sz w:val="21"/>
          <w:szCs w:val="21"/>
        </w:rPr>
        <w:t xml:space="preserve">Should the consent/data-access layer for distributors (§5.8) be built out further in Phase 0/1, or is a minimal schema enough until Phase 2?</w:t>
      </w:r>
    </w:p>
    <w:p>
      <w:pPr>
        <w:pStyle w:val="ListParagraph"/>
        <w:numPr>
          <w:ilvl w:val="0"/>
          <w:numId w:val="3"/>
        </w:numPr>
        <w:spacing w:after="80"/>
      </w:pPr>
      <w:r>
        <w:rPr>
          <w:sz w:val="21"/>
          <w:szCs w:val="21"/>
        </w:rPr>
        <w:t xml:space="preserve">What is the realistic per-store monthly cost across OCR and compute now that WhatsApp/SMS fees are removed — does the simplified cost floor materially change the co-funded pricing conversation in PRD §16?</w:t>
      </w:r>
    </w:p>
    <w:p>
      <w:pPr>
        <w:pStyle w:val="ListParagraph"/>
        <w:numPr>
          <w:ilvl w:val="0"/>
          <w:numId w:val="3"/>
        </w:numPr>
        <w:spacing w:after="80"/>
      </w:pPr>
      <w:r>
        <w:rPr>
          <w:sz w:val="21"/>
          <w:szCs w:val="21"/>
        </w:rPr>
        <w:t xml:space="preserve">If a hybrid model is triggered by weak Phase 0 install data, does the architecture in §3 and §8 extend cleanly to add a WhatsApp notification layer back in, or does it require rework?</w:t>
      </w:r>
    </w:p>
    <w:p>
      <w:pPr>
        <w:shd w:fill="FCE4D6" w:val="clear"/>
        <w:spacing w:before="400"/>
      </w:pPr>
      <w:r>
        <w:rPr>
          <w:i/>
          <w:iCs/>
          <w:sz w:val="20"/>
          <w:szCs w:val="20"/>
        </w:rPr>
        <w:t xml:space="preserve">This TRD inherits PRD v1.2's central caveat: the app-only architecture rests on an unvalidated assumption about owner willingness to install and use a standalone app. Sections 8 and 10 exist specifically to instrument that assumption early, so Phase 0 produces a clear pass/fail signal before Phase 1 engineering investment scales up.</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Kirana-Napse — 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5B6"/>
      <w:sz w:val="25"/>
      <w:szCs w:val="25"/>
    </w:rPr>
  </w:style>
  <w:style w:type="paragraph" w:styleId="Heading3">
    <w:name w:val="Heading 3"/>
    <w:basedOn w:val="Normal"/>
    <w:next w:val="Normal"/>
    <w:qFormat/>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2026-08-24T18:07:00.505Z</dcterms:created>
  <dcterms:modified xsi:type="dcterms:W3CDTF">2026-08-24T18:07:00.518Z</dcterms:modified>
</cp:coreProperties>
</file>

<file path=docProps/custom.xml><?xml version="1.0" encoding="utf-8"?>
<Properties xmlns="http://schemas.openxmlformats.org/officeDocument/2006/custom-properties" xmlns:vt="http://schemas.openxmlformats.org/officeDocument/2006/docPropsVTypes"/>
</file>