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b/>
          <w:b/>
          <w:bCs/>
        </w:rPr>
      </w:pPr>
      <w:r>
        <w:rPr>
          <w:b/>
          <w:bCs/>
        </w:rPr>
        <w:t>2. Materiales y métodos</w:t>
      </w:r>
    </w:p>
    <w:p>
      <w:pPr>
        <w:pStyle w:val="Normal"/>
        <w:bidi w:val="0"/>
        <w:jc w:val="left"/>
        <w:rPr>
          <w:b/>
          <w:b/>
          <w:bCs/>
        </w:rPr>
      </w:pPr>
      <w:r>
        <w:rPr>
          <w:b/>
          <w:bCs/>
        </w:rPr>
      </w:r>
    </w:p>
    <w:p>
      <w:pPr>
        <w:pStyle w:val="Normal"/>
        <w:bidi w:val="0"/>
        <w:jc w:val="left"/>
        <w:rPr>
          <w:b/>
          <w:b/>
          <w:bCs/>
        </w:rPr>
      </w:pPr>
      <w:r>
        <w:rPr>
          <w:b/>
          <w:bCs/>
        </w:rPr>
        <w:t>2.1. Datos fenot</w:t>
      </w:r>
      <w:r>
        <w:rPr>
          <w:rFonts w:eastAsia="Noto Serif CJK SC" w:cs="Lohit Devanagari"/>
          <w:b/>
          <w:bCs/>
          <w:color w:val="auto"/>
          <w:kern w:val="2"/>
          <w:sz w:val="24"/>
          <w:szCs w:val="24"/>
          <w:lang w:val="es-ES" w:eastAsia="zh-CN" w:bidi="hi-IN"/>
        </w:rPr>
        <w:t>ípicos, genotípicos y de pedigrí</w:t>
      </w:r>
    </w:p>
    <w:p>
      <w:pPr>
        <w:pStyle w:val="Normal"/>
        <w:bidi w:val="0"/>
        <w:jc w:val="left"/>
        <w:rPr>
          <w:b/>
          <w:b/>
          <w:bCs/>
        </w:rPr>
      </w:pPr>
      <w:r>
        <w:rPr>
          <w:b/>
          <w:bCs/>
        </w:rPr>
      </w:r>
    </w:p>
    <w:p>
      <w:pPr>
        <w:pStyle w:val="Normal"/>
        <w:bidi w:val="0"/>
        <w:jc w:val="both"/>
        <w:rPr/>
      </w:pP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 xml:space="preserve">Se utilizó la información fenotípica de 108,819 bovinos de la raza Avileña-Negra Ibérica, nacidos entre los años 1,899 a 2,023, información que fue proporcionada por la Real Asociación de la Raza Avileña-Negra Ibérica (RAEANI). Los caracteres bajo análisis fueron el peso al destete (registrado en 64,519 individuos), la edad al primer parto (34,512 individuos) y el intervalo entre el primer y el segundo parto (16,726 individuos). </w:t>
      </w:r>
    </w:p>
    <w:p>
      <w:pPr>
        <w:pStyle w:val="Normal"/>
        <w:bidi w:val="0"/>
        <w:jc w:val="both"/>
        <w:rPr>
          <w:color w:val="000000"/>
          <w:sz w:val="24"/>
          <w:szCs w:val="24"/>
        </w:rPr>
      </w:pPr>
      <w:r>
        <w:rPr>
          <w:color w:val="000000"/>
          <w:sz w:val="24"/>
          <w:szCs w:val="24"/>
        </w:rPr>
      </w:r>
    </w:p>
    <w:p>
      <w:pPr>
        <w:pStyle w:val="Normal"/>
        <w:bidi w:val="0"/>
        <w:jc w:val="both"/>
        <w:rPr/>
      </w:pPr>
      <w:r>
        <w:rPr>
          <w:color w:val="000000"/>
          <w:sz w:val="24"/>
          <w:szCs w:val="24"/>
        </w:rPr>
        <w:t>La información genot</w:t>
      </w:r>
      <w:r>
        <w:rPr>
          <w:rFonts w:eastAsia="Noto Serif CJK SC" w:cs="Lohit Devanagari"/>
          <w:color w:val="000000"/>
          <w:kern w:val="2"/>
          <w:sz w:val="24"/>
          <w:szCs w:val="24"/>
          <w:lang w:val="es-ES" w:eastAsia="zh-CN" w:bidi="hi-IN"/>
        </w:rPr>
        <w:t xml:space="preserve">ípica ha sido recopilada utilizando distintos tipos de paneles. En total, 2,894 individuos fueron genotipados con el chip Axiom Bovine Genotyping versión 3 de Termofisher, de densidad media con 63,000 marcadores (50K), sobre la base del ensamblaje del genoma bovino </w:t>
      </w:r>
      <w:r>
        <w:rPr>
          <w:rFonts w:eastAsia="Noto Serif CJK SC" w:cs="Lohit Devanagari"/>
          <w:b w:val="false"/>
          <w:i w:val="false"/>
          <w:caps w:val="false"/>
          <w:smallCaps w:val="false"/>
          <w:color w:val="000000"/>
          <w:spacing w:val="0"/>
          <w:kern w:val="2"/>
          <w:sz w:val="24"/>
          <w:szCs w:val="24"/>
          <w:shd w:fill="auto" w:val="clear"/>
          <w:lang w:val="es-ES" w:eastAsia="zh-CN" w:bidi="hi-IN"/>
        </w:rPr>
        <w:t>ARS-UCS 1.2</w:t>
      </w:r>
      <w:r>
        <w:rPr>
          <w:rFonts w:eastAsia="Noto Serif CJK SC" w:cs="Lohit Devanagari"/>
          <w:color w:val="000000"/>
          <w:kern w:val="2"/>
          <w:sz w:val="24"/>
          <w:szCs w:val="24"/>
          <w:lang w:val="es-ES" w:eastAsia="zh-CN" w:bidi="hi-IN"/>
        </w:rPr>
        <w:t xml:space="preserve">. Además, </w:t>
      </w:r>
      <w:r>
        <w:rPr>
          <w:b w:val="false"/>
          <w:color w:val="000000"/>
          <w:sz w:val="24"/>
          <w:szCs w:val="24"/>
          <w:shd w:fill="auto" w:val="clear"/>
        </w:rPr>
        <w:t>284 individuos fueron genoti</w:t>
      </w:r>
      <w:r>
        <w:rPr>
          <w:rFonts w:eastAsia="Noto Serif CJK SC" w:cs="Lohit Devanagari"/>
          <w:b w:val="false"/>
          <w:color w:val="000000"/>
          <w:kern w:val="2"/>
          <w:sz w:val="24"/>
          <w:szCs w:val="24"/>
          <w:shd w:fill="auto" w:val="clear"/>
          <w:lang w:val="es-ES" w:eastAsia="zh-CN" w:bidi="hi-IN"/>
        </w:rPr>
        <w:t xml:space="preserve">pados utilizando el chip </w:t>
      </w:r>
      <w:r>
        <w:rPr>
          <w:rFonts w:eastAsia="Noto Serif CJK SC" w:cs="Lohit Devanagari"/>
          <w:b w:val="false"/>
          <w:i w:val="false"/>
          <w:caps w:val="false"/>
          <w:smallCaps w:val="false"/>
          <w:color w:val="000000"/>
          <w:spacing w:val="0"/>
          <w:kern w:val="2"/>
          <w:sz w:val="24"/>
          <w:szCs w:val="24"/>
          <w:shd w:fill="auto" w:val="clear"/>
          <w:lang w:val="es-ES" w:eastAsia="zh-CN" w:bidi="hi-IN"/>
        </w:rPr>
        <w:t>BovineHD BeadChip de Illumina con 777,000 marcadores (HD), basado en el ensamblaje UMD 3.1.</w:t>
      </w:r>
    </w:p>
    <w:p>
      <w:pPr>
        <w:pStyle w:val="Normal"/>
        <w:bidi w:val="0"/>
        <w:jc w:val="both"/>
        <w:rPr>
          <w:rFonts w:ascii="Liberation Serif" w:hAnsi="Liberation Serif" w:eastAsia="Noto Serif CJK SC" w:cs="Lohit Devanagari"/>
          <w:b w:val="false"/>
          <w:b w:val="false"/>
          <w:i w:val="false"/>
          <w:i w:val="false"/>
          <w:caps w:val="false"/>
          <w:smallCaps w:val="false"/>
          <w:color w:val="000000"/>
          <w:spacing w:val="0"/>
          <w:kern w:val="2"/>
          <w:sz w:val="24"/>
          <w:szCs w:val="24"/>
          <w:shd w:fill="auto" w:val="clear"/>
          <w:lang w:val="es-ES" w:eastAsia="zh-CN" w:bidi="hi-IN"/>
        </w:rPr>
      </w:pPr>
      <w:r>
        <w:rPr>
          <w:rFonts w:eastAsia="Noto Serif CJK SC" w:cs="Lohit Devanagari"/>
          <w:b w:val="false"/>
          <w:i w:val="false"/>
          <w:caps w:val="false"/>
          <w:smallCaps w:val="false"/>
          <w:color w:val="000000"/>
          <w:spacing w:val="0"/>
          <w:kern w:val="2"/>
          <w:sz w:val="24"/>
          <w:szCs w:val="24"/>
          <w:shd w:fill="auto" w:val="clear"/>
          <w:lang w:val="es-ES" w:eastAsia="zh-CN" w:bidi="hi-IN"/>
        </w:rPr>
      </w:r>
    </w:p>
    <w:p>
      <w:pPr>
        <w:pStyle w:val="Normal"/>
        <w:bidi w:val="0"/>
        <w:jc w:val="both"/>
        <w:rPr/>
      </w:pPr>
      <w:r>
        <w:rPr>
          <w:rFonts w:eastAsia="Noto Serif CJK SC" w:cs="Lohit Devanagari"/>
          <w:b w:val="false"/>
          <w:i w:val="false"/>
          <w:caps w:val="false"/>
          <w:smallCaps w:val="false"/>
          <w:color w:val="000000"/>
          <w:spacing w:val="0"/>
          <w:kern w:val="2"/>
          <w:sz w:val="24"/>
          <w:szCs w:val="24"/>
          <w:shd w:fill="auto" w:val="clear"/>
          <w:lang w:val="es-ES" w:eastAsia="zh-CN" w:bidi="hi-IN"/>
        </w:rPr>
        <w:t>Antes de proceder con la imputación, se realizó un control de calidad a cada chip por separado. Se eliminaron SNPs con frecuencia del alelo menor (MAF) inferior a 0.01 y equilibrio de Hardy-Weinberg con un valor p inferior a 0.00001, aunque para las muestras genotipadas en el segundo chip (BovineHD BeadChip) la MAF se estableció en 0.05. También se excluyeron marcadores e individuos con una tasa de llamada inferior a 0.9, y se eliminaron del análisis los marcadores que no estuvieron en los cromosomas autosómicos. El control de calidad se realizó utilizando el programa Plink (</w:t>
      </w:r>
      <w:r>
        <w:rPr>
          <w:rFonts w:eastAsia="Noto Serif CJK SC" w:cs="Lohit Devanagari"/>
          <w:b w:val="false"/>
          <w:i w:val="false"/>
          <w:caps w:val="false"/>
          <w:smallCaps w:val="false"/>
          <w:color w:val="000000"/>
          <w:spacing w:val="0"/>
          <w:kern w:val="2"/>
          <w:sz w:val="24"/>
          <w:szCs w:val="24"/>
          <w:shd w:fill="B2B2B2" w:val="clear"/>
          <w:lang w:val="es-ES" w:eastAsia="zh-CN" w:bidi="hi-IN"/>
        </w:rPr>
        <w:t>Purcell et al., 2007</w:t>
      </w:r>
      <w:r>
        <w:rPr>
          <w:rFonts w:eastAsia="Noto Serif CJK SC" w:cs="Lohit Devanagari"/>
          <w:b w:val="false"/>
          <w:i w:val="false"/>
          <w:caps w:val="false"/>
          <w:smallCaps w:val="false"/>
          <w:color w:val="000000"/>
          <w:spacing w:val="0"/>
          <w:kern w:val="2"/>
          <w:sz w:val="24"/>
          <w:szCs w:val="24"/>
          <w:shd w:fill="auto" w:val="clear"/>
          <w:lang w:val="es-ES" w:eastAsia="zh-CN" w:bidi="hi-IN"/>
        </w:rPr>
        <w:t>).</w:t>
      </w:r>
    </w:p>
    <w:p>
      <w:pPr>
        <w:pStyle w:val="Normal"/>
        <w:bidi w:val="0"/>
        <w:jc w:val="both"/>
        <w:rPr>
          <w:rFonts w:ascii="Liberation Serif" w:hAnsi="Liberation Serif" w:eastAsia="Noto Serif CJK SC" w:cs="Lohit Devanagari"/>
          <w:b w:val="false"/>
          <w:b w:val="false"/>
          <w:i w:val="false"/>
          <w:i w:val="false"/>
          <w:caps w:val="false"/>
          <w:smallCaps w:val="false"/>
          <w:color w:val="000000"/>
          <w:spacing w:val="0"/>
          <w:kern w:val="2"/>
          <w:sz w:val="24"/>
          <w:szCs w:val="24"/>
          <w:shd w:fill="auto" w:val="clear"/>
          <w:lang w:val="es-ES" w:eastAsia="zh-CN" w:bidi="hi-IN"/>
        </w:rPr>
      </w:pPr>
      <w:r>
        <w:rPr>
          <w:rFonts w:eastAsia="Noto Serif CJK SC" w:cs="Lohit Devanagari"/>
          <w:b w:val="false"/>
          <w:i w:val="false"/>
          <w:caps w:val="false"/>
          <w:smallCaps w:val="false"/>
          <w:color w:val="000000"/>
          <w:spacing w:val="0"/>
          <w:kern w:val="2"/>
          <w:sz w:val="24"/>
          <w:szCs w:val="24"/>
          <w:shd w:fill="auto" w:val="clear"/>
          <w:lang w:val="es-ES" w:eastAsia="zh-CN" w:bidi="hi-IN"/>
        </w:rPr>
      </w:r>
    </w:p>
    <w:p>
      <w:pPr>
        <w:pStyle w:val="Normal"/>
        <w:bidi w:val="0"/>
        <w:jc w:val="both"/>
        <w:rPr/>
      </w:pPr>
      <w:r>
        <w:rPr>
          <w:rFonts w:eastAsia="Noto Serif CJK SC" w:cs="Lohit Devanagari"/>
          <w:b w:val="false"/>
          <w:i w:val="false"/>
          <w:caps w:val="false"/>
          <w:smallCaps w:val="false"/>
          <w:color w:val="000000"/>
          <w:spacing w:val="0"/>
          <w:kern w:val="2"/>
          <w:sz w:val="24"/>
          <w:szCs w:val="24"/>
          <w:shd w:fill="auto" w:val="clear"/>
          <w:lang w:val="es-ES" w:eastAsia="zh-CN" w:bidi="hi-IN"/>
        </w:rPr>
        <w:t>Dado que uno de los objetivos de este estudio fue comparar marcadores de distinta densidad con el chip de media densidad (el más ampliamente utilizado para la predicción genómica en bovinos), la imputación en ambos paneles se baso en el mapa de 50K. En la imputación, las muestras genotipadas a 50K se imputaron a la densidad posterior al control de calidad de HD, y de manera similar, las muestras genotipadas a HD fueron imputadas a la densidad posterior al control de calidad de 50K. Todo ello empleando el programa Beagle versión 5.4 (</w:t>
      </w:r>
      <w:r>
        <w:rPr>
          <w:rFonts w:eastAsia="Noto Serif CJK SC" w:cs="Lohit Devanagari"/>
          <w:b w:val="false"/>
          <w:i w:val="false"/>
          <w:caps w:val="false"/>
          <w:smallCaps w:val="false"/>
          <w:color w:val="000000"/>
          <w:spacing w:val="0"/>
          <w:kern w:val="2"/>
          <w:sz w:val="24"/>
          <w:szCs w:val="24"/>
          <w:shd w:fill="B2B2B2" w:val="clear"/>
          <w:lang w:val="es-ES" w:eastAsia="zh-CN" w:bidi="hi-IN"/>
        </w:rPr>
        <w:t>Browning et al., 2018</w:t>
      </w:r>
      <w:r>
        <w:rPr>
          <w:rFonts w:eastAsia="Noto Serif CJK SC" w:cs="Lohit Devanagari"/>
          <w:b w:val="false"/>
          <w:i w:val="false"/>
          <w:caps w:val="false"/>
          <w:smallCaps w:val="false"/>
          <w:color w:val="000000"/>
          <w:spacing w:val="0"/>
          <w:kern w:val="2"/>
          <w:sz w:val="24"/>
          <w:szCs w:val="24"/>
          <w:shd w:fill="auto" w:val="clear"/>
          <w:lang w:val="es-ES" w:eastAsia="zh-CN" w:bidi="hi-IN"/>
        </w:rPr>
        <w:t>). En la figura a continuación se presentan los marcadores e individuos compartidos entre ambas densidades al momento de imputar.</w:t>
      </w:r>
    </w:p>
    <w:p>
      <w:pPr>
        <w:pStyle w:val="Normal"/>
        <w:bidi w:val="0"/>
        <w:jc w:val="both"/>
        <w:rPr>
          <w:rFonts w:ascii="Liberation Serif" w:hAnsi="Liberation Serif" w:eastAsia="Noto Serif CJK SC" w:cs="Lohit Devanagari"/>
          <w:b w:val="false"/>
          <w:b w:val="false"/>
          <w:bCs w:val="false"/>
          <w:i w:val="false"/>
          <w:i w:val="false"/>
          <w:caps w:val="false"/>
          <w:smallCaps w:val="false"/>
          <w:color w:val="000000"/>
          <w:spacing w:val="0"/>
          <w:kern w:val="2"/>
          <w:sz w:val="24"/>
          <w:szCs w:val="24"/>
          <w:u w:val="none"/>
          <w:shd w:fill="auto" w:val="clear"/>
          <w:lang w:val="es-ES" w:eastAsia="zh-CN" w:bidi="hi-IN"/>
        </w:rPr>
      </w:pPr>
      <w:r>
        <w:rPr>
          <w:rFonts w:eastAsia="Noto Serif CJK SC" w:cs="Lohit Devanagari"/>
          <w:b w:val="false"/>
          <w:bCs w:val="false"/>
          <w:i w:val="false"/>
          <w:caps w:val="false"/>
          <w:smallCaps w:val="false"/>
          <w:color w:val="000000"/>
          <w:spacing w:val="0"/>
          <w:kern w:val="2"/>
          <w:sz w:val="24"/>
          <w:szCs w:val="24"/>
          <w:u w:val="none"/>
          <w:shd w:fill="auto" w:val="clear"/>
          <w:lang w:val="es-ES" w:eastAsia="zh-CN" w:bidi="hi-IN"/>
        </w:rPr>
      </w:r>
    </w:p>
    <w:p>
      <w:pPr>
        <w:pStyle w:val="Normal"/>
        <w:bidi w:val="0"/>
        <w:jc w:val="both"/>
        <w:rPr>
          <w:rFonts w:ascii="Liberation Serif" w:hAnsi="Liberation Serif" w:eastAsia="Noto Serif CJK SC" w:cs="Lohit Devanagari"/>
          <w:b w:val="false"/>
          <w:b w:val="false"/>
          <w:bCs w:val="false"/>
          <w:i w:val="false"/>
          <w:i w:val="false"/>
          <w:caps w:val="false"/>
          <w:smallCaps w:val="false"/>
          <w:color w:val="000000"/>
          <w:spacing w:val="0"/>
          <w:kern w:val="2"/>
          <w:sz w:val="24"/>
          <w:szCs w:val="24"/>
          <w:u w:val="none"/>
          <w:shd w:fill="auto" w:val="clear"/>
          <w:lang w:val="es-ES" w:eastAsia="zh-CN" w:bidi="hi-IN"/>
        </w:rPr>
      </w:pPr>
      <w:r>
        <w:rPr>
          <w:rFonts w:eastAsia="Noto Serif CJK SC" w:cs="Lohit Devanagari"/>
          <w:b w:val="false"/>
          <w:bCs w:val="false"/>
          <w:i w:val="false"/>
          <w:caps w:val="false"/>
          <w:smallCaps w:val="false"/>
          <w:color w:val="000000"/>
          <w:spacing w:val="0"/>
          <w:kern w:val="2"/>
          <w:sz w:val="24"/>
          <w:szCs w:val="24"/>
          <w:u w:val="none"/>
          <w:shd w:fill="auto" w:val="clear"/>
          <w:lang w:val="es-ES" w:eastAsia="zh-CN" w:bidi="hi-I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161665"/>
            <wp:effectExtent l="0" t="0" r="0" b="0"/>
            <wp:wrapSquare wrapText="largest"/>
            <wp:docPr id="1"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 descr=""/>
                    <pic:cNvPicPr>
                      <a:picLocks noChangeAspect="1" noChangeArrowheads="1"/>
                    </pic:cNvPicPr>
                  </pic:nvPicPr>
                  <pic:blipFill>
                    <a:blip r:embed="rId2"/>
                    <a:stretch>
                      <a:fillRect/>
                    </a:stretch>
                  </pic:blipFill>
                  <pic:spPr bwMode="auto">
                    <a:xfrm>
                      <a:off x="0" y="0"/>
                      <a:ext cx="6332220" cy="3161665"/>
                    </a:xfrm>
                    <a:prstGeom prst="rect">
                      <a:avLst/>
                    </a:prstGeom>
                  </pic:spPr>
                </pic:pic>
              </a:graphicData>
            </a:graphic>
          </wp:anchor>
        </w:drawing>
      </w:r>
    </w:p>
    <w:p>
      <w:pPr>
        <w:pStyle w:val="Normal"/>
        <w:bidi w:val="0"/>
        <w:jc w:val="both"/>
        <w:rPr/>
      </w:pPr>
      <w:r>
        <w:rPr>
          <w:b/>
          <w:bCs/>
          <w:i w:val="false"/>
          <w:caps w:val="false"/>
          <w:smallCaps w:val="false"/>
          <w:color w:val="000000"/>
          <w:spacing w:val="0"/>
          <w:sz w:val="24"/>
          <w:szCs w:val="24"/>
        </w:rPr>
        <w:t>Figura 1.</w:t>
      </w:r>
      <w:r>
        <w:rPr>
          <w:b w:val="false"/>
          <w:bCs w:val="false"/>
          <w:i w:val="false"/>
          <w:caps w:val="false"/>
          <w:smallCaps w:val="false"/>
          <w:color w:val="000000"/>
          <w:spacing w:val="0"/>
          <w:sz w:val="24"/>
          <w:szCs w:val="24"/>
        </w:rPr>
        <w:t xml:space="preserve"> Diagrama de Venn que muestra marcadores (A) e individuos (B) únicos y compartidos entre distintos paneles de marcadores luego del control de calidad. Se identificaron marcadores como compartidos entre conjuntos de datos si la posición del marcador dentro del cromosoma, el alelo de referencia y el alelo alternativo eran idénticos.</w:t>
      </w:r>
    </w:p>
    <w:p>
      <w:pPr>
        <w:pStyle w:val="Normal"/>
        <w:bidi w:val="0"/>
        <w:jc w:val="both"/>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both"/>
        <w:rPr/>
      </w:pPr>
      <w:r>
        <w:rPr>
          <w:b w:val="false"/>
          <w:i w:val="false"/>
          <w:caps w:val="false"/>
          <w:smallCaps w:val="false"/>
          <w:color w:val="000000"/>
          <w:spacing w:val="0"/>
          <w:sz w:val="24"/>
          <w:szCs w:val="24"/>
        </w:rPr>
        <w:t>La precisión de la imputación se evaluó mediante el puntaje de calidad de la imputación (IQS) (</w:t>
      </w:r>
      <w:r>
        <w:rPr>
          <w:b w:val="false"/>
          <w:i w:val="false"/>
          <w:caps w:val="false"/>
          <w:smallCaps w:val="false"/>
          <w:color w:val="000000"/>
          <w:spacing w:val="0"/>
          <w:sz w:val="24"/>
          <w:szCs w:val="24"/>
          <w:shd w:fill="B2B2B2" w:val="clear"/>
        </w:rPr>
        <w:t>Lin et al., 2010</w:t>
      </w:r>
      <w:r>
        <w:rPr>
          <w:b w:val="false"/>
          <w:i w:val="false"/>
          <w:caps w:val="false"/>
          <w:smallCaps w:val="false"/>
          <w:color w:val="000000"/>
          <w:spacing w:val="0"/>
          <w:sz w:val="24"/>
          <w:szCs w:val="24"/>
        </w:rPr>
        <w:t>). El IQS es una tasa de concordancia ajustada al azar con una puntuación máxima de 1 y sin mínimo teórico, diseñado para evaluar la precisión de la imputación de cada marcador por separado. Para este objetivo, se realizó una validación cruzada repetida de k. Para el primer chip, los individuos genotipados se dividieron en ocho subconjuntos de datos de forma aleatoria y sin repetición. Luego, para hacer posible la comparación directa entre genotipos verdaderos e imputados, se enmascararon los marcadores con genotipos completos. Para el segundo chip, la precisión de la imputación se evaluó utilizando la misma metodología, lo que implicó enmascarar y posteriormente predecir los genotipos en un entorno de validación cruzada en el que fueron formados cuatro subconjuntos de datos de forma aleatoria y sin repetición. De esta forma, l</w:t>
      </w:r>
      <w:r>
        <w:rPr>
          <w:b w:val="false"/>
          <w:bCs w:val="false"/>
          <w:i w:val="false"/>
          <w:caps w:val="false"/>
          <w:smallCaps w:val="false"/>
          <w:color w:val="000000"/>
          <w:spacing w:val="0"/>
          <w:sz w:val="24"/>
          <w:szCs w:val="24"/>
          <w:u w:val="none"/>
          <w:shd w:fill="auto" w:val="clear"/>
        </w:rPr>
        <w:t>a precisión de la imputación mediante IQS osciló entre 0.90 y 0.98, lo que se consideró como una imputación precisa.</w:t>
      </w:r>
    </w:p>
    <w:p>
      <w:pPr>
        <w:pStyle w:val="Normal"/>
        <w:bidi w:val="0"/>
        <w:jc w:val="both"/>
        <w:rPr>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b w:val="false"/>
          <w:b w:val="false"/>
          <w:i w:val="false"/>
          <w:i w:val="false"/>
          <w:caps w:val="false"/>
          <w:smallCaps w:val="false"/>
          <w:color w:val="000000"/>
          <w:spacing w:val="0"/>
          <w:sz w:val="24"/>
          <w:szCs w:val="24"/>
        </w:rPr>
      </w:pPr>
      <w:r>
        <w:rPr>
          <w:rFonts w:eastAsia="Noto Serif CJK SC" w:cs="Lohit Devanagari"/>
          <w:b w:val="false"/>
          <w:bCs w:val="false"/>
          <w:i w:val="false"/>
          <w:caps w:val="false"/>
          <w:smallCaps w:val="false"/>
          <w:color w:val="000000"/>
          <w:spacing w:val="0"/>
          <w:kern w:val="2"/>
          <w:sz w:val="24"/>
          <w:szCs w:val="24"/>
          <w:u w:val="none"/>
          <w:shd w:fill="auto" w:val="clear"/>
          <w:lang w:val="es-ES" w:eastAsia="zh-CN" w:bidi="hi-IN"/>
        </w:rPr>
        <w:t xml:space="preserve">Con base en los anteriores procedimientos y medidas de control de calidad, los datos de 43,421 y de 579,424 marcadores, en </w:t>
      </w:r>
      <w:r>
        <w:rPr>
          <w:rFonts w:eastAsia="Noto Serif CJK SC" w:cs="Lohit Devanagari"/>
          <w:b w:val="false"/>
          <w:bCs w:val="false"/>
          <w:i w:val="false"/>
          <w:caps w:val="false"/>
          <w:smallCaps w:val="false"/>
          <w:color w:val="000000"/>
          <w:spacing w:val="0"/>
          <w:kern w:val="2"/>
          <w:sz w:val="24"/>
          <w:szCs w:val="24"/>
          <w:u w:val="none"/>
          <w:shd w:fill="F10D0C" w:val="clear"/>
          <w:lang w:val="es-ES" w:eastAsia="zh-CN" w:bidi="hi-IN"/>
        </w:rPr>
        <w:t>2970 individuos</w:t>
      </w:r>
      <w:r>
        <w:rPr>
          <w:rFonts w:eastAsia="Noto Serif CJK SC" w:cs="Lohit Devanagari"/>
          <w:b w:val="false"/>
          <w:bCs w:val="false"/>
          <w:i w:val="false"/>
          <w:caps w:val="false"/>
          <w:smallCaps w:val="false"/>
          <w:color w:val="000000"/>
          <w:spacing w:val="0"/>
          <w:kern w:val="2"/>
          <w:sz w:val="24"/>
          <w:szCs w:val="24"/>
          <w:u w:val="none"/>
          <w:shd w:fill="auto" w:val="clear"/>
          <w:lang w:val="es-ES" w:eastAsia="zh-CN" w:bidi="hi-IN"/>
        </w:rPr>
        <w:t>,  estuvieron disponibles para análisis posteriores.</w:t>
      </w:r>
    </w:p>
    <w:p>
      <w:pPr>
        <w:pStyle w:val="Normal"/>
        <w:bidi w:val="0"/>
        <w:jc w:val="both"/>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both"/>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t>Por otro lado, a partir del chip BovineHD BeadChip y utilizando el programa FastIndep (</w:t>
      </w:r>
      <w:r>
        <w:rPr>
          <w:b w:val="false"/>
          <w:i w:val="false"/>
          <w:caps w:val="false"/>
          <w:smallCaps w:val="false"/>
          <w:color w:val="000000"/>
          <w:spacing w:val="0"/>
          <w:sz w:val="24"/>
          <w:szCs w:val="24"/>
          <w:shd w:fill="999999" w:val="clear"/>
        </w:rPr>
        <w:t>Abraham y D</w:t>
      </w:r>
      <w:r>
        <w:rPr>
          <w:rFonts w:eastAsia="Noto Serif CJK SC" w:cs="Lohit Devanagari"/>
          <w:b w:val="false"/>
          <w:i w:val="false"/>
          <w:caps w:val="false"/>
          <w:smallCaps w:val="false"/>
          <w:color w:val="000000"/>
          <w:spacing w:val="0"/>
          <w:kern w:val="2"/>
          <w:sz w:val="24"/>
          <w:szCs w:val="24"/>
          <w:shd w:fill="999999" w:val="clear"/>
          <w:lang w:val="es-ES" w:eastAsia="zh-CN" w:bidi="hi-IN"/>
        </w:rPr>
        <w:t>í</w:t>
      </w:r>
      <w:r>
        <w:rPr>
          <w:b w:val="false"/>
          <w:i w:val="false"/>
          <w:caps w:val="false"/>
          <w:smallCaps w:val="false"/>
          <w:color w:val="000000"/>
          <w:spacing w:val="0"/>
          <w:sz w:val="24"/>
          <w:szCs w:val="24"/>
          <w:shd w:fill="999999" w:val="clear"/>
        </w:rPr>
        <w:t>az, 2014</w:t>
      </w:r>
      <w:r>
        <w:rPr>
          <w:b w:val="false"/>
          <w:i w:val="false"/>
          <w:caps w:val="false"/>
          <w:smallCaps w:val="false"/>
          <w:color w:val="000000"/>
          <w:spacing w:val="0"/>
          <w:sz w:val="24"/>
          <w:szCs w:val="24"/>
        </w:rPr>
        <w:t>) se derivó un conjunto de tag-SNPs y un conjunto de Singletons. Los tag-SNPs se definieron como aquellos con un desequilibrio de ligamiento (r</w:t>
      </w:r>
      <w:r>
        <w:rPr>
          <w:b w:val="false"/>
          <w:i w:val="false"/>
          <w:caps w:val="false"/>
          <w:smallCaps w:val="false"/>
          <w:color w:val="000000"/>
          <w:spacing w:val="0"/>
          <w:sz w:val="24"/>
          <w:szCs w:val="24"/>
          <w:vertAlign w:val="superscript"/>
        </w:rPr>
        <w:t>2</w:t>
      </w:r>
      <w:r>
        <w:rPr>
          <w:b w:val="false"/>
          <w:i w:val="false"/>
          <w:caps w:val="false"/>
          <w:smallCaps w:val="false"/>
          <w:color w:val="000000"/>
          <w:spacing w:val="0"/>
          <w:sz w:val="24"/>
          <w:szCs w:val="24"/>
        </w:rPr>
        <w:t>) mayor o igual a 0.8 entre marcadores, mientras que los singletons fueron aquellos con un r</w:t>
      </w:r>
      <w:r>
        <w:rPr>
          <w:b w:val="false"/>
          <w:i w:val="false"/>
          <w:caps w:val="false"/>
          <w:smallCaps w:val="false"/>
          <w:color w:val="000000"/>
          <w:spacing w:val="0"/>
          <w:sz w:val="24"/>
          <w:szCs w:val="24"/>
          <w:vertAlign w:val="superscript"/>
        </w:rPr>
        <w:t xml:space="preserve">2 </w:t>
      </w:r>
      <w:r>
        <w:rPr>
          <w:b w:val="false"/>
          <w:i w:val="false"/>
          <w:caps w:val="false"/>
          <w:smallCaps w:val="false"/>
          <w:color w:val="000000"/>
          <w:spacing w:val="0"/>
          <w:sz w:val="24"/>
          <w:szCs w:val="24"/>
        </w:rPr>
        <w:t xml:space="preserve">menor a 0.2. De este análisis se derivaron un total de 103,080 tag-SNPs y 128,660 Singletons. </w:t>
      </w:r>
      <w:r>
        <w:rPr>
          <w:b w:val="false"/>
          <w:i w:val="false"/>
          <w:caps w:val="false"/>
          <w:smallCaps w:val="false"/>
          <w:color w:val="000000"/>
          <w:spacing w:val="0"/>
          <w:sz w:val="24"/>
          <w:szCs w:val="24"/>
          <w:shd w:fill="999999" w:val="clear"/>
        </w:rPr>
        <w:t>D</w:t>
      </w:r>
      <w:r>
        <w:rPr>
          <w:rFonts w:eastAsia="Noto Serif CJK SC" w:cs="Lohit Devanagari"/>
          <w:b w:val="false"/>
          <w:i w:val="false"/>
          <w:caps w:val="false"/>
          <w:smallCaps w:val="false"/>
          <w:color w:val="000000"/>
          <w:spacing w:val="0"/>
          <w:kern w:val="2"/>
          <w:sz w:val="24"/>
          <w:szCs w:val="24"/>
          <w:shd w:fill="999999" w:val="clear"/>
          <w:lang w:val="es-ES" w:eastAsia="zh-CN" w:bidi="hi-IN"/>
        </w:rPr>
        <w:t>íaz et al. (2016)</w:t>
      </w:r>
      <w:r>
        <w:rPr>
          <w:rFonts w:eastAsia="Noto Serif CJK SC" w:cs="Lohit Devanagari"/>
          <w:b w:val="false"/>
          <w:i w:val="false"/>
          <w:caps w:val="false"/>
          <w:smallCaps w:val="false"/>
          <w:color w:val="000000"/>
          <w:spacing w:val="0"/>
          <w:kern w:val="2"/>
          <w:sz w:val="24"/>
          <w:szCs w:val="24"/>
          <w:shd w:fill="auto" w:val="clear"/>
          <w:lang w:val="es-ES" w:eastAsia="zh-CN" w:bidi="hi-IN"/>
        </w:rPr>
        <w:t xml:space="preserve"> describen es</w:t>
      </w:r>
      <w:r>
        <w:rPr>
          <w:rFonts w:eastAsia="Noto Serif CJK SC" w:cs="Lohit Devanagari"/>
          <w:b w:val="false"/>
          <w:i w:val="false"/>
          <w:caps w:val="false"/>
          <w:smallCaps w:val="false"/>
          <w:color w:val="000000"/>
          <w:spacing w:val="0"/>
          <w:kern w:val="2"/>
          <w:sz w:val="24"/>
          <w:szCs w:val="24"/>
          <w:lang w:val="es-ES" w:eastAsia="zh-CN" w:bidi="hi-IN"/>
        </w:rPr>
        <w:t>te análisis</w:t>
      </w:r>
      <w:r>
        <w:rPr>
          <w:b w:val="false"/>
          <w:i w:val="false"/>
          <w:caps w:val="false"/>
          <w:smallCaps w:val="false"/>
          <w:color w:val="000000"/>
          <w:spacing w:val="0"/>
          <w:sz w:val="24"/>
          <w:szCs w:val="24"/>
        </w:rPr>
        <w:t>.</w:t>
      </w:r>
    </w:p>
    <w:p>
      <w:pPr>
        <w:pStyle w:val="Normal"/>
        <w:bidi w:val="0"/>
        <w:jc w:val="both"/>
        <w:rPr>
          <w:b w:val="false"/>
          <w:b w:val="false"/>
          <w:i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Normal"/>
        <w:bidi w:val="0"/>
        <w:jc w:val="both"/>
        <w:rPr>
          <w:b/>
          <w:b/>
          <w:i w:val="false"/>
          <w:i w:val="false"/>
          <w:caps w:val="false"/>
          <w:smallCaps w:val="false"/>
          <w:color w:val="000000"/>
          <w:spacing w:val="0"/>
          <w:sz w:val="24"/>
          <w:szCs w:val="24"/>
        </w:rPr>
      </w:pPr>
      <w:r>
        <w:rPr>
          <w:b/>
          <w:bCs/>
          <w:i w:val="false"/>
          <w:caps w:val="false"/>
          <w:smallCaps w:val="false"/>
          <w:color w:val="000000"/>
          <w:spacing w:val="0"/>
          <w:sz w:val="24"/>
          <w:szCs w:val="24"/>
        </w:rPr>
        <w:t>2.2. Escenarios para la predicci</w:t>
      </w:r>
      <w:r>
        <w:rPr>
          <w:rFonts w:eastAsia="Noto Serif CJK SC" w:cs="Lohit Devanagari"/>
          <w:b/>
          <w:bCs/>
          <w:i w:val="false"/>
          <w:caps w:val="false"/>
          <w:smallCaps w:val="false"/>
          <w:color w:val="000000"/>
          <w:spacing w:val="0"/>
          <w:kern w:val="2"/>
          <w:sz w:val="24"/>
          <w:szCs w:val="24"/>
          <w:lang w:val="es-ES" w:eastAsia="zh-CN" w:bidi="hi-IN"/>
        </w:rPr>
        <w:t>ón</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jc w:val="both"/>
        <w:rPr>
          <w:b w:val="false"/>
          <w:b w:val="false"/>
          <w:bCs w:val="false"/>
          <w:i w:val="false"/>
          <w:i w:val="false"/>
          <w:caps w:val="false"/>
          <w:smallCaps w:val="false"/>
          <w:color w:val="000000"/>
          <w:spacing w:val="0"/>
          <w:sz w:val="24"/>
          <w:szCs w:val="24"/>
        </w:rPr>
      </w:pPr>
      <w:r>
        <w:rPr>
          <w:rFonts w:eastAsia="Noto Serif CJK SC" w:cs="Lohit Devanagari"/>
          <w:b w:val="false"/>
          <w:bCs w:val="false"/>
          <w:i w:val="false"/>
          <w:iCs w:val="false"/>
          <w:caps w:val="false"/>
          <w:smallCaps w:val="false"/>
          <w:color w:val="000000"/>
          <w:spacing w:val="0"/>
          <w:kern w:val="2"/>
          <w:sz w:val="24"/>
          <w:szCs w:val="24"/>
          <w:shd w:fill="auto" w:val="clear"/>
          <w:lang w:val="es-ES" w:eastAsia="zh-CN" w:bidi="hi-IN"/>
        </w:rPr>
        <w:t xml:space="preserve">Se evaluaron en total nueve escenarios en los que se utilizaron marcadores de distinta densidad. En los escenarios uno y dos (denominados como E1 y E2), la información genotípica consistió en 43,421 y 579,424 marcadores, respectivamente. Se considera que E1 es el escenario deseable, ya que en bovinos la predicción genómica se realiza principalmente utilizando una densidad media de marcadores. Basados en los tag-SNPs y Singletons mencionados anteriormente, se formaron cuatro escenarios adicionales: E3, E4, E5 y E6. En E3, la información genotípica estuvo constituida por los tag-SNPs presentes en E1, mientras que en E4 los genotipos consistieron de los tag-SNPs presentes en E2, resultando en densidades de 5,534 y 97,779 marcadores en E3 y E4, respectivamente. En los escenarios E5 y E6, la información genotípica incluyó tanto tag-SNPs como Singletons, resultando en densidades de 13,961 y 203,612 marcadores en E5 y E6, respectivamente. Los escenarios E3, E4, E5 y E6 se implementaron con el objetivo de evaluar la predicción genómica en contextos donde la información genotípica consiste en marcadores informativos (tag-SNPs) e independientes (Singletons). Adicionalmente, utilizando los genotipos en E1, se seleccionaron dos conjuntos de marcadores basados en dos criterios: SNPs distribuidos uniformemente e informativos (con MAF igual a 0.5), siguiendo una metodología similar a la de </w:t>
      </w:r>
      <w:r>
        <w:rPr>
          <w:rFonts w:eastAsia="Noto Serif CJK SC" w:cs="Lohit Devanagari"/>
          <w:b w:val="false"/>
          <w:bCs w:val="false"/>
          <w:i w:val="false"/>
          <w:iCs w:val="false"/>
          <w:caps w:val="false"/>
          <w:smallCaps w:val="false"/>
          <w:color w:val="000000"/>
          <w:spacing w:val="0"/>
          <w:kern w:val="2"/>
          <w:sz w:val="24"/>
          <w:szCs w:val="24"/>
          <w:shd w:fill="B2B2B2" w:val="clear"/>
          <w:lang w:val="es-ES" w:eastAsia="zh-CN" w:bidi="hi-IN"/>
        </w:rPr>
        <w:t>Rodriguez-Neira et al. (2022)</w:t>
      </w:r>
      <w:r>
        <w:rPr>
          <w:rFonts w:eastAsia="Noto Serif CJK SC" w:cs="Lohit Devanagari"/>
          <w:b w:val="false"/>
          <w:bCs w:val="false"/>
          <w:i w:val="false"/>
          <w:iCs w:val="false"/>
          <w:caps w:val="false"/>
          <w:smallCaps w:val="false"/>
          <w:color w:val="000000"/>
          <w:spacing w:val="0"/>
          <w:kern w:val="2"/>
          <w:sz w:val="24"/>
          <w:szCs w:val="24"/>
          <w:shd w:fill="auto" w:val="clear"/>
          <w:lang w:val="es-ES" w:eastAsia="zh-CN" w:bidi="hi-IN"/>
        </w:rPr>
        <w:t>. Esta selección se realizó utilizando el paquete de R selectSNPs (</w:t>
      </w:r>
      <w:r>
        <w:rPr>
          <w:rFonts w:eastAsia="Noto Serif CJK SC" w:cs="Lohit Devanagari"/>
          <w:b w:val="false"/>
          <w:bCs w:val="false"/>
          <w:i w:val="false"/>
          <w:iCs w:val="false"/>
          <w:caps w:val="false"/>
          <w:smallCaps w:val="false"/>
          <w:color w:val="000000"/>
          <w:spacing w:val="0"/>
          <w:kern w:val="2"/>
          <w:sz w:val="24"/>
          <w:szCs w:val="24"/>
          <w:shd w:fill="B2B2B2" w:val="clear"/>
          <w:lang w:val="es-ES" w:eastAsia="zh-CN" w:bidi="hi-IN"/>
        </w:rPr>
        <w:t>Wu et al., 2020</w:t>
      </w:r>
      <w:r>
        <w:rPr>
          <w:rFonts w:eastAsia="Noto Serif CJK SC" w:cs="Lohit Devanagari"/>
          <w:b w:val="false"/>
          <w:bCs w:val="false"/>
          <w:i w:val="false"/>
          <w:iCs w:val="false"/>
          <w:caps w:val="false"/>
          <w:smallCaps w:val="false"/>
          <w:color w:val="000000"/>
          <w:spacing w:val="0"/>
          <w:kern w:val="2"/>
          <w:sz w:val="24"/>
          <w:szCs w:val="24"/>
          <w:shd w:fill="auto" w:val="clear"/>
          <w:lang w:val="es-ES" w:eastAsia="zh-CN" w:bidi="hi-IN"/>
        </w:rPr>
        <w:t xml:space="preserve">), lo que resultó en dos escenarios adicionales: E7 con una densidad de 5,000 marcadores y E8 con una densidad de 13,999 marcadores. </w:t>
      </w:r>
      <w:r>
        <w:rPr>
          <w:rFonts w:eastAsia="Noto Serif CJK SC" w:cs="Lohit Devanagari"/>
          <w:b w:val="false"/>
          <w:bCs w:val="false"/>
          <w:i w:val="false"/>
          <w:iCs w:val="false"/>
          <w:caps w:val="false"/>
          <w:smallCaps w:val="false"/>
          <w:color w:val="000000"/>
          <w:spacing w:val="0"/>
          <w:kern w:val="2"/>
          <w:sz w:val="24"/>
          <w:szCs w:val="24"/>
          <w:shd w:fill="F10D0C" w:val="clear"/>
          <w:lang w:val="es-ES" w:eastAsia="zh-CN" w:bidi="hi-IN"/>
        </w:rPr>
        <w:t>Por último, con el fin de comparar la predicción genómica al incluir información genómica se estableció el escenario E0 sin genotipos</w:t>
      </w:r>
      <w:r>
        <w:rPr>
          <w:rFonts w:eastAsia="Noto Serif CJK SC" w:cs="Lohit Devanagari"/>
          <w:b w:val="false"/>
          <w:bCs w:val="false"/>
          <w:i w:val="false"/>
          <w:iCs w:val="false"/>
          <w:caps w:val="false"/>
          <w:smallCaps w:val="false"/>
          <w:color w:val="000000"/>
          <w:spacing w:val="0"/>
          <w:kern w:val="2"/>
          <w:sz w:val="24"/>
          <w:szCs w:val="24"/>
          <w:shd w:fill="auto" w:val="clear"/>
          <w:lang w:val="es-ES" w:eastAsia="zh-CN" w:bidi="hi-IN"/>
        </w:rPr>
        <w:t>.</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jc w:val="both"/>
        <w:rPr>
          <w:b/>
          <w:b/>
          <w:bCs/>
          <w:i w:val="false"/>
          <w:i w:val="false"/>
          <w:caps w:val="false"/>
          <w:smallCaps w:val="false"/>
          <w:color w:val="000000"/>
          <w:spacing w:val="0"/>
          <w:sz w:val="24"/>
          <w:szCs w:val="24"/>
        </w:rPr>
      </w:pPr>
      <w:r>
        <w:rPr>
          <w:b/>
          <w:bCs/>
          <w:i w:val="false"/>
          <w:iCs w:val="false"/>
          <w:caps w:val="false"/>
          <w:smallCaps w:val="false"/>
          <w:color w:val="000000"/>
          <w:spacing w:val="0"/>
          <w:sz w:val="24"/>
          <w:szCs w:val="24"/>
          <w:shd w:fill="auto" w:val="clear"/>
        </w:rPr>
        <w:t xml:space="preserve">2.3. </w:t>
      </w:r>
      <w:r>
        <w:rPr>
          <w:b/>
          <w:bCs/>
          <w:i w:val="false"/>
          <w:iCs w:val="false"/>
          <w:caps w:val="false"/>
          <w:smallCaps w:val="false"/>
          <w:color w:val="000000"/>
          <w:spacing w:val="0"/>
          <w:sz w:val="24"/>
          <w:szCs w:val="24"/>
          <w:u w:val="none"/>
          <w:shd w:fill="auto" w:val="clear"/>
        </w:rPr>
        <w:t>Modelos de predicción</w:t>
      </w:r>
    </w:p>
    <w:p>
      <w:pPr>
        <w:pStyle w:val="Normal"/>
        <w:bidi w:val="0"/>
        <w:jc w:val="both"/>
        <w:rPr>
          <w:b/>
          <w:b/>
          <w:bCs/>
          <w:iCs w:val="false"/>
          <w:u w:val="none"/>
          <w:shd w:fill="auto" w:val="clear"/>
        </w:rPr>
      </w:pPr>
      <w:r>
        <w:rPr>
          <w:b/>
          <w:bCs/>
          <w:iCs w:val="false"/>
          <w:u w:val="none"/>
          <w:shd w:fill="auto" w:val="clear"/>
        </w:rPr>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Se utilizaron dos modelos diferentes. En el primer modelo, el carácter peso al destete se trato como una variable determinada no solo por el genotipo y las condiciones ambientales del propio individuo sino también por el de su madre (modelo animal con efecto materno). El mismo se describe a continuación.</w:t>
      </w:r>
    </w:p>
    <w:p>
      <w:pPr>
        <w:pStyle w:val="Normal"/>
        <w:bidi w:val="0"/>
        <w:jc w:val="both"/>
        <w:rPr>
          <w:iCs w:val="false"/>
          <w:u w:val="none"/>
          <w:shd w:fill="auto" w:val="clear"/>
        </w:rPr>
      </w:pPr>
      <w:r>
        <w:rPr>
          <w:iCs w:val="false"/>
          <w:u w:val="none"/>
          <w:shd w:fill="auto" w:val="clear"/>
        </w:rPr>
      </w:r>
    </w:p>
    <w:p>
      <w:pPr>
        <w:pStyle w:val="Normal"/>
        <w:bidi w:val="0"/>
        <w:jc w:val="left"/>
        <w:rPr>
          <w:b w:val="false"/>
          <w:b w:val="false"/>
          <w:bCs w:val="false"/>
          <w:i w:val="false"/>
          <w:i w:val="false"/>
          <w:caps w:val="false"/>
          <w:smallCaps w:val="false"/>
          <w:color w:val="000000"/>
          <w:spacing w:val="0"/>
          <w:sz w:val="24"/>
          <w:szCs w:val="24"/>
        </w:rPr>
      </w:pPr>
      <w:r>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w:rPr>
              <w:rFonts w:ascii="Cambria Math" w:hAnsi="Cambria Math"/>
            </w:rPr>
            <m:t xml:space="preserve">Xb</m:t>
          </m:r>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Z</m:t>
              </m:r>
            </m:e>
            <m:sub>
              <m:r>
                <w:rPr>
                  <w:rFonts w:ascii="Cambria Math" w:hAnsi="Cambria Math"/>
                </w:rPr>
                <m:t xml:space="preserve">2</m:t>
              </m:r>
            </m:sub>
          </m:sSub>
          <m:r>
            <w:rPr>
              <w:rFonts w:ascii="Cambria Math" w:hAnsi="Cambria Math"/>
            </w:rPr>
            <m:t xml:space="preserve">m</m:t>
          </m:r>
          <m:r>
            <w:rPr>
              <w:rFonts w:ascii="Cambria Math" w:hAnsi="Cambria Math"/>
            </w:rPr>
            <m:t xml:space="preserve">+</m:t>
          </m:r>
          <m:sSub>
            <m:e>
              <m:r>
                <w:rPr>
                  <w:rFonts w:ascii="Cambria Math" w:hAnsi="Cambria Math"/>
                </w:rPr>
                <m:t xml:space="preserve">Z</m:t>
              </m:r>
            </m:e>
            <m:sub>
              <m:r>
                <w:rPr>
                  <w:rFonts w:ascii="Cambria Math" w:hAnsi="Cambria Math"/>
                </w:rPr>
                <m:t xml:space="preserve">3</m:t>
              </m:r>
            </m:sub>
          </m:sSub>
          <m:r>
            <w:rPr>
              <w:rFonts w:ascii="Cambria Math" w:hAnsi="Cambria Math"/>
            </w:rPr>
            <m:t xml:space="preserve">c</m:t>
          </m:r>
          <m:r>
            <w:rPr>
              <w:rFonts w:ascii="Cambria Math" w:hAnsi="Cambria Math"/>
            </w:rPr>
            <m:t xml:space="preserve">+</m:t>
          </m:r>
          <m:r>
            <w:rPr>
              <w:rFonts w:ascii="Cambria Math" w:hAnsi="Cambria Math"/>
            </w:rPr>
            <m:t xml:space="preserve">e</m:t>
          </m:r>
        </m:oMath>
      </m:oMathPara>
    </w:p>
    <w:p>
      <w:pPr>
        <w:pStyle w:val="Normal"/>
        <w:bidi w:val="0"/>
        <w:jc w:val="both"/>
        <w:rPr>
          <w:iCs w:val="false"/>
          <w:u w:val="none"/>
          <w:shd w:fill="auto" w:val="clear"/>
        </w:rPr>
      </w:pPr>
      <w:r>
        <w:rPr>
          <w:iCs w:val="false"/>
          <w:u w:val="none"/>
          <w:shd w:fill="auto" w:val="clear"/>
        </w:rPr>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 xml:space="preserve">donde </w:t>
      </w:r>
      <w:r>
        <w:rPr/>
      </w:r>
      <m:oMath xmlns:m="http://schemas.openxmlformats.org/officeDocument/2006/math">
        <m:r>
          <w:rPr>
            <w:rFonts w:ascii="Cambria Math" w:hAnsi="Cambria Math"/>
          </w:rPr>
          <m:t xml:space="preserve">y</m:t>
        </m:r>
      </m:oMath>
      <w:r>
        <w:rPr>
          <w:b w:val="false"/>
          <w:bCs w:val="false"/>
          <w:i w:val="false"/>
          <w:iCs w:val="false"/>
          <w:caps w:val="false"/>
          <w:smallCaps w:val="false"/>
          <w:color w:val="000000"/>
          <w:spacing w:val="0"/>
          <w:sz w:val="24"/>
          <w:szCs w:val="24"/>
          <w:u w:val="none"/>
          <w:shd w:fill="auto" w:val="clear"/>
        </w:rPr>
        <w:t xml:space="preserve"> es el vector de observaciones para el carácter, </w:t>
      </w:r>
      <w:r>
        <w:rPr/>
      </w:r>
      <m:oMath xmlns:m="http://schemas.openxmlformats.org/officeDocument/2006/math">
        <m:r>
          <w:rPr>
            <w:rFonts w:ascii="Cambria Math" w:hAnsi="Cambria Math"/>
          </w:rPr>
          <m:t xml:space="preserve">b</m:t>
        </m:r>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r>
          <w:rPr>
            <w:rFonts w:ascii="Cambria Math" w:hAnsi="Cambria Math"/>
          </w:rPr>
          <m:t xml:space="preserve">a</m:t>
        </m:r>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r>
          <w:rPr>
            <w:rFonts w:ascii="Cambria Math" w:hAnsi="Cambria Math"/>
          </w:rPr>
          <m:t xml:space="preserve">m</m:t>
        </m:r>
      </m:oMath>
      <w:r>
        <w:rPr>
          <w:b w:val="false"/>
          <w:bCs w:val="false"/>
          <w:i w:val="false"/>
          <w:iCs w:val="false"/>
          <w:caps w:val="false"/>
          <w:smallCaps w:val="false"/>
          <w:color w:val="000000"/>
          <w:spacing w:val="0"/>
          <w:sz w:val="24"/>
          <w:szCs w:val="24"/>
          <w:u w:val="none"/>
          <w:shd w:fill="auto" w:val="clear"/>
        </w:rPr>
        <w:t xml:space="preserve"> y </w:t>
      </w:r>
      <w:r>
        <w:rPr/>
      </w:r>
      <m:oMath xmlns:m="http://schemas.openxmlformats.org/officeDocument/2006/math">
        <m:r>
          <w:rPr>
            <w:rFonts w:ascii="Cambria Math" w:hAnsi="Cambria Math"/>
          </w:rPr>
          <m:t xml:space="preserve">c</m:t>
        </m:r>
      </m:oMath>
      <w:r>
        <w:rPr>
          <w:b w:val="false"/>
          <w:bCs w:val="false"/>
          <w:i w:val="false"/>
          <w:iCs w:val="false"/>
          <w:caps w:val="false"/>
          <w:smallCaps w:val="false"/>
          <w:color w:val="000000"/>
          <w:spacing w:val="0"/>
          <w:sz w:val="24"/>
          <w:szCs w:val="24"/>
          <w:u w:val="none"/>
          <w:shd w:fill="auto" w:val="clear"/>
        </w:rPr>
        <w:t xml:space="preserve">  son los vectores de efectos fijos, efectos genéticos directos, efectos genéticos maternos y efectos ambientales permanentes maternos, respectivamente, siendo </w:t>
      </w:r>
      <w:r>
        <w:rPr/>
      </w:r>
      <m:oMath xmlns:m="http://schemas.openxmlformats.org/officeDocument/2006/math">
        <m:r>
          <w:rPr>
            <w:rFonts w:ascii="Cambria Math" w:hAnsi="Cambria Math"/>
          </w:rPr>
          <m:t xml:space="preserve">X</m:t>
        </m:r>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sSub>
          <m:e>
            <m:r>
              <w:rPr>
                <w:rFonts w:ascii="Cambria Math" w:hAnsi="Cambria Math"/>
              </w:rPr>
              <m:t xml:space="preserve">Z</m:t>
            </m:r>
          </m:e>
          <m:sub>
            <m:r>
              <w:rPr>
                <w:rFonts w:ascii="Cambria Math" w:hAnsi="Cambria Math"/>
              </w:rPr>
              <m:t xml:space="preserve">1</m:t>
            </m:r>
          </m:sub>
        </m:sSub>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sSub>
          <m:e>
            <m:r>
              <w:rPr>
                <w:rFonts w:ascii="Cambria Math" w:hAnsi="Cambria Math"/>
              </w:rPr>
              <m:t xml:space="preserve">Z</m:t>
            </m:r>
          </m:e>
          <m:sub>
            <m:r>
              <w:rPr>
                <w:rFonts w:ascii="Cambria Math" w:hAnsi="Cambria Math"/>
              </w:rPr>
              <m:t xml:space="preserve">2</m:t>
            </m:r>
          </m:sub>
        </m:sSub>
      </m:oMath>
      <w:r>
        <w:rPr>
          <w:b w:val="false"/>
          <w:bCs w:val="false"/>
          <w:i w:val="false"/>
          <w:iCs w:val="false"/>
          <w:caps w:val="false"/>
          <w:smallCaps w:val="false"/>
          <w:color w:val="000000"/>
          <w:spacing w:val="0"/>
          <w:sz w:val="24"/>
          <w:szCs w:val="24"/>
          <w:u w:val="none"/>
          <w:shd w:fill="auto" w:val="clear"/>
        </w:rPr>
        <w:t xml:space="preserve"> y </w:t>
      </w:r>
      <w:r>
        <w:rPr/>
      </w:r>
      <m:oMath xmlns:m="http://schemas.openxmlformats.org/officeDocument/2006/math">
        <m:sSub>
          <m:e>
            <m:r>
              <w:rPr>
                <w:rFonts w:ascii="Cambria Math" w:hAnsi="Cambria Math"/>
              </w:rPr>
              <m:t xml:space="preserve">Z</m:t>
            </m:r>
          </m:e>
          <m:sub>
            <m:r>
              <w:rPr>
                <w:rFonts w:ascii="Cambria Math" w:hAnsi="Cambria Math"/>
              </w:rPr>
              <m:t xml:space="preserve">3</m:t>
            </m:r>
          </m:sub>
        </m:sSub>
      </m:oMath>
      <w:r>
        <w:rPr>
          <w:b w:val="false"/>
          <w:bCs w:val="false"/>
          <w:i w:val="false"/>
          <w:iCs w:val="false"/>
          <w:caps w:val="false"/>
          <w:smallCaps w:val="false"/>
          <w:color w:val="000000"/>
          <w:spacing w:val="0"/>
          <w:sz w:val="24"/>
          <w:szCs w:val="24"/>
          <w:u w:val="none"/>
          <w:shd w:fill="auto" w:val="clear"/>
        </w:rPr>
        <w:t xml:space="preserve"> las matrices de incidencias que relacionan a estos efectos con el vector de observaciones, y </w:t>
      </w:r>
      <w:r>
        <w:rPr/>
      </w:r>
      <m:oMath xmlns:m="http://schemas.openxmlformats.org/officeDocument/2006/math">
        <m:r>
          <w:rPr>
            <w:rFonts w:ascii="Cambria Math" w:hAnsi="Cambria Math"/>
          </w:rPr>
          <m:t xml:space="preserve">e</m:t>
        </m:r>
      </m:oMath>
      <w:r>
        <w:rPr>
          <w:b w:val="false"/>
          <w:bCs w:val="false"/>
          <w:i w:val="false"/>
          <w:iCs w:val="false"/>
          <w:caps w:val="false"/>
          <w:smallCaps w:val="false"/>
          <w:color w:val="000000"/>
          <w:spacing w:val="0"/>
          <w:sz w:val="24"/>
          <w:szCs w:val="24"/>
          <w:u w:val="none"/>
          <w:shd w:fill="auto" w:val="clear"/>
        </w:rPr>
        <w:t xml:space="preserve"> es el vector de efectos residuales.</w:t>
      </w:r>
    </w:p>
    <w:p>
      <w:pPr>
        <w:pStyle w:val="Normal"/>
        <w:bidi w:val="0"/>
        <w:jc w:val="both"/>
        <w:rPr>
          <w:iCs w:val="false"/>
          <w:u w:val="none"/>
          <w:shd w:fill="auto" w:val="clear"/>
        </w:rPr>
      </w:pPr>
      <w:r>
        <w:rPr>
          <w:iCs w:val="false"/>
          <w:u w:val="none"/>
          <w:shd w:fill="auto" w:val="clear"/>
        </w:rPr>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En el segundo modelo, los caracteres edad al primer parto e intervalo entre el primer y el segundo parto se trataron como caracteres correlacionados mediante un modelo animal bi-carácter descrito a continuación.</w:t>
      </w:r>
    </w:p>
    <w:p>
      <w:pPr>
        <w:pStyle w:val="Normal"/>
        <w:bidi w:val="0"/>
        <w:jc w:val="both"/>
        <w:rPr>
          <w:iCs w:val="false"/>
          <w:u w:val="none"/>
          <w:shd w:fill="auto" w:val="clear"/>
        </w:rPr>
      </w:pPr>
      <w:r>
        <w:rPr>
          <w:iCs w:val="false"/>
          <w:u w:val="none"/>
          <w:shd w:fill="auto" w:val="clear"/>
        </w:rPr>
      </w:r>
    </w:p>
    <w:p>
      <w:pPr>
        <w:pStyle w:val="Normal"/>
        <w:bidi w:val="0"/>
        <w:jc w:val="left"/>
        <w:rPr>
          <w:b w:val="false"/>
          <w:b w:val="false"/>
          <w:bCs w:val="false"/>
          <w:i w:val="false"/>
          <w:i w:val="false"/>
          <w:caps w:val="false"/>
          <w:smallCaps w:val="false"/>
          <w:color w:val="000000"/>
          <w:spacing w:val="0"/>
          <w:sz w:val="24"/>
          <w:szCs w:val="24"/>
        </w:rPr>
      </w:pPr>
      <w:r>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w:rPr>
              <w:rFonts w:ascii="Cambria Math" w:hAnsi="Cambria Math"/>
            </w:rPr>
            <m:t xml:space="preserve">Xb</m:t>
          </m:r>
          <m:r>
            <w:rPr>
              <w:rFonts w:ascii="Cambria Math" w:hAnsi="Cambria Math"/>
            </w:rPr>
            <m:t xml:space="preserve">+</m:t>
          </m:r>
          <m:sSub>
            <m:e>
              <m:r>
                <w:rPr>
                  <w:rFonts w:ascii="Cambria Math" w:hAnsi="Cambria Math"/>
                </w:rPr>
                <m:t xml:space="preserve">Z</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Z</m:t>
              </m:r>
            </m:e>
            <m:sub>
              <m:r>
                <w:rPr>
                  <w:rFonts w:ascii="Cambria Math" w:hAnsi="Cambria Math"/>
                </w:rPr>
                <m:t xml:space="preserve">4</m:t>
              </m:r>
            </m:sub>
          </m:sSub>
          <m:r>
            <w:rPr>
              <w:rFonts w:ascii="Cambria Math" w:hAnsi="Cambria Math"/>
            </w:rPr>
            <m:t xml:space="preserve">s</m:t>
          </m:r>
          <m:r>
            <w:rPr>
              <w:rFonts w:ascii="Cambria Math" w:hAnsi="Cambria Math"/>
            </w:rPr>
            <m:t xml:space="preserve">+</m:t>
          </m:r>
          <m:r>
            <w:rPr>
              <w:rFonts w:ascii="Cambria Math" w:hAnsi="Cambria Math"/>
            </w:rPr>
            <m:t xml:space="preserve">e</m:t>
          </m:r>
        </m:oMath>
      </m:oMathPara>
    </w:p>
    <w:p>
      <w:pPr>
        <w:pStyle w:val="Normal"/>
        <w:bidi w:val="0"/>
        <w:jc w:val="both"/>
        <w:rPr>
          <w:iCs w:val="false"/>
          <w:u w:val="none"/>
          <w:shd w:fill="auto" w:val="clear"/>
        </w:rPr>
      </w:pPr>
      <w:r>
        <w:rPr>
          <w:iCs w:val="false"/>
          <w:u w:val="none"/>
          <w:shd w:fill="auto" w:val="clear"/>
        </w:rPr>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 xml:space="preserve">donde </w:t>
      </w:r>
      <w:r>
        <w:rPr/>
      </w:r>
      <m:oMath xmlns:m="http://schemas.openxmlformats.org/officeDocument/2006/math">
        <m:r>
          <w:rPr>
            <w:rFonts w:ascii="Cambria Math" w:hAnsi="Cambria Math"/>
          </w:rPr>
          <m:t xml:space="preserve">y</m:t>
        </m:r>
      </m:oMath>
      <w:r>
        <w:rPr>
          <w:b w:val="false"/>
          <w:bCs w:val="false"/>
          <w:i w:val="false"/>
          <w:iCs w:val="false"/>
          <w:caps w:val="false"/>
          <w:smallCaps w:val="false"/>
          <w:color w:val="000000"/>
          <w:spacing w:val="0"/>
          <w:sz w:val="24"/>
          <w:szCs w:val="24"/>
          <w:u w:val="none"/>
          <w:shd w:fill="auto" w:val="clear"/>
        </w:rPr>
        <w:t xml:space="preserve"> es el vector de observaciones para los dos caracteres, </w:t>
      </w:r>
      <w:r>
        <w:rPr/>
      </w:r>
      <m:oMath xmlns:m="http://schemas.openxmlformats.org/officeDocument/2006/math">
        <m:r>
          <w:rPr>
            <w:rFonts w:ascii="Cambria Math" w:hAnsi="Cambria Math"/>
          </w:rPr>
          <m:t xml:space="preserve">b</m:t>
        </m:r>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r>
          <w:rPr>
            <w:rFonts w:ascii="Cambria Math" w:hAnsi="Cambria Math"/>
          </w:rPr>
          <m:t xml:space="preserve">a</m:t>
        </m:r>
      </m:oMath>
      <w:r>
        <w:rPr>
          <w:b w:val="false"/>
          <w:bCs w:val="false"/>
          <w:i w:val="false"/>
          <w:iCs w:val="false"/>
          <w:caps w:val="false"/>
          <w:smallCaps w:val="false"/>
          <w:color w:val="000000"/>
          <w:spacing w:val="0"/>
          <w:sz w:val="24"/>
          <w:szCs w:val="24"/>
          <w:u w:val="none"/>
          <w:shd w:fill="auto" w:val="clear"/>
        </w:rPr>
        <w:t xml:space="preserve"> y </w:t>
      </w:r>
      <w:r>
        <w:rPr/>
      </w:r>
      <m:oMath xmlns:m="http://schemas.openxmlformats.org/officeDocument/2006/math">
        <m:r>
          <w:rPr>
            <w:rFonts w:ascii="Cambria Math" w:hAnsi="Cambria Math"/>
          </w:rPr>
          <m:t xml:space="preserve">s</m:t>
        </m:r>
      </m:oMath>
      <w:r>
        <w:rPr>
          <w:b w:val="false"/>
          <w:bCs w:val="false"/>
          <w:i w:val="false"/>
          <w:iCs w:val="false"/>
          <w:caps w:val="false"/>
          <w:smallCaps w:val="false"/>
          <w:color w:val="000000"/>
          <w:spacing w:val="0"/>
          <w:sz w:val="24"/>
          <w:szCs w:val="24"/>
          <w:u w:val="none"/>
          <w:shd w:fill="auto" w:val="clear"/>
        </w:rPr>
        <w:t xml:space="preserve">  son los vectores de efectos fijos, efectos genéticos directos y efectos ambientales permanentes del toro, respectivamente, siendo  </w:t>
      </w:r>
      <w:r>
        <w:rPr/>
      </w:r>
      <m:oMath xmlns:m="http://schemas.openxmlformats.org/officeDocument/2006/math">
        <m:r>
          <w:rPr>
            <w:rFonts w:ascii="Cambria Math" w:hAnsi="Cambria Math"/>
          </w:rPr>
          <m:t xml:space="preserve">X</m:t>
        </m:r>
      </m:oMath>
      <w:r>
        <w:rPr>
          <w:b w:val="false"/>
          <w:bCs w:val="false"/>
          <w:i w:val="false"/>
          <w:iCs w:val="false"/>
          <w:caps w:val="false"/>
          <w:smallCaps w:val="false"/>
          <w:color w:val="000000"/>
          <w:spacing w:val="0"/>
          <w:sz w:val="24"/>
          <w:szCs w:val="24"/>
          <w:u w:val="none"/>
          <w:shd w:fill="auto" w:val="clear"/>
        </w:rPr>
        <w:t xml:space="preserve">, </w:t>
      </w:r>
      <w:r>
        <w:rPr/>
      </w:r>
      <m:oMath xmlns:m="http://schemas.openxmlformats.org/officeDocument/2006/math">
        <m:sSub>
          <m:e>
            <m:r>
              <w:rPr>
                <w:rFonts w:ascii="Cambria Math" w:hAnsi="Cambria Math"/>
              </w:rPr>
              <m:t xml:space="preserve">Z</m:t>
            </m:r>
          </m:e>
          <m:sub>
            <m:r>
              <w:rPr>
                <w:rFonts w:ascii="Cambria Math" w:hAnsi="Cambria Math"/>
              </w:rPr>
              <m:t xml:space="preserve">1</m:t>
            </m:r>
          </m:sub>
        </m:sSub>
      </m:oMath>
      <w:r>
        <w:rPr>
          <w:b w:val="false"/>
          <w:bCs w:val="false"/>
          <w:i w:val="false"/>
          <w:iCs w:val="false"/>
          <w:caps w:val="false"/>
          <w:smallCaps w:val="false"/>
          <w:color w:val="000000"/>
          <w:spacing w:val="0"/>
          <w:sz w:val="24"/>
          <w:szCs w:val="24"/>
          <w:u w:val="none"/>
          <w:shd w:fill="auto" w:val="clear"/>
        </w:rPr>
        <w:t xml:space="preserve"> y </w:t>
      </w:r>
      <w:r>
        <w:rPr/>
      </w:r>
      <m:oMath xmlns:m="http://schemas.openxmlformats.org/officeDocument/2006/math">
        <m:sSub>
          <m:e>
            <m:r>
              <w:rPr>
                <w:rFonts w:ascii="Cambria Math" w:hAnsi="Cambria Math"/>
              </w:rPr>
              <m:t xml:space="preserve">Z</m:t>
            </m:r>
          </m:e>
          <m:sub>
            <m:r>
              <w:rPr>
                <w:rFonts w:ascii="Cambria Math" w:hAnsi="Cambria Math"/>
              </w:rPr>
              <m:t xml:space="preserve">4</m:t>
            </m:r>
          </m:sub>
        </m:sSub>
      </m:oMath>
      <w:r>
        <w:rPr>
          <w:b w:val="false"/>
          <w:bCs w:val="false"/>
          <w:i w:val="false"/>
          <w:iCs w:val="false"/>
          <w:caps w:val="false"/>
          <w:smallCaps w:val="false"/>
          <w:color w:val="000000"/>
          <w:spacing w:val="0"/>
          <w:sz w:val="24"/>
          <w:szCs w:val="24"/>
          <w:u w:val="none"/>
          <w:shd w:fill="auto" w:val="clear"/>
        </w:rPr>
        <w:t xml:space="preserve"> las matrices de incidencia que relacionan dichos efectos con el vector de observaciones, respectivamente, y </w:t>
      </w:r>
      <w:r>
        <w:rPr/>
      </w:r>
      <m:oMath xmlns:m="http://schemas.openxmlformats.org/officeDocument/2006/math">
        <m:r>
          <w:rPr>
            <w:rFonts w:ascii="Cambria Math" w:hAnsi="Cambria Math"/>
          </w:rPr>
          <m:t xml:space="preserve">e</m:t>
        </m:r>
      </m:oMath>
      <w:r>
        <w:rPr>
          <w:b w:val="false"/>
          <w:bCs w:val="false"/>
          <w:i w:val="false"/>
          <w:iCs w:val="false"/>
          <w:caps w:val="false"/>
          <w:smallCaps w:val="false"/>
          <w:color w:val="000000"/>
          <w:spacing w:val="0"/>
          <w:sz w:val="24"/>
          <w:szCs w:val="24"/>
          <w:u w:val="none"/>
          <w:shd w:fill="auto" w:val="clear"/>
        </w:rPr>
        <w:t xml:space="preserve"> es el vector de efectos residuales.</w:t>
      </w:r>
    </w:p>
    <w:p>
      <w:pPr>
        <w:pStyle w:val="Normal"/>
        <w:bidi w:val="0"/>
        <w:jc w:val="both"/>
        <w:rPr>
          <w:iCs w:val="false"/>
          <w:u w:val="none"/>
          <w:shd w:fill="auto" w:val="clear"/>
        </w:rPr>
      </w:pPr>
      <w:r>
        <w:rPr>
          <w:iCs w:val="false"/>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iCs w:val="false"/>
          <w:caps w:val="false"/>
          <w:smallCaps w:val="false"/>
          <w:color w:val="000000"/>
          <w:spacing w:val="0"/>
          <w:sz w:val="24"/>
          <w:szCs w:val="24"/>
          <w:u w:val="none"/>
          <w:shd w:fill="auto" w:val="clear"/>
        </w:rPr>
        <w:t>Se utilizó el mejor predictor lineal insesgado genómico de un solo paso (ssGBLUP) implementado en el software BLUPF90 (</w:t>
      </w:r>
      <w:r>
        <w:rPr>
          <w:b w:val="false"/>
          <w:bCs w:val="false"/>
          <w:i w:val="false"/>
          <w:iCs w:val="false"/>
          <w:caps w:val="false"/>
          <w:smallCaps w:val="false"/>
          <w:color w:val="000000"/>
          <w:spacing w:val="0"/>
          <w:sz w:val="24"/>
          <w:szCs w:val="24"/>
          <w:u w:val="none"/>
          <w:shd w:fill="B2B2B2" w:val="clear"/>
        </w:rPr>
        <w:t>Aguilar et al., 2018</w:t>
      </w:r>
      <w:r>
        <w:rPr>
          <w:b w:val="false"/>
          <w:bCs w:val="false"/>
          <w:i w:val="false"/>
          <w:iCs w:val="false"/>
          <w:caps w:val="false"/>
          <w:smallCaps w:val="false"/>
          <w:color w:val="000000"/>
          <w:spacing w:val="0"/>
          <w:sz w:val="24"/>
          <w:szCs w:val="24"/>
          <w:u w:val="none"/>
          <w:shd w:fill="auto" w:val="clear"/>
        </w:rPr>
        <w:t>), para los escenarios E1 a E8 descritos en el apartado anterior, con el fin de obtener los valores mejorantes genómicos (GEBV). En el ssGBLUP, la inversa de la matriz de parentesco basado en información de pedigrí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es reemplazada por la inversa de la matriz de parentesco combinada (</w:t>
      </w:r>
      <w:r>
        <w:rPr/>
      </w:r>
      <m:oMath xmlns:m="http://schemas.openxmlformats.org/officeDocument/2006/math">
        <m:sSup>
          <m:e>
            <m:r>
              <w:rPr>
                <w:rFonts w:ascii="Cambria Math" w:hAnsi="Cambria Math"/>
              </w:rPr>
              <m:t xml:space="preserve">H</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xml:space="preserve">), que es una función de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xml:space="preserve"> y de la inversa de la matriz de parentesco basada en información genómica (</w:t>
      </w:r>
      <w:r>
        <w:rPr/>
      </w:r>
      <m:oMath xmlns:m="http://schemas.openxmlformats.org/officeDocument/2006/math">
        <m:sSup>
          <m:e>
            <m:r>
              <w:rPr>
                <w:rFonts w:ascii="Cambria Math" w:hAnsi="Cambria Math"/>
              </w:rPr>
              <m:t xml:space="preserve">G</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w:t>
      </w:r>
      <w:r>
        <w:rPr>
          <w:b w:val="false"/>
          <w:bCs w:val="false"/>
          <w:i w:val="false"/>
          <w:iCs w:val="false"/>
          <w:caps w:val="false"/>
          <w:smallCaps w:val="false"/>
          <w:color w:val="000000"/>
          <w:spacing w:val="0"/>
          <w:sz w:val="24"/>
          <w:szCs w:val="24"/>
          <w:u w:val="none"/>
          <w:shd w:fill="999999" w:val="clear"/>
        </w:rPr>
        <w:t>Misztal, Legarra y Aguilar, 2009</w:t>
      </w:r>
      <w:r>
        <w:rPr>
          <w:b w:val="false"/>
          <w:bCs w:val="false"/>
          <w:i w:val="false"/>
          <w:iCs w:val="false"/>
          <w:caps w:val="false"/>
          <w:smallCaps w:val="false"/>
          <w:color w:val="000000"/>
          <w:spacing w:val="0"/>
          <w:sz w:val="24"/>
          <w:szCs w:val="24"/>
          <w:u w:val="none"/>
          <w:shd w:fill="auto" w:val="clear"/>
        </w:rPr>
        <w:t>), y se define de la siguiente manera.</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left"/>
        <w:rPr>
          <w:rFonts w:ascii="Liberation Serif" w:hAnsi="Liberation Serif"/>
          <w:b w:val="false"/>
          <w:b w:val="false"/>
          <w:bCs w:val="false"/>
          <w:i w:val="false"/>
          <w:i w:val="false"/>
          <w:caps w:val="false"/>
          <w:smallCaps w:val="false"/>
          <w:color w:val="000000"/>
          <w:spacing w:val="0"/>
          <w:sz w:val="24"/>
          <w:szCs w:val="24"/>
          <w:u w:val="none"/>
          <w:shd w:fill="auto" w:val="clear"/>
        </w:rPr>
      </w:pPr>
      <w:r>
        <w:rPr/>
      </w:r>
      <m:oMathPara xmlns:m="http://schemas.openxmlformats.org/officeDocument/2006/math">
        <m:oMathParaPr>
          <m:jc m:val="left"/>
        </m:oMathParaPr>
        <m:oMath>
          <m:sSup>
            <m:e>
              <m:r>
                <w:rPr>
                  <w:rFonts w:ascii="Cambria Math" w:hAnsi="Cambria Math"/>
                </w:rPr>
                <m:t xml:space="preserve">H</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0</m:t>
                    </m:r>
                  </m:e>
                </m:mr>
                <m:mr>
                  <m:e>
                    <m:r>
                      <w:rPr>
                        <w:rFonts w:ascii="Cambria Math" w:hAnsi="Cambria Math"/>
                      </w:rPr>
                      <m:t xml:space="preserve">0</m:t>
                    </m:r>
                  </m:e>
                  <m:e>
                    <m:sSup>
                      <m:e>
                        <m:r>
                          <w:rPr>
                            <w:rFonts w:ascii="Cambria Math" w:hAnsi="Cambria Math"/>
                          </w:rPr>
                          <m:t xml:space="preserve">G</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bSup>
                      <m:e>
                        <m:r>
                          <w:rPr>
                            <w:rFonts w:ascii="Cambria Math" w:hAnsi="Cambria Math"/>
                          </w:rPr>
                          <m:t xml:space="preserve">A</m:t>
                        </m:r>
                      </m:e>
                      <m:sub>
                        <m:r>
                          <w:rPr>
                            <w:rFonts w:ascii="Cambria Math" w:hAnsi="Cambria Math"/>
                          </w:rPr>
                          <m:t xml:space="preserve">22</m:t>
                        </m:r>
                      </m:sub>
                      <m:sup>
                        <m:r>
                          <w:rPr>
                            <w:rFonts w:ascii="Cambria Math" w:hAnsi="Cambria Math"/>
                          </w:rPr>
                          <m:t xml:space="preserve">−</m:t>
                        </m:r>
                        <m:r>
                          <w:rPr>
                            <w:rFonts w:ascii="Cambria Math" w:hAnsi="Cambria Math"/>
                          </w:rPr>
                          <m:t xml:space="preserve">1</m:t>
                        </m:r>
                      </m:sup>
                    </m:sSubSup>
                  </m:e>
                </m:mr>
              </m:m>
            </m:e>
          </m:d>
        </m:oMath>
      </m:oMathPara>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iCs w:val="false"/>
          <w:caps w:val="false"/>
          <w:smallCaps w:val="false"/>
          <w:color w:val="000000"/>
          <w:spacing w:val="0"/>
          <w:sz w:val="24"/>
          <w:szCs w:val="24"/>
          <w:u w:val="none"/>
          <w:shd w:fill="auto" w:val="clear"/>
        </w:rPr>
        <w:t xml:space="preserve">donde </w:t>
      </w:r>
      <w:r>
        <w:rPr/>
      </w:r>
      <m:oMath xmlns:m="http://schemas.openxmlformats.org/officeDocument/2006/math">
        <m:sSubSup>
          <m:e>
            <m:r>
              <w:rPr>
                <w:rFonts w:ascii="Cambria Math" w:hAnsi="Cambria Math"/>
              </w:rPr>
              <m:t xml:space="preserve">A</m:t>
            </m:r>
          </m:e>
          <m:sub>
            <m:r>
              <w:rPr>
                <w:rFonts w:ascii="Cambria Math" w:hAnsi="Cambria Math"/>
              </w:rPr>
              <m:t xml:space="preserve">22</m:t>
            </m:r>
          </m:sub>
          <m:sup>
            <m:r>
              <w:rPr>
                <w:rFonts w:ascii="Cambria Math" w:hAnsi="Cambria Math"/>
              </w:rPr>
              <m:t xml:space="preserve">−</m:t>
            </m:r>
            <m:r>
              <w:rPr>
                <w:rFonts w:ascii="Cambria Math" w:hAnsi="Cambria Math"/>
              </w:rPr>
              <m:t xml:space="preserve">1</m:t>
            </m:r>
          </m:sup>
        </m:sSubSup>
      </m:oMath>
      <w:r>
        <w:rPr>
          <w:b w:val="false"/>
          <w:bCs w:val="false"/>
          <w:i w:val="false"/>
          <w:iCs w:val="false"/>
          <w:caps w:val="false"/>
          <w:smallCaps w:val="false"/>
          <w:color w:val="000000"/>
          <w:spacing w:val="0"/>
          <w:sz w:val="24"/>
          <w:szCs w:val="24"/>
          <w:u w:val="none"/>
          <w:shd w:fill="auto" w:val="clear"/>
        </w:rPr>
        <w:t xml:space="preserve"> es la inversa de la  matriz que contienen el parentesco basado en información genómica entre individuos con genotipo. La matriz </w:t>
      </w:r>
      <w:r>
        <w:rPr/>
      </w:r>
      <m:oMath xmlns:m="http://schemas.openxmlformats.org/officeDocument/2006/math">
        <m:r>
          <w:rPr>
            <w:rFonts w:ascii="Cambria Math" w:hAnsi="Cambria Math"/>
          </w:rPr>
          <m:t xml:space="preserve">G</m:t>
        </m:r>
      </m:oMath>
      <w:r>
        <w:rPr>
          <w:b w:val="false"/>
          <w:bCs w:val="false"/>
          <w:i w:val="false"/>
          <w:iCs w:val="false"/>
          <w:caps w:val="false"/>
          <w:smallCaps w:val="false"/>
          <w:color w:val="000000"/>
          <w:spacing w:val="0"/>
          <w:sz w:val="24"/>
          <w:szCs w:val="24"/>
          <w:u w:val="none"/>
          <w:shd w:fill="auto" w:val="clear"/>
        </w:rPr>
        <w:t xml:space="preserve"> se obtuvo según el método de </w:t>
      </w:r>
      <w:r>
        <w:rPr>
          <w:b w:val="false"/>
          <w:bCs w:val="false"/>
          <w:i w:val="false"/>
          <w:iCs w:val="false"/>
          <w:caps w:val="false"/>
          <w:smallCaps w:val="false"/>
          <w:color w:val="000000"/>
          <w:spacing w:val="0"/>
          <w:sz w:val="24"/>
          <w:szCs w:val="24"/>
          <w:u w:val="none"/>
          <w:shd w:fill="B2B2B2" w:val="clear"/>
        </w:rPr>
        <w:t>VanRaden (2008)</w:t>
      </w:r>
      <w:r>
        <w:rPr>
          <w:b w:val="false"/>
          <w:bCs w:val="false"/>
          <w:i w:val="false"/>
          <w:iCs w:val="false"/>
          <w:caps w:val="false"/>
          <w:smallCaps w:val="false"/>
          <w:color w:val="000000"/>
          <w:spacing w:val="0"/>
          <w:sz w:val="24"/>
          <w:szCs w:val="24"/>
          <w:u w:val="none"/>
          <w:shd w:fill="auto" w:val="clear"/>
        </w:rPr>
        <w:t xml:space="preserve">, es decir </w:t>
      </w:r>
      <w:r>
        <w:rPr/>
      </w:r>
      <m:oMath xmlns:m="http://schemas.openxmlformats.org/officeDocument/2006/math">
        <m:f>
          <m:num>
            <m:r>
              <w:rPr>
                <w:rFonts w:ascii="Cambria Math" w:hAnsi="Cambria Math"/>
              </w:rPr>
              <m:t xml:space="preserve">MM</m:t>
            </m:r>
            <m:r>
              <w:rPr>
                <w:rFonts w:ascii="Cambria Math" w:hAnsi="Cambria Math"/>
              </w:rPr>
              <m:t xml:space="preserve">'</m:t>
            </m:r>
          </m:num>
          <m:den>
            <m:r>
              <w:rPr>
                <w:rFonts w:ascii="Cambria Math" w:hAnsi="Cambria Math"/>
              </w:rPr>
              <m:t xml:space="preserve">2</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
                  <m:e>
                    <m:r>
                      <w:rPr>
                        <w:rFonts w:ascii="Cambria Math" w:hAnsi="Cambria Math"/>
                      </w:rPr>
                      <m:t xml:space="preserve">p</m:t>
                    </m:r>
                  </m:e>
                  <m:sub>
                    <m:r>
                      <w:rPr>
                        <w:rFonts w:ascii="Cambria Math" w:hAnsi="Cambria Math"/>
                      </w:rPr>
                      <m:t xml:space="preserve">i</m:t>
                    </m:r>
                  </m:sub>
                </m:sSub>
              </m:e>
            </m:nary>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e>
            </m:d>
          </m:den>
        </m:f>
      </m:oMath>
      <w:r>
        <w:rPr>
          <w:b w:val="false"/>
          <w:bCs w:val="false"/>
          <w:i w:val="false"/>
          <w:iCs w:val="false"/>
          <w:caps w:val="false"/>
          <w:smallCaps w:val="false"/>
          <w:color w:val="000000"/>
          <w:spacing w:val="0"/>
          <w:sz w:val="24"/>
          <w:szCs w:val="24"/>
          <w:u w:val="none"/>
          <w:shd w:fill="auto" w:val="clear"/>
        </w:rPr>
        <w:t xml:space="preserve">, donde </w:t>
      </w:r>
      <w:r>
        <w:rPr/>
      </w:r>
      <m:oMath xmlns:m="http://schemas.openxmlformats.org/officeDocument/2006/math">
        <m:r>
          <w:rPr>
            <w:rFonts w:ascii="Cambria Math" w:hAnsi="Cambria Math"/>
          </w:rPr>
          <m:t xml:space="preserve">M</m:t>
        </m:r>
      </m:oMath>
      <w:r>
        <w:rPr>
          <w:b w:val="false"/>
          <w:bCs w:val="false"/>
          <w:i w:val="false"/>
          <w:iCs w:val="false"/>
          <w:caps w:val="false"/>
          <w:smallCaps w:val="false"/>
          <w:color w:val="000000"/>
          <w:spacing w:val="0"/>
          <w:sz w:val="24"/>
          <w:szCs w:val="24"/>
          <w:u w:val="none"/>
          <w:shd w:fill="auto" w:val="clear"/>
        </w:rPr>
        <w:t xml:space="preserve"> es una matriz de dimensión </w:t>
      </w:r>
      <w:r>
        <w:rPr/>
      </w:r>
      <m:oMath xmlns:m="http://schemas.openxmlformats.org/officeDocument/2006/math">
        <m:r>
          <w:rPr>
            <w:rFonts w:ascii="Cambria Math" w:hAnsi="Cambria Math"/>
          </w:rPr>
          <m:t xml:space="preserve">n</m:t>
        </m:r>
      </m:oMath>
      <w:r>
        <w:rPr>
          <w:b w:val="false"/>
          <w:bCs w:val="false"/>
          <w:i w:val="false"/>
          <w:iCs w:val="false"/>
          <w:caps w:val="false"/>
          <w:smallCaps w:val="false"/>
          <w:color w:val="000000"/>
          <w:spacing w:val="0"/>
          <w:sz w:val="24"/>
          <w:szCs w:val="24"/>
          <w:u w:val="none"/>
          <w:shd w:fill="auto" w:val="clear"/>
        </w:rPr>
        <w:t xml:space="preserve"> filas y </w:t>
      </w:r>
      <w:r>
        <w:rPr/>
      </w:r>
      <m:oMath xmlns:m="http://schemas.openxmlformats.org/officeDocument/2006/math">
        <m:r>
          <w:rPr>
            <w:rFonts w:ascii="Cambria Math" w:hAnsi="Cambria Math"/>
          </w:rPr>
          <m:t xml:space="preserve">nSNP</m:t>
        </m:r>
      </m:oMath>
      <w:r>
        <w:rPr>
          <w:b w:val="false"/>
          <w:bCs w:val="false"/>
          <w:i w:val="false"/>
          <w:iCs w:val="false"/>
          <w:caps w:val="false"/>
          <w:smallCaps w:val="false"/>
          <w:color w:val="000000"/>
          <w:spacing w:val="0"/>
          <w:sz w:val="24"/>
          <w:szCs w:val="24"/>
          <w:u w:val="none"/>
          <w:shd w:fill="auto" w:val="clear"/>
        </w:rPr>
        <w:t xml:space="preserve"> columnas que contiene los genotipos, </w:t>
      </w:r>
      <w:r>
        <w:rPr/>
      </w:r>
      <m:oMath xmlns:m="http://schemas.openxmlformats.org/officeDocument/2006/math">
        <m:sSub>
          <m:e>
            <m:r>
              <w:rPr>
                <w:rFonts w:ascii="Cambria Math" w:hAnsi="Cambria Math"/>
              </w:rPr>
              <m:t xml:space="preserve">p</m:t>
            </m:r>
          </m:e>
          <m:sub>
            <m:r>
              <w:rPr>
                <w:rFonts w:ascii="Cambria Math" w:hAnsi="Cambria Math"/>
              </w:rPr>
              <m:t xml:space="preserve">i</m:t>
            </m:r>
          </m:sub>
        </m:sSub>
      </m:oMath>
      <w:r>
        <w:rPr>
          <w:b w:val="false"/>
          <w:bCs w:val="false"/>
          <w:i w:val="false"/>
          <w:iCs w:val="false"/>
          <w:caps w:val="false"/>
          <w:smallCaps w:val="false"/>
          <w:color w:val="000000"/>
          <w:spacing w:val="0"/>
          <w:sz w:val="24"/>
          <w:szCs w:val="24"/>
          <w:u w:val="none"/>
          <w:shd w:fill="auto" w:val="clear"/>
        </w:rPr>
        <w:t xml:space="preserve"> es la frecuencia del i-ésimo marcador, </w:t>
      </w:r>
      <w:r>
        <w:rPr/>
      </w:r>
      <m:oMath xmlns:m="http://schemas.openxmlformats.org/officeDocument/2006/math">
        <m:r>
          <w:rPr>
            <w:rFonts w:ascii="Cambria Math" w:hAnsi="Cambria Math"/>
          </w:rPr>
          <m:t xml:space="preserve">n</m:t>
        </m:r>
      </m:oMath>
      <w:r>
        <w:rPr>
          <w:b w:val="false"/>
          <w:bCs w:val="false"/>
          <w:i w:val="false"/>
          <w:iCs w:val="false"/>
          <w:caps w:val="false"/>
          <w:smallCaps w:val="false"/>
          <w:color w:val="000000"/>
          <w:spacing w:val="0"/>
          <w:sz w:val="24"/>
          <w:szCs w:val="24"/>
          <w:u w:val="none"/>
          <w:shd w:fill="auto" w:val="clear"/>
        </w:rPr>
        <w:t xml:space="preserve"> corresponde al número de individuos genotipados y </w:t>
      </w:r>
      <w:r>
        <w:rPr/>
      </w:r>
      <m:oMath xmlns:m="http://schemas.openxmlformats.org/officeDocument/2006/math">
        <m:r>
          <w:rPr>
            <w:rFonts w:ascii="Cambria Math" w:hAnsi="Cambria Math"/>
          </w:rPr>
          <m:t xml:space="preserve">nSNP</m:t>
        </m:r>
      </m:oMath>
      <w:r>
        <w:rPr>
          <w:b w:val="false"/>
          <w:bCs w:val="false"/>
          <w:i w:val="false"/>
          <w:iCs w:val="false"/>
          <w:caps w:val="false"/>
          <w:smallCaps w:val="false"/>
          <w:color w:val="000000"/>
          <w:spacing w:val="0"/>
          <w:sz w:val="24"/>
          <w:szCs w:val="24"/>
          <w:u w:val="none"/>
          <w:shd w:fill="auto" w:val="clear"/>
        </w:rPr>
        <w:t xml:space="preserve"> representa el número total de marcadores.</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iCs w:val="false"/>
          <w:caps w:val="false"/>
          <w:smallCaps w:val="false"/>
          <w:color w:val="000000"/>
          <w:spacing w:val="0"/>
          <w:sz w:val="24"/>
          <w:szCs w:val="24"/>
          <w:u w:val="none"/>
          <w:shd w:fill="auto" w:val="clear"/>
        </w:rPr>
        <w:t xml:space="preserve">En el modelo BLUP (mejor predictor lineal insesgado) ajustado para el escenario E0, </w:t>
      </w:r>
      <w:r>
        <w:rPr/>
      </w:r>
      <m:oMath xmlns:m="http://schemas.openxmlformats.org/officeDocument/2006/math">
        <m:sSup>
          <m:e>
            <m:r>
              <w:rPr>
                <w:rFonts w:ascii="Cambria Math" w:hAnsi="Cambria Math"/>
              </w:rPr>
              <m:t xml:space="preserve">H</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xml:space="preserve"> es reemplazada por la matriz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b w:val="false"/>
          <w:bCs w:val="false"/>
          <w:i w:val="false"/>
          <w:iCs w:val="false"/>
          <w:caps w:val="false"/>
          <w:smallCaps w:val="false"/>
          <w:color w:val="000000"/>
          <w:spacing w:val="0"/>
          <w:sz w:val="24"/>
          <w:szCs w:val="24"/>
          <w:u w:val="none"/>
          <w:shd w:fill="auto" w:val="clear"/>
        </w:rPr>
        <w:t xml:space="preserve"> de la misma dimensión que la primera matriz.</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iCs w:val="false"/>
          <w:caps w:val="false"/>
          <w:smallCaps w:val="false"/>
          <w:color w:val="000000"/>
          <w:spacing w:val="0"/>
          <w:sz w:val="24"/>
          <w:szCs w:val="24"/>
          <w:u w:val="none"/>
          <w:shd w:fill="auto" w:val="clear"/>
        </w:rPr>
        <w:t>Los GEBV se estimaron mediante muestreo de Gibbs, el cual comprendió 200,000 rondas en los que fueron almacenadas muestras cada 50 iteraciones del algoritmo de Gibbs. Después de descartar las primeras 50,000 muestras como burn-in, fueron calculados las estadísticas posteriores.</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bCs/>
          <w:i w:val="false"/>
          <w:iCs w:val="false"/>
          <w:caps w:val="false"/>
          <w:smallCaps w:val="false"/>
          <w:color w:val="000000"/>
          <w:spacing w:val="0"/>
          <w:sz w:val="24"/>
          <w:szCs w:val="24"/>
          <w:u w:val="none"/>
          <w:shd w:fill="auto" w:val="clear"/>
        </w:rPr>
        <w:t>2.4. Comparación de escenarios</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u w:val="none"/>
          <w:shd w:fill="auto" w:val="clear"/>
        </w:rPr>
      </w:pPr>
      <w:r>
        <w:rPr>
          <w:b w:val="false"/>
          <w:bCs w:val="false"/>
          <w:i w:val="false"/>
          <w:caps w:val="false"/>
          <w:smallCaps w:val="false"/>
          <w:color w:val="000000"/>
          <w:spacing w:val="0"/>
          <w:sz w:val="24"/>
          <w:szCs w:val="24"/>
          <w:u w:val="none"/>
          <w:shd w:fill="auto" w:val="clear"/>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Los escenarios se compararon mediante los estimadores de sesgo (</w:t>
      </w:r>
      <w:r>
        <w:rPr/>
      </w:r>
      <m:oMath xmlns:m="http://schemas.openxmlformats.org/officeDocument/2006/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bCs w:val="false"/>
          <w:i w:val="false"/>
          <w:iCs w:val="false"/>
          <w:caps w:val="false"/>
          <w:smallCaps w:val="false"/>
          <w:color w:val="000000"/>
          <w:spacing w:val="0"/>
          <w:sz w:val="24"/>
          <w:szCs w:val="24"/>
          <w:u w:val="none"/>
          <w:shd w:fill="auto" w:val="clear"/>
        </w:rPr>
        <w:t>), dispersión (</w:t>
      </w:r>
      <w:r>
        <w:rPr/>
      </w:r>
      <m:oMath xmlns:m="http://schemas.openxmlformats.org/officeDocument/2006/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bCs w:val="false"/>
          <w:i w:val="false"/>
          <w:iCs w:val="false"/>
          <w:caps w:val="false"/>
          <w:smallCaps w:val="false"/>
          <w:color w:val="000000"/>
          <w:spacing w:val="0"/>
          <w:sz w:val="24"/>
          <w:szCs w:val="24"/>
          <w:u w:val="none"/>
          <w:shd w:fill="auto" w:val="clear"/>
        </w:rPr>
        <w:t>) y precisión (</w:t>
      </w:r>
      <w:r>
        <w:rPr/>
      </w:r>
      <m:oMath xmlns:m="http://schemas.openxmlformats.org/officeDocument/2006/math">
        <m:acc>
          <m:accPr>
            <m:chr m:val="^"/>
          </m:accPr>
          <m:e>
            <m:sSub>
              <m:e>
                <m:r>
                  <w:rPr>
                    <w:rFonts w:ascii="Cambria Math" w:hAnsi="Cambria Math"/>
                  </w:rPr>
                  <m:t xml:space="preserve">acc</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oMath>
      <w:r>
        <w:rPr>
          <w:b w:val="false"/>
          <w:bCs w:val="false"/>
          <w:i w:val="false"/>
          <w:iCs w:val="false"/>
          <w:caps w:val="false"/>
          <w:smallCaps w:val="false"/>
          <w:color w:val="000000"/>
          <w:spacing w:val="0"/>
          <w:sz w:val="24"/>
          <w:szCs w:val="24"/>
          <w:u w:val="none"/>
          <w:shd w:fill="auto" w:val="clear"/>
        </w:rPr>
        <w:t xml:space="preserve">) del método de regresión lineal (LR) propuesto por </w:t>
      </w:r>
      <w:r>
        <w:rPr>
          <w:b w:val="false"/>
          <w:bCs w:val="false"/>
          <w:i w:val="false"/>
          <w:iCs w:val="false"/>
          <w:caps w:val="false"/>
          <w:smallCaps w:val="false"/>
          <w:color w:val="000000"/>
          <w:spacing w:val="0"/>
          <w:sz w:val="24"/>
          <w:szCs w:val="24"/>
          <w:u w:val="none"/>
          <w:shd w:fill="999999" w:val="clear"/>
        </w:rPr>
        <w:t>Legarra y Reverter (2018</w:t>
      </w:r>
      <w:r>
        <w:rPr>
          <w:b w:val="false"/>
          <w:bCs w:val="false"/>
          <w:i w:val="false"/>
          <w:iCs w:val="false"/>
          <w:caps w:val="false"/>
          <w:smallCaps w:val="false"/>
          <w:color w:val="000000"/>
          <w:spacing w:val="0"/>
          <w:sz w:val="24"/>
          <w:szCs w:val="24"/>
          <w:u w:val="none"/>
          <w:shd w:fill="auto" w:val="clear"/>
        </w:rPr>
        <w:t>). Para cada escenario se utilizaron dos subconjuntos de datos y un subconjunto de individuos focales o de validación. Un subconjunto de datos completo (</w:t>
      </w:r>
      <w:r>
        <w:rPr/>
      </w:r>
      <m:oMath xmlns:m="http://schemas.openxmlformats.org/officeDocument/2006/math">
        <m:r>
          <w:rPr>
            <w:rFonts w:ascii="Cambria Math" w:hAnsi="Cambria Math"/>
          </w:rPr>
          <m:t xml:space="preserve">w</m:t>
        </m:r>
      </m:oMath>
      <w:r>
        <w:rPr>
          <w:b w:val="false"/>
          <w:bCs w:val="false"/>
          <w:i w:val="false"/>
          <w:iCs w:val="false"/>
          <w:caps w:val="false"/>
          <w:smallCaps w:val="false"/>
          <w:color w:val="000000"/>
          <w:spacing w:val="0"/>
          <w:sz w:val="24"/>
          <w:szCs w:val="24"/>
          <w:u w:val="none"/>
          <w:shd w:fill="auto" w:val="clear"/>
        </w:rPr>
        <w:t>) el cual contenía todos los fenotipos y un subconjunto de datos parcial (</w:t>
      </w:r>
      <w:r>
        <w:rPr/>
      </w:r>
      <m:oMath xmlns:m="http://schemas.openxmlformats.org/officeDocument/2006/math">
        <m:r>
          <w:rPr>
            <w:rFonts w:ascii="Cambria Math" w:hAnsi="Cambria Math"/>
          </w:rPr>
          <m:t xml:space="preserve">p</m:t>
        </m:r>
      </m:oMath>
      <w:r>
        <w:rPr>
          <w:b w:val="false"/>
          <w:bCs w:val="false"/>
          <w:i w:val="false"/>
          <w:iCs w:val="false"/>
          <w:caps w:val="false"/>
          <w:smallCaps w:val="false"/>
          <w:color w:val="000000"/>
          <w:spacing w:val="0"/>
          <w:sz w:val="24"/>
          <w:szCs w:val="24"/>
          <w:u w:val="none"/>
          <w:shd w:fill="auto" w:val="clear"/>
        </w:rPr>
        <w:t>) en los que se enmascararon los fenotipos de los individuos focales. Los individuos focales, definidos como un grupo de individuos de interés que en un momento dado podrían seleccionarse, estuvieron formados por los individuos nacidos entre los años 2017 a 2023, de los cuales 220, 189 y 131 individuos estuvieron genotipados de acuerdo al carácter evaluado (peso al destete, edad al primer parto e intervalo entre el primer y segundo parto, respectivamente).</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rPr>
      </w:pPr>
      <w:r>
        <w:rPr>
          <w:b w:val="false"/>
          <w:bCs w:val="false"/>
          <w:i w:val="false"/>
          <w:iCs w:val="false"/>
          <w:caps w:val="false"/>
          <w:smallCaps w:val="false"/>
          <w:color w:val="000000"/>
          <w:spacing w:val="0"/>
          <w:sz w:val="24"/>
          <w:szCs w:val="24"/>
          <w:u w:val="none"/>
          <w:shd w:fill="auto" w:val="clear"/>
        </w:rPr>
        <w:t xml:space="preserve">Siendo </w:t>
      </w:r>
      <w:r>
        <w:rPr/>
      </w:r>
      <m:oMath xmlns:m="http://schemas.openxmlformats.org/officeDocument/2006/math">
        <m:bar>
          <m:barPr>
            <m:pos m:val="top"/>
          </m:barPr>
          <m:e>
            <m:acc>
              <m:accPr>
                <m:chr m:val="^"/>
              </m:accPr>
              <m:e>
                <m:sSub>
                  <m:e>
                    <m:r>
                      <w:rPr>
                        <w:rFonts w:ascii="Cambria Math" w:hAnsi="Cambria Math"/>
                      </w:rPr>
                      <m:t xml:space="preserve">µ</m:t>
                    </m:r>
                  </m:e>
                  <m:sub>
                    <m:r>
                      <w:rPr>
                        <w:rFonts w:ascii="Cambria Math" w:hAnsi="Cambria Math"/>
                      </w:rPr>
                      <m:t xml:space="preserve">p</m:t>
                    </m:r>
                  </m:sub>
                </m:sSub>
              </m:e>
            </m:acc>
          </m:e>
        </m:bar>
      </m:oMath>
      <w:r>
        <w:rPr>
          <w:b w:val="false"/>
          <w:bCs w:val="false"/>
          <w:i w:val="false"/>
          <w:iCs w:val="false"/>
          <w:caps w:val="false"/>
          <w:smallCaps w:val="false"/>
          <w:color w:val="000000"/>
          <w:spacing w:val="0"/>
          <w:sz w:val="24"/>
          <w:szCs w:val="24"/>
          <w:u w:val="none"/>
          <w:shd w:fill="auto" w:val="clear"/>
        </w:rPr>
        <w:t xml:space="preserve"> el promedio de GEBV en el subconjunto de datos parcial y </w:t>
      </w:r>
      <w:r>
        <w:rPr/>
      </w:r>
      <m:oMath xmlns:m="http://schemas.openxmlformats.org/officeDocument/2006/math">
        <m:bar>
          <m:barPr>
            <m:pos m:val="top"/>
          </m:barPr>
          <m:e>
            <m:acc>
              <m:accPr>
                <m:chr m:val="^"/>
              </m:accPr>
              <m:e>
                <m:sSub>
                  <m:e>
                    <m:r>
                      <w:rPr>
                        <w:rFonts w:ascii="Cambria Math" w:hAnsi="Cambria Math"/>
                      </w:rPr>
                      <m:t xml:space="preserve">µ</m:t>
                    </m:r>
                  </m:e>
                  <m:sub>
                    <m:r>
                      <w:rPr>
                        <w:rFonts w:ascii="Cambria Math" w:hAnsi="Cambria Math"/>
                      </w:rPr>
                      <m:t xml:space="preserve">w</m:t>
                    </m:r>
                  </m:sub>
                </m:sSub>
              </m:e>
            </m:acc>
          </m:e>
        </m:bar>
      </m:oMath>
      <w:r>
        <w:rPr>
          <w:b w:val="false"/>
          <w:bCs w:val="false"/>
          <w:i w:val="false"/>
          <w:iCs w:val="false"/>
          <w:caps w:val="false"/>
          <w:smallCaps w:val="false"/>
          <w:color w:val="000000"/>
          <w:spacing w:val="0"/>
          <w:sz w:val="24"/>
          <w:szCs w:val="24"/>
          <w:u w:val="none"/>
          <w:shd w:fill="auto" w:val="clear"/>
        </w:rPr>
        <w:t xml:space="preserve"> el promedio de GEBV en el subconjunto de datos completo, los estimadores del método LR se calcularon a partir de las siguientes expresiones:</w:t>
      </w:r>
    </w:p>
    <w:p>
      <w:pPr>
        <w:pStyle w:val="Normal"/>
        <w:bidi w:val="0"/>
        <w:jc w:val="both"/>
        <w:rPr>
          <w:rFonts w:ascii="Liberation Serif" w:hAnsi="Liberation Serif"/>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left"/>
        <w:rPr>
          <w:rFonts w:ascii="Liberation Serif" w:hAnsi="Liberation Serif"/>
          <w:b w:val="false"/>
          <w:b w:val="false"/>
          <w:i w:val="false"/>
          <w:i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Δ</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bar>
                <m:barPr>
                  <m:pos m:val="top"/>
                </m:barPr>
                <m:e>
                  <m:acc>
                    <m:accPr>
                      <m:chr m:val="^"/>
                    </m:accPr>
                    <m:e>
                      <m:sSub>
                        <m:e>
                          <m:r>
                            <w:rPr>
                              <w:rFonts w:ascii="Cambria Math" w:hAnsi="Cambria Math"/>
                            </w:rPr>
                            <m:t xml:space="preserve">µ</m:t>
                          </m:r>
                        </m:e>
                        <m:sub>
                          <m:r>
                            <w:rPr>
                              <w:rFonts w:ascii="Cambria Math" w:hAnsi="Cambria Math"/>
                            </w:rPr>
                            <m:t xml:space="preserve">p</m:t>
                          </m:r>
                        </m:sub>
                      </m:sSub>
                    </m:e>
                  </m:acc>
                </m:e>
              </m:bar>
              <m:r>
                <w:rPr>
                  <w:rFonts w:ascii="Cambria Math" w:hAnsi="Cambria Math"/>
                </w:rPr>
                <m:t xml:space="preserve">−</m:t>
              </m:r>
              <m:bar>
                <m:barPr>
                  <m:pos m:val="top"/>
                </m:barPr>
                <m:e>
                  <m:acc>
                    <m:accPr>
                      <m:chr m:val="^"/>
                    </m:accPr>
                    <m:e>
                      <m:sSub>
                        <m:e>
                          <m:r>
                            <w:rPr>
                              <w:rFonts w:ascii="Cambria Math" w:hAnsi="Cambria Math"/>
                            </w:rPr>
                            <m:t xml:space="preserve">µ</m:t>
                          </m:r>
                        </m:e>
                        <m:sub>
                          <m:r>
                            <w:rPr>
                              <w:rFonts w:ascii="Cambria Math" w:hAnsi="Cambria Math"/>
                            </w:rPr>
                            <m:t xml:space="preserve">w</m:t>
                          </m:r>
                        </m:sub>
                      </m:sSub>
                    </m:e>
                  </m:acc>
                </m:e>
              </m:bar>
            </m:num>
            <m:den>
              <m:acc>
                <m:accPr>
                  <m:chr m:val="^"/>
                </m:accPr>
                <m:e>
                  <m:sSub>
                    <m:e>
                      <m:r>
                        <w:rPr>
                          <w:rFonts w:ascii="Cambria Math" w:hAnsi="Cambria Math"/>
                        </w:rPr>
                        <m:t xml:space="preserve">σ</m:t>
                      </m:r>
                    </m:e>
                    <m:sub>
                      <m:r>
                        <w:rPr>
                          <w:rFonts w:ascii="Cambria Math" w:hAnsi="Cambria Math"/>
                        </w:rPr>
                        <m:t xml:space="preserve">u</m:t>
                      </m:r>
                    </m:sub>
                  </m:sSub>
                </m:e>
              </m:acc>
            </m:den>
          </m:f>
        </m:oMath>
      </m:oMathPara>
    </w:p>
    <w:p>
      <w:pPr>
        <w:pStyle w:val="Normal"/>
        <w:bidi w:val="0"/>
        <w:spacing w:before="0" w:after="0"/>
        <w:jc w:val="both"/>
        <w:rPr>
          <w:rFonts w:ascii="Liberation Serif" w:hAnsi="Liberation Serif"/>
          <w:b w:val="false"/>
          <w:b w:val="false"/>
          <w:i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bidi w:val="0"/>
        <w:spacing w:before="0" w:after="0"/>
        <w:jc w:val="left"/>
        <w:rPr>
          <w:rFonts w:ascii="Liberation Serif" w:hAnsi="Liberation Serif"/>
          <w:b w:val="false"/>
          <w:b w:val="false"/>
          <w:i w:val="false"/>
          <w:i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b</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r>
                <w:rPr>
                  <w:rFonts w:ascii="Cambria Math" w:hAnsi="Cambria Math"/>
                </w:rPr>
                <m:t xml:space="preserve">var</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e>
              </m:d>
            </m:den>
          </m:f>
        </m:oMath>
      </m:oMathPara>
    </w:p>
    <w:p>
      <w:pPr>
        <w:pStyle w:val="Normal"/>
        <w:bidi w:val="0"/>
        <w:spacing w:before="0" w:after="0"/>
        <w:jc w:val="both"/>
        <w:rPr>
          <w:rFonts w:ascii="Liberation Serif" w:hAnsi="Liberation Serif"/>
          <w:b w:val="false"/>
          <w:b w:val="false"/>
          <w:i w:val="false"/>
          <w:i w:val="false"/>
          <w:caps w:val="false"/>
          <w:smallCaps w:val="false"/>
          <w:color w:val="000000"/>
          <w:spacing w:val="0"/>
          <w:sz w:val="24"/>
          <w:szCs w:val="24"/>
          <w:shd w:fill="auto" w:val="clear"/>
        </w:rPr>
      </w:pPr>
      <w:r>
        <w:rPr>
          <w:b w:val="false"/>
          <w:i w:val="false"/>
          <w:caps w:val="false"/>
          <w:smallCaps w:val="false"/>
          <w:color w:val="000000"/>
          <w:spacing w:val="0"/>
          <w:sz w:val="24"/>
          <w:szCs w:val="24"/>
          <w:shd w:fill="auto" w:val="clear"/>
        </w:rPr>
      </w:r>
    </w:p>
    <w:p>
      <w:pPr>
        <w:pStyle w:val="Normal"/>
        <w:bidi w:val="0"/>
        <w:spacing w:before="0" w:after="0"/>
        <w:jc w:val="left"/>
        <w:rPr>
          <w:rFonts w:ascii="Liberation Serif" w:hAnsi="Liberation Serif"/>
          <w:b w:val="false"/>
          <w:b w:val="false"/>
          <w:bCs w:val="false"/>
          <w:i w:val="false"/>
          <w:i w:val="false"/>
          <w:iCs w:val="false"/>
          <w:caps w:val="false"/>
          <w:smallCaps w:val="false"/>
          <w:color w:val="000000"/>
          <w:spacing w:val="0"/>
          <w:sz w:val="24"/>
          <w:szCs w:val="24"/>
          <w:shd w:fill="auto" w:val="clear"/>
        </w:rPr>
      </w:pPr>
      <w:r>
        <w:rPr/>
      </w:r>
      <m:oMathPara xmlns:m="http://schemas.openxmlformats.org/officeDocument/2006/math">
        <m:oMathParaPr>
          <m:jc m:val="left"/>
        </m:oMathParaPr>
        <m:oMath>
          <m:acc>
            <m:accPr>
              <m:chr m:val="^"/>
            </m:accPr>
            <m:e>
              <m:sSub>
                <m:e>
                  <m:r>
                    <w:rPr>
                      <w:rFonts w:ascii="Cambria Math" w:hAnsi="Cambria Math"/>
                    </w:rPr>
                    <m:t xml:space="preserve">acc</m:t>
                  </m:r>
                </m:e>
                <m:sub>
                  <m:r>
                    <w:rPr>
                      <w:rFonts w:ascii="Cambria Math" w:hAnsi="Cambria Math"/>
                    </w:rPr>
                    <m:t xml:space="preserve">w</m:t>
                  </m:r>
                  <m:r>
                    <w:rPr>
                      <w:rFonts w:ascii="Cambria Math" w:hAnsi="Cambria Math"/>
                    </w:rPr>
                    <m:t xml:space="preserve">,</m:t>
                  </m:r>
                  <m:r>
                    <w:rPr>
                      <w:rFonts w:ascii="Cambria Math" w:hAnsi="Cambria Math"/>
                    </w:rPr>
                    <m:t xml:space="preserve">p</m:t>
                  </m:r>
                </m:sub>
              </m:sSub>
            </m:e>
          </m:acc>
          <m:r>
            <w:rPr>
              <w:rFonts w:ascii="Cambria Math" w:hAnsi="Cambria Math"/>
            </w:rPr>
            <m:t xml:space="preserve">=</m:t>
          </m:r>
          <m:rad>
            <m:radPr>
              <m:degHide m:val="1"/>
            </m:radPr>
            <m:deg/>
            <m:e>
              <m:f>
                <m:num>
                  <m:r>
                    <w:rPr>
                      <w:rFonts w:ascii="Cambria Math" w:hAnsi="Cambria Math"/>
                    </w:rPr>
                    <m:t xml:space="preserve">cov</m:t>
                  </m:r>
                  <m:d>
                    <m:dPr>
                      <m:begChr m:val="("/>
                      <m:endChr m:val=")"/>
                    </m:dPr>
                    <m:e>
                      <m:acc>
                        <m:accPr>
                          <m:chr m:val="^"/>
                        </m:accPr>
                        <m:e>
                          <m:sSub>
                            <m:e>
                              <m:r>
                                <w:rPr>
                                  <w:rFonts w:ascii="Cambria Math" w:hAnsi="Cambria Math"/>
                                </w:rPr>
                                <m:t xml:space="preserve">µ</m:t>
                              </m:r>
                            </m:e>
                            <m:sub>
                              <m:r>
                                <w:rPr>
                                  <w:rFonts w:ascii="Cambria Math" w:hAnsi="Cambria Math"/>
                                </w:rPr>
                                <m:t xml:space="preserve">p</m:t>
                              </m:r>
                            </m:sub>
                          </m:sSub>
                        </m:e>
                      </m:acc>
                      <m:r>
                        <w:rPr>
                          <w:rFonts w:ascii="Cambria Math" w:hAnsi="Cambria Math"/>
                        </w:rPr>
                        <m:t xml:space="preserve">,</m:t>
                      </m:r>
                      <m:acc>
                        <m:accPr>
                          <m:chr m:val="^"/>
                        </m:accPr>
                        <m:e>
                          <m:sSub>
                            <m:e>
                              <m:r>
                                <w:rPr>
                                  <w:rFonts w:ascii="Cambria Math" w:hAnsi="Cambria Math"/>
                                </w:rPr>
                                <m:t xml:space="preserve">µ</m:t>
                              </m:r>
                            </m:e>
                            <m:sub>
                              <m:r>
                                <w:rPr>
                                  <w:rFonts w:ascii="Cambria Math" w:hAnsi="Cambria Math"/>
                                </w:rPr>
                                <m:t xml:space="preserve">w</m:t>
                              </m:r>
                            </m:sub>
                          </m:sSub>
                        </m:e>
                      </m:acc>
                    </m:e>
                  </m:d>
                </m:num>
                <m:den>
                  <m:d>
                    <m:dPr>
                      <m:begChr m:val="("/>
                      <m:endChr m:val=")"/>
                    </m:dPr>
                    <m:e>
                      <m:r>
                        <w:rPr>
                          <w:rFonts w:ascii="Cambria Math" w:hAnsi="Cambria Math"/>
                        </w:rPr>
                        <m:t xml:space="preserve">1</m:t>
                      </m:r>
                      <m:r>
                        <w:rPr>
                          <w:rFonts w:ascii="Cambria Math" w:hAnsi="Cambria Math"/>
                        </w:rPr>
                        <m:t xml:space="preserve">−</m:t>
                      </m:r>
                      <m:acc>
                        <m:accPr>
                          <m:chr m:val="¯"/>
                        </m:accPr>
                        <m:e>
                          <m:r>
                            <w:rPr>
                              <w:rFonts w:ascii="Cambria Math" w:hAnsi="Cambria Math"/>
                            </w:rPr>
                            <m:t xml:space="preserve">F</m:t>
                          </m:r>
                        </m:e>
                      </m:acc>
                    </m:e>
                  </m:d>
                  <m:acc>
                    <m:accPr>
                      <m:chr m:val="^"/>
                    </m:accPr>
                    <m:e>
                      <m:sSubSup>
                        <m:e>
                          <m:r>
                            <w:rPr>
                              <w:rFonts w:ascii="Cambria Math" w:hAnsi="Cambria Math"/>
                            </w:rPr>
                            <m:t xml:space="preserve">σ</m:t>
                          </m:r>
                        </m:e>
                        <m:sub>
                          <m:r>
                            <w:rPr>
                              <w:rFonts w:ascii="Cambria Math" w:hAnsi="Cambria Math"/>
                            </w:rPr>
                            <m:t xml:space="preserve">u</m:t>
                          </m:r>
                        </m:sub>
                        <m:sup>
                          <m:r>
                            <w:rPr>
                              <w:rFonts w:ascii="Cambria Math" w:hAnsi="Cambria Math"/>
                            </w:rPr>
                            <m:t xml:space="preserve">2</m:t>
                          </m:r>
                        </m:sup>
                      </m:sSubSup>
                    </m:e>
                  </m:acc>
                </m:den>
              </m:f>
            </m:e>
          </m:rad>
        </m:oMath>
      </m:oMathPara>
    </w:p>
    <w:p>
      <w:pPr>
        <w:pStyle w:val="Normal"/>
        <w:bidi w:val="0"/>
        <w:spacing w:before="0" w:after="0"/>
        <w:jc w:val="left"/>
        <w:rPr>
          <w:rFonts w:ascii="Liberation Serif" w:hAnsi="Liberation Serif"/>
          <w:b w:val="false"/>
          <w:b w:val="false"/>
          <w:bCs w:val="false"/>
          <w:i w:val="false"/>
          <w:i w:val="false"/>
          <w:iCs w:val="false"/>
          <w:caps w:val="false"/>
          <w:smallCaps w:val="false"/>
          <w:color w:val="000000"/>
          <w:spacing w:val="0"/>
          <w:sz w:val="24"/>
          <w:szCs w:val="24"/>
          <w:shd w:fill="auto" w:val="clear"/>
        </w:rPr>
      </w:pPr>
      <w:r>
        <w:rPr>
          <w:b w:val="false"/>
          <w:bCs w:val="false"/>
          <w:i w:val="false"/>
          <w:iCs w:val="false"/>
          <w:caps w:val="false"/>
          <w:smallCaps w:val="false"/>
          <w:color w:val="000000"/>
          <w:spacing w:val="0"/>
          <w:sz w:val="24"/>
          <w:szCs w:val="24"/>
          <w:shd w:fill="auto" w:val="clear"/>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bCs w:val="false"/>
          <w:i w:val="false"/>
          <w:iCs w:val="false"/>
          <w:caps w:val="false"/>
          <w:smallCaps w:val="false"/>
          <w:color w:val="000000"/>
          <w:spacing w:val="0"/>
          <w:sz w:val="24"/>
          <w:szCs w:val="24"/>
          <w:u w:val="none"/>
          <w:shd w:fill="auto" w:val="clear"/>
        </w:rPr>
        <w:t xml:space="preserve">donde </w:t>
      </w:r>
      <w:r>
        <w:rPr/>
      </w:r>
      <m:oMath xmlns:m="http://schemas.openxmlformats.org/officeDocument/2006/math">
        <m:acc>
          <m:accPr>
            <m:chr m:val="^"/>
          </m:accPr>
          <m:e>
            <m:sSub>
              <m:e>
                <m:r>
                  <w:rPr>
                    <w:rFonts w:ascii="Cambria Math" w:hAnsi="Cambria Math"/>
                  </w:rPr>
                  <m:t xml:space="preserve">σ</m:t>
                </m:r>
              </m:e>
              <m:sub>
                <m:r>
                  <w:rPr>
                    <w:rFonts w:ascii="Cambria Math" w:hAnsi="Cambria Math"/>
                  </w:rPr>
                  <m:t xml:space="preserve">u</m:t>
                </m:r>
              </m:sub>
            </m:sSub>
          </m:e>
        </m:acc>
      </m:oMath>
      <w:r>
        <w:rPr>
          <w:b w:val="false"/>
          <w:bCs w:val="false"/>
          <w:i w:val="false"/>
          <w:iCs w:val="false"/>
          <w:caps w:val="false"/>
          <w:smallCaps w:val="false"/>
          <w:color w:val="000000"/>
          <w:spacing w:val="0"/>
          <w:sz w:val="24"/>
          <w:szCs w:val="24"/>
          <w:u w:val="none"/>
          <w:shd w:fill="auto" w:val="clear"/>
        </w:rPr>
        <w:t xml:space="preserve"> es la raíz cuadrada de la varianza genética aditiva del carácter, </w:t>
      </w:r>
      <w:r>
        <w:rPr/>
      </w:r>
      <m:oMath xmlns:m="http://schemas.openxmlformats.org/officeDocument/2006/math">
        <m:acc>
          <m:accPr>
            <m:chr m:val="¯"/>
          </m:accPr>
          <m:e>
            <m:r>
              <w:rPr>
                <w:rFonts w:ascii="Cambria Math" w:hAnsi="Cambria Math"/>
              </w:rPr>
              <m:t xml:space="preserve">F</m:t>
            </m:r>
          </m:e>
        </m:acc>
      </m:oMath>
      <w:r>
        <w:rPr>
          <w:b w:val="false"/>
          <w:bCs w:val="false"/>
          <w:i w:val="false"/>
          <w:iCs w:val="false"/>
          <w:caps w:val="false"/>
          <w:smallCaps w:val="false"/>
          <w:color w:val="000000"/>
          <w:spacing w:val="0"/>
          <w:sz w:val="24"/>
          <w:szCs w:val="24"/>
          <w:u w:val="none"/>
          <w:shd w:fill="auto" w:val="clear"/>
        </w:rPr>
        <w:t xml:space="preserve"> es el coeficiente de consanguinidad promedio y </w:t>
      </w:r>
      <w:r>
        <w:rPr/>
      </w:r>
      <m:oMath xmlns:m="http://schemas.openxmlformats.org/officeDocument/2006/math">
        <m:acc>
          <m:accPr>
            <m:chr m:val="^"/>
          </m:accPr>
          <m:e>
            <m:sSubSup>
              <m:e>
                <m:r>
                  <w:rPr>
                    <w:rFonts w:ascii="Cambria Math" w:hAnsi="Cambria Math"/>
                  </w:rPr>
                  <m:t xml:space="preserve">σ</m:t>
                </m:r>
              </m:e>
              <m:sub>
                <m:r>
                  <w:rPr>
                    <w:rFonts w:ascii="Cambria Math" w:hAnsi="Cambria Math"/>
                  </w:rPr>
                  <m:t xml:space="preserve">u</m:t>
                </m:r>
              </m:sub>
              <m:sup>
                <m:r>
                  <w:rPr>
                    <w:rFonts w:ascii="Cambria Math" w:hAnsi="Cambria Math"/>
                  </w:rPr>
                  <m:t xml:space="preserve">2</m:t>
                </m:r>
              </m:sup>
            </m:sSubSup>
          </m:e>
        </m:acc>
      </m:oMath>
      <w:r>
        <w:rPr>
          <w:b w:val="false"/>
          <w:bCs w:val="false"/>
          <w:i w:val="false"/>
          <w:iCs w:val="false"/>
          <w:caps w:val="false"/>
          <w:smallCaps w:val="false"/>
          <w:color w:val="000000"/>
          <w:spacing w:val="0"/>
          <w:sz w:val="24"/>
          <w:szCs w:val="24"/>
          <w:u w:val="none"/>
          <w:shd w:fill="auto" w:val="clear"/>
        </w:rPr>
        <w:t xml:space="preserve"> es la  varianza genética aditiva del carácter. El cálculo de estos estimadores se llevó a cabo mediante la función compute_LR_stats disponible en el repositorio de GitHub TuttiFrutty, desarrollado por </w:t>
      </w:r>
      <w:r>
        <w:rPr>
          <w:b w:val="false"/>
          <w:bCs w:val="false"/>
          <w:i w:val="false"/>
          <w:iCs w:val="false"/>
          <w:caps w:val="false"/>
          <w:smallCaps w:val="false"/>
          <w:color w:val="000000"/>
          <w:spacing w:val="0"/>
          <w:sz w:val="24"/>
          <w:szCs w:val="24"/>
          <w:u w:val="none"/>
          <w:shd w:fill="999999" w:val="clear"/>
        </w:rPr>
        <w:t>Bonifazi (2023)</w:t>
      </w:r>
      <w:r>
        <w:rPr>
          <w:b w:val="false"/>
          <w:bCs w:val="false"/>
          <w:i w:val="false"/>
          <w:iCs w:val="false"/>
          <w:caps w:val="false"/>
          <w:smallCaps w:val="false"/>
          <w:color w:val="000000"/>
          <w:spacing w:val="0"/>
          <w:sz w:val="24"/>
          <w:szCs w:val="24"/>
          <w:u w:val="none"/>
          <w:shd w:fill="auto" w:val="clear"/>
        </w:rPr>
        <w:t>.  Se obtuvo tambi</w:t>
      </w: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én</w:t>
      </w:r>
      <w:r>
        <w:rPr>
          <w:b w:val="false"/>
          <w:bCs w:val="false"/>
          <w:i w:val="false"/>
          <w:iCs w:val="false"/>
          <w:caps w:val="false"/>
          <w:smallCaps w:val="false"/>
          <w:color w:val="000000"/>
          <w:spacing w:val="0"/>
          <w:sz w:val="24"/>
          <w:szCs w:val="24"/>
          <w:u w:val="none"/>
          <w:shd w:fill="auto" w:val="clear"/>
        </w:rPr>
        <w:t xml:space="preserve"> un intervalo de confianza al 95% para la estima de precisi</w:t>
      </w: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ón</w:t>
      </w:r>
      <w:r>
        <w:rPr>
          <w:b w:val="false"/>
          <w:bCs w:val="false"/>
          <w:i w:val="false"/>
          <w:iCs w:val="false"/>
          <w:caps w:val="false"/>
          <w:smallCaps w:val="false"/>
          <w:color w:val="000000"/>
          <w:spacing w:val="0"/>
          <w:sz w:val="24"/>
          <w:szCs w:val="24"/>
          <w:u w:val="none"/>
          <w:shd w:fill="auto" w:val="clear"/>
        </w:rPr>
        <w:t xml:space="preserve"> mediante bootstrap, generando para ello 10,000 conjuntos de datos de muestra con reemplazo a partir de los individuos focales o de validación.</w:t>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bCs/>
          <w:i w:val="false"/>
          <w:iCs w:val="false"/>
          <w:caps w:val="false"/>
          <w:smallCaps w:val="false"/>
          <w:color w:val="000000"/>
          <w:spacing w:val="0"/>
          <w:sz w:val="24"/>
          <w:szCs w:val="24"/>
          <w:u w:val="none"/>
          <w:shd w:fill="auto" w:val="clear"/>
        </w:rPr>
        <w:t>3. Resultados</w:t>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bCs/>
          <w:i w:val="false"/>
          <w:iCs w:val="false"/>
          <w:caps w:val="false"/>
          <w:smallCaps w:val="false"/>
          <w:color w:val="000000"/>
          <w:spacing w:val="0"/>
          <w:sz w:val="24"/>
          <w:szCs w:val="24"/>
          <w:u w:val="none"/>
          <w:shd w:fill="auto" w:val="clear"/>
        </w:rPr>
        <w:t>3.1. Precisión, sesgo y dispersi</w:t>
      </w:r>
      <w:r>
        <w:rPr>
          <w:rFonts w:eastAsia="Noto Serif CJK SC" w:cs="Lohit Devanagari"/>
          <w:b/>
          <w:bCs/>
          <w:i w:val="false"/>
          <w:iCs w:val="false"/>
          <w:caps w:val="false"/>
          <w:smallCaps w:val="false"/>
          <w:color w:val="000000"/>
          <w:spacing w:val="0"/>
          <w:kern w:val="2"/>
          <w:sz w:val="24"/>
          <w:szCs w:val="24"/>
          <w:u w:val="none"/>
          <w:shd w:fill="auto" w:val="clear"/>
          <w:lang w:val="es-ES" w:eastAsia="zh-CN" w:bidi="hi-IN"/>
        </w:rPr>
        <w:t>ón</w:t>
      </w:r>
      <w:r>
        <w:rPr>
          <w:rFonts w:eastAsia="Noto Serif CJK SC" w:cs="Lohit Devanagari"/>
          <w:b w:val="false"/>
          <w:bCs/>
          <w:i w:val="false"/>
          <w:iCs w:val="false"/>
          <w:caps w:val="false"/>
          <w:smallCaps w:val="false"/>
          <w:color w:val="000000"/>
          <w:spacing w:val="0"/>
          <w:kern w:val="2"/>
          <w:sz w:val="24"/>
          <w:szCs w:val="24"/>
          <w:u w:val="none"/>
          <w:shd w:fill="auto" w:val="clear"/>
          <w:lang w:val="es-ES" w:eastAsia="zh-CN" w:bidi="hi-IN"/>
        </w:rPr>
        <w:t xml:space="preserve"> (</w:t>
      </w:r>
      <w:r>
        <w:rPr>
          <w:rFonts w:eastAsia="Noto Serif CJK SC" w:cs="Lohit Devanagari"/>
          <w:b w:val="false"/>
          <w:bCs/>
          <w:i w:val="false"/>
          <w:iCs w:val="false"/>
          <w:caps w:val="false"/>
          <w:smallCaps w:val="false"/>
          <w:color w:val="000000"/>
          <w:spacing w:val="0"/>
          <w:kern w:val="2"/>
          <w:sz w:val="24"/>
          <w:szCs w:val="24"/>
          <w:u w:val="none"/>
          <w:shd w:fill="FF8000" w:val="clear"/>
          <w:lang w:val="es-ES" w:eastAsia="zh-CN" w:bidi="hi-IN"/>
        </w:rPr>
        <w:t>NOTA: no se si sea necesario incluir un titulo de resultado al ser solo un titulo</w:t>
      </w:r>
      <w:r>
        <w:rPr>
          <w:rFonts w:eastAsia="Noto Serif CJK SC" w:cs="Lohit Devanagari"/>
          <w:b w:val="false"/>
          <w:bCs/>
          <w:i w:val="false"/>
          <w:iCs w:val="false"/>
          <w:caps w:val="false"/>
          <w:smallCaps w:val="false"/>
          <w:color w:val="000000"/>
          <w:spacing w:val="0"/>
          <w:kern w:val="2"/>
          <w:sz w:val="24"/>
          <w:szCs w:val="24"/>
          <w:u w:val="none"/>
          <w:shd w:fill="auto" w:val="clear"/>
          <w:lang w:val="es-ES" w:eastAsia="zh-CN" w:bidi="hi-IN"/>
        </w:rPr>
        <w:t>)</w:t>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rFonts w:eastAsia="Noto Serif CJK SC" w:cs="Lohit Devanagari"/>
          <w:b w:val="false"/>
          <w:bCs/>
          <w:i w:val="false"/>
          <w:iCs w:val="false"/>
          <w:caps w:val="false"/>
          <w:smallCaps w:val="false"/>
          <w:color w:val="000000"/>
          <w:spacing w:val="0"/>
          <w:kern w:val="2"/>
          <w:sz w:val="24"/>
          <w:szCs w:val="24"/>
          <w:u w:val="none"/>
          <w:shd w:fill="auto" w:val="clear"/>
          <w:lang w:val="es-ES" w:eastAsia="zh-CN" w:bidi="hi-IN"/>
        </w:rPr>
        <w:t>La Figura 2 muestra la precisión en cada uno de los escenarios evaluados para el carácter edad al primer parto. En general, como era de esperar, la precisión de la predicción genómica fue mayor en los escenarios donde se combinó información de pedigrí e información genómica (ssGBLUP) en comparación con el escenario E0, que se basó únicamente en información de pedigrí (BLUP). Específicamente, los escenarios E1 a E8 mostraron una mejora en la precisión, destacándose el escenario E7 con la mayor precisión (0.47796), seguido de cerca por E3 (0.47168). Los intervalos de confianza proporcionan una medida de la incertidumbre asociada con cada estimación, siendo esta menor en E0. Esto destaca que la integración de datos genómicos puede aumentar la precisión de los GEBV, pero también puede incrementar la variabilidad de estas estimaciones.</w:t>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rFonts w:ascii="Liberation Serif" w:hAnsi="Liberation Serif"/>
          <w:b w:val="false"/>
          <w:b w:val="false"/>
          <w:i w:val="false"/>
          <w:i w:val="false"/>
          <w:caps w:val="false"/>
          <w:smallCaps w:val="false"/>
          <w:color w:val="000000"/>
          <w:spacing w:val="0"/>
          <w:sz w:val="24"/>
        </w:rPr>
      </w:pPr>
      <w:r>
        <w:rPr>
          <w:b w:val="false"/>
          <w:i w:val="false"/>
          <w:caps w:val="false"/>
          <w:smallCaps w:val="false"/>
          <w:color w:val="000000"/>
          <w:spacing w:val="0"/>
          <w:sz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rFonts w:eastAsia="Noto Serif CJK SC" w:cs="Lohit Devanagari"/>
          <w:b/>
          <w:bCs/>
          <w:i w:val="false"/>
          <w:iCs w:val="false"/>
          <w:caps w:val="false"/>
          <w:smallCaps w:val="false"/>
          <w:color w:val="000000"/>
          <w:spacing w:val="0"/>
          <w:kern w:val="2"/>
          <w:sz w:val="24"/>
          <w:szCs w:val="24"/>
          <w:u w:val="none"/>
          <w:shd w:fill="auto" w:val="clear"/>
          <w:lang w:val="es-ES" w:eastAsia="zh-CN" w:bidi="hi-IN"/>
        </w:rPr>
        <w:t>Figura 2.</w:t>
      </w: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 xml:space="preserve"> Estima de precisión para el carácter edad al primer parto. El gráfico de barras (parte inferior del gráfico) indica el valor de la estima de precisión mientras que las barras de error (parte superior del gráfico) indican el intervalo de confianza al 95% (ICS, Intervalo de Confianza Superior; ICI, Intervalo de Confianza Inferior).</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 xml:space="preserve">Los estimadores de sesgo y dispersión para el carácter de edad al primer parto se pueden ver en la tabla 1. En general, </w:t>
      </w:r>
      <w:r>
        <w:rPr>
          <w:rFonts w:eastAsia="Times New Roman" w:cs="Times New Roman" w:ascii="Times New Roman" w:hAnsi="Times New Roman"/>
          <w:b w:val="false"/>
          <w:bCs w:val="false"/>
          <w:i w:val="false"/>
          <w:iCs w:val="false"/>
          <w:caps w:val="false"/>
          <w:smallCaps w:val="false"/>
          <w:color w:val="000000"/>
          <w:spacing w:val="0"/>
          <w:kern w:val="2"/>
          <w:sz w:val="24"/>
          <w:szCs w:val="24"/>
          <w:u w:val="none"/>
          <w:shd w:fill="auto" w:val="clear"/>
          <w:lang w:val="en-GB" w:eastAsia="zh-CN" w:bidi="ar-SA"/>
        </w:rPr>
        <w:t>en todos los escenarios se observaron resultados no deseables según las medidas esperadas (sesgo igual a 0 en ausencia de sesgo y dispersión igual a 1 en ausencia de dispersión). Al comparar el sesgo entre escenarios, este fue mayor en E0, mientras que en E7 los GEBV mostraron una menor sobreestimación (0.08977). En cuanto a la dispersión, hubo una aparente sobredispersión de los GEBV, siendo esta mayor en los escenarios E6 (</w:t>
      </w: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pacing w:val="0"/>
          <w:kern w:val="2"/>
          <w:sz w:val="24"/>
          <w:szCs w:val="24"/>
          <w:u w:val="none"/>
          <w:shd w:fill="auto" w:val="clear"/>
          <w:lang w:val="en-GB" w:eastAsia="zh-CN" w:bidi="ar-SA"/>
        </w:rPr>
        <w:t>1.11394</w:t>
      </w:r>
      <w:r>
        <w:rPr>
          <w:rFonts w:eastAsia="Times New Roman" w:cs="Times New Roman" w:ascii="Times New Roman" w:hAnsi="Times New Roman"/>
          <w:b w:val="false"/>
          <w:bCs w:val="false"/>
          <w:i w:val="false"/>
          <w:iCs w:val="false"/>
          <w:caps w:val="false"/>
          <w:smallCaps w:val="false"/>
          <w:color w:val="000000"/>
          <w:spacing w:val="0"/>
          <w:kern w:val="2"/>
          <w:sz w:val="24"/>
          <w:szCs w:val="24"/>
          <w:u w:val="none"/>
          <w:shd w:fill="auto" w:val="clear"/>
          <w:lang w:val="en-GB" w:eastAsia="zh-CN" w:bidi="ar-SA"/>
        </w:rPr>
        <w:t>) y E0 (</w:t>
      </w: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pacing w:val="0"/>
          <w:kern w:val="2"/>
          <w:sz w:val="24"/>
          <w:szCs w:val="24"/>
          <w:u w:val="none"/>
          <w:shd w:fill="auto" w:val="clear"/>
          <w:lang w:val="en-GB" w:eastAsia="zh-CN" w:bidi="ar-SA"/>
        </w:rPr>
        <w:t>1.10880</w:t>
      </w:r>
      <w:r>
        <w:rPr>
          <w:rFonts w:eastAsia="Times New Roman" w:cs="Times New Roman" w:ascii="Times New Roman" w:hAnsi="Times New Roman"/>
          <w:b w:val="false"/>
          <w:bCs w:val="false"/>
          <w:i w:val="false"/>
          <w:iCs w:val="false"/>
          <w:caps w:val="false"/>
          <w:smallCaps w:val="false"/>
          <w:color w:val="000000"/>
          <w:spacing w:val="0"/>
          <w:kern w:val="2"/>
          <w:sz w:val="24"/>
          <w:szCs w:val="24"/>
          <w:u w:val="none"/>
          <w:shd w:fill="auto" w:val="clear"/>
          <w:lang w:val="en-GB" w:eastAsia="zh-CN" w:bidi="ar-SA"/>
        </w:rPr>
        <w:t>), y menor en E7 (</w:t>
      </w:r>
      <w:r>
        <w:rPr>
          <w:rFonts w:eastAsia="Times New Roman" w:cs="Times New Roman" w:ascii="Times New Roman" w:hAnsi="Times New Roman"/>
          <w:b w:val="false"/>
          <w:bCs w:val="false"/>
          <w:i w:val="false"/>
          <w:iCs w:val="false"/>
          <w:caps w:val="false"/>
          <w:smallCaps w:val="false"/>
          <w:strike w:val="false"/>
          <w:dstrike w:val="false"/>
          <w:outline w:val="false"/>
          <w:shadow w:val="false"/>
          <w:color w:val="000000"/>
          <w:spacing w:val="0"/>
          <w:kern w:val="2"/>
          <w:sz w:val="24"/>
          <w:szCs w:val="24"/>
          <w:u w:val="none"/>
          <w:shd w:fill="auto" w:val="clear"/>
          <w:lang w:val="en-GB" w:eastAsia="zh-CN" w:bidi="ar-SA"/>
        </w:rPr>
        <w:t>1.00012</w:t>
      </w:r>
      <w:r>
        <w:rPr>
          <w:rFonts w:eastAsia="Times New Roman" w:cs="Times New Roman" w:ascii="Times New Roman" w:hAnsi="Times New Roman"/>
          <w:b w:val="false"/>
          <w:bCs w:val="false"/>
          <w:i w:val="false"/>
          <w:iCs w:val="false"/>
          <w:caps w:val="false"/>
          <w:smallCaps w:val="false"/>
          <w:color w:val="000000"/>
          <w:spacing w:val="0"/>
          <w:kern w:val="2"/>
          <w:sz w:val="24"/>
          <w:szCs w:val="24"/>
          <w:u w:val="none"/>
          <w:shd w:fill="auto" w:val="clear"/>
          <w:lang w:val="en-GB" w:eastAsia="zh-CN" w:bidi="ar-SA"/>
        </w:rPr>
        <w:t>).</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pPr>
      <w:r>
        <w:rPr>
          <w:b/>
          <w:bCs/>
          <w:i w:val="false"/>
          <w:caps w:val="false"/>
          <w:smallCaps w:val="false"/>
          <w:color w:val="000000"/>
          <w:spacing w:val="0"/>
          <w:sz w:val="24"/>
          <w:szCs w:val="24"/>
        </w:rPr>
        <w:t>Tabla 1.</w:t>
      </w:r>
      <w:r>
        <w:rPr>
          <w:b w:val="false"/>
          <w:bCs w:val="false"/>
          <w:i w:val="false"/>
          <w:caps w:val="false"/>
          <w:smallCaps w:val="false"/>
          <w:color w:val="000000"/>
          <w:spacing w:val="0"/>
          <w:sz w:val="24"/>
          <w:szCs w:val="24"/>
        </w:rPr>
        <w:t xml:space="preserve"> </w:t>
      </w:r>
      <w:r>
        <w:rPr>
          <w:b w:val="false"/>
          <w:bCs w:val="false"/>
          <w:i w:val="false"/>
          <w:caps w:val="false"/>
          <w:smallCaps w:val="false"/>
          <w:color w:val="000000"/>
          <w:spacing w:val="0"/>
          <w:sz w:val="24"/>
          <w:szCs w:val="24"/>
          <w:shd w:fill="auto" w:val="clear"/>
        </w:rPr>
        <w:t>Estima de sesgo y dispersión para el carácter edad al primer parto.</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Escenarios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Sesgo</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Dispersión</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5.39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1.06</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4.89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1.03</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5.08</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1.09</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4.46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4.96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1.08</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4.87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5.07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1.10</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4.43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0.99</w:t>
            </w:r>
          </w:p>
        </w:tc>
      </w:tr>
      <w:tr>
        <w:trPr/>
        <w:tc>
          <w:tcPr>
            <w:tcW w:w="3324"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4.60</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1.02</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sin información de genotipos; E1, genotipos con densidad de 43,421 marcadores; E2, genotipos con densidad de 579,424 marcadores; E3, genotipos con densidad de 5,534 marcadores, E4, genotipos con densidad de 97,779 marcadores; E5, genotipos con densidad de 13,961 marcadores, E6, genotipos con densidad de 203,612 marcadores; E7, genotipos con densidad de 5,000 marcadores; E8, genotipos con densidad de 13,999 marcadores.</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Para el carácter intervalo entre el primer y el segundo parto</w:t>
      </w:r>
      <w:r>
        <w:rPr>
          <w:rFonts w:eastAsia="Noto Serif CJK SC" w:cs="Lohit Devanagari"/>
          <w:b w:val="false"/>
          <w:bCs w:val="false"/>
          <w:i w:val="false"/>
          <w:caps w:val="false"/>
          <w:smallCaps w:val="false"/>
          <w:color w:val="000000"/>
          <w:spacing w:val="0"/>
          <w:kern w:val="2"/>
          <w:sz w:val="24"/>
          <w:szCs w:val="24"/>
          <w:lang w:val="es-ES" w:eastAsia="zh-CN" w:bidi="hi-IN"/>
        </w:rPr>
        <w:t xml:space="preserve"> (figura 3)</w:t>
      </w:r>
      <w:r>
        <w:rPr>
          <w:b w:val="false"/>
          <w:bCs w:val="false"/>
          <w:i w:val="false"/>
          <w:caps w:val="false"/>
          <w:smallCaps w:val="false"/>
          <w:color w:val="000000"/>
          <w:spacing w:val="0"/>
          <w:sz w:val="24"/>
          <w:szCs w:val="24"/>
        </w:rPr>
        <w:t>, se observ</w:t>
      </w:r>
      <w:r>
        <w:rPr>
          <w:rFonts w:eastAsia="Noto Serif CJK SC" w:cs="Lohit Devanagari"/>
          <w:b w:val="false"/>
          <w:bCs w:val="false"/>
          <w:i w:val="false"/>
          <w:caps w:val="false"/>
          <w:smallCaps w:val="false"/>
          <w:color w:val="000000"/>
          <w:spacing w:val="0"/>
          <w:kern w:val="2"/>
          <w:sz w:val="24"/>
          <w:szCs w:val="24"/>
          <w:lang w:val="es-ES" w:eastAsia="zh-CN" w:bidi="hi-IN"/>
        </w:rPr>
        <w:t>ó</w:t>
      </w:r>
      <w:r>
        <w:rPr>
          <w:b w:val="false"/>
          <w:bCs w:val="false"/>
          <w:i w:val="false"/>
          <w:caps w:val="false"/>
          <w:smallCaps w:val="false"/>
          <w:color w:val="000000"/>
          <w:spacing w:val="0"/>
          <w:sz w:val="24"/>
          <w:szCs w:val="24"/>
        </w:rPr>
        <w:t xml:space="preserve"> un patr</w:t>
      </w:r>
      <w:r>
        <w:rPr>
          <w:rFonts w:eastAsia="Noto Serif CJK SC" w:cs="Lohit Devanagari"/>
          <w:b w:val="false"/>
          <w:bCs w:val="false"/>
          <w:i w:val="false"/>
          <w:caps w:val="false"/>
          <w:smallCaps w:val="false"/>
          <w:color w:val="000000"/>
          <w:spacing w:val="0"/>
          <w:kern w:val="2"/>
          <w:sz w:val="24"/>
          <w:szCs w:val="24"/>
          <w:lang w:val="es-ES" w:eastAsia="zh-CN" w:bidi="hi-IN"/>
        </w:rPr>
        <w:t>ón generalmente similar al presentado anteriormente para el carácter edad al primer parto. La precisión de los GEBV fue mayor en el escenario E7, y en general, dicha precisión fue mayor en los escenarios en los que se utilizó el ssGBLUP, con valores entre 0.39320 a 0.41911, comparado con BLUP (0.34921). Sin embargo, la incertidumbre asociada a la estimación de los GEBV fue menor en el escenario E0.</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both"/>
        <w:rPr>
          <w:b w:val="false"/>
          <w:b w:val="false"/>
          <w:bCs w:val="false"/>
          <w:i w:val="false"/>
          <w:i w:val="false"/>
          <w:caps w:val="false"/>
          <w:smallCaps w:val="false"/>
          <w:color w:val="000000"/>
          <w:spacing w:val="0"/>
          <w:sz w:val="24"/>
          <w:szCs w:val="24"/>
        </w:rPr>
      </w:pPr>
      <w:r>
        <w:rPr>
          <w:b/>
          <w:bCs/>
          <w:i w:val="false"/>
          <w:caps w:val="false"/>
          <w:smallCaps w:val="false"/>
          <w:color w:val="000000"/>
          <w:spacing w:val="0"/>
          <w:sz w:val="24"/>
          <w:szCs w:val="24"/>
        </w:rPr>
        <w:t>Figura 3.</w:t>
      </w:r>
      <w:r>
        <w:rPr>
          <w:b w:val="false"/>
          <w:bCs w:val="false"/>
          <w:i w:val="false"/>
          <w:caps w:val="false"/>
          <w:smallCaps w:val="false"/>
          <w:color w:val="000000"/>
          <w:spacing w:val="0"/>
          <w:sz w:val="24"/>
          <w:szCs w:val="24"/>
        </w:rPr>
        <w:t xml:space="preserve"> Estima de precisión para el carácter intervalo entre el primer y el segundo parto. El gr</w:t>
      </w:r>
      <w:r>
        <w:rPr>
          <w:rFonts w:eastAsia="Noto Serif CJK SC" w:cs="Lohit Devanagari"/>
          <w:b w:val="false"/>
          <w:bCs w:val="false"/>
          <w:i w:val="false"/>
          <w:caps w:val="false"/>
          <w:smallCaps w:val="false"/>
          <w:color w:val="000000"/>
          <w:spacing w:val="0"/>
          <w:kern w:val="2"/>
          <w:sz w:val="24"/>
          <w:szCs w:val="24"/>
          <w:lang w:val="es-ES" w:eastAsia="zh-CN" w:bidi="hi-IN"/>
        </w:rPr>
        <w:t>áfico de barras (parte inferior del gráfico) indica el valor de la estima de precisión mientras que las barras de error (parte superior del gráfico) indican el intervalo de confianza al 95% (ICS, Intervalo de Confianza Superior; ICI, Intervalo de Confianza Inferior)</w:t>
      </w:r>
      <w:r>
        <w:rPr>
          <w:b w:val="false"/>
          <w:bCs w:val="false"/>
          <w:i w:val="false"/>
          <w:caps w:val="false"/>
          <w:smallCaps w:val="false"/>
          <w:color w:val="000000"/>
          <w:spacing w:val="0"/>
          <w:sz w:val="24"/>
          <w:szCs w:val="24"/>
        </w:rPr>
        <w:t>.</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En relaci</w:t>
      </w:r>
      <w:r>
        <w:rPr>
          <w:rFonts w:eastAsia="Noto Serif CJK SC" w:cs="Lohit Devanagari"/>
          <w:b w:val="false"/>
          <w:bCs w:val="false"/>
          <w:i w:val="false"/>
          <w:caps w:val="false"/>
          <w:smallCaps w:val="false"/>
          <w:color w:val="000000"/>
          <w:spacing w:val="0"/>
          <w:kern w:val="2"/>
          <w:sz w:val="24"/>
          <w:szCs w:val="24"/>
          <w:lang w:val="es-ES" w:eastAsia="zh-CN" w:bidi="hi-IN"/>
        </w:rPr>
        <w:t xml:space="preserve">ón con la estima de sesgo para el carácter intervalo entre el primer y el segundo parto (tabla 2), todos los escenarios produjeron GEBV sesgados, siendo este menor (más cercano a 0) en los escenarios E2, E3 y E4. A su vez, los GEBV para este carácter resultaron en una dispersión excesiva, siendo esta mayor (más alejado a 1) en el escenario E0, donde se utilizó el BLUP, con un valor igual a </w:t>
      </w:r>
      <w:r>
        <w:rPr>
          <w:rFonts w:eastAsia="Noto Serif CJK SC" w:cs="Lohit Devanagari"/>
          <w:b w:val="false"/>
          <w:bCs w:val="false"/>
          <w:i w:val="false"/>
          <w:iCs w:val="false"/>
          <w:caps w:val="false"/>
          <w:smallCaps w:val="false"/>
          <w:strike w:val="false"/>
          <w:dstrike w:val="false"/>
          <w:outline w:val="false"/>
          <w:shadow w:val="false"/>
          <w:color w:val="000000"/>
          <w:spacing w:val="0"/>
          <w:kern w:val="2"/>
          <w:sz w:val="24"/>
          <w:szCs w:val="24"/>
          <w:u w:val="none"/>
          <w:lang w:val="es-ES" w:eastAsia="zh-CN" w:bidi="hi-IN"/>
        </w:rPr>
        <w:t>1.56294</w:t>
      </w:r>
      <w:r>
        <w:rPr>
          <w:rFonts w:eastAsia="Noto Serif CJK SC" w:cs="Lohit Devanagari"/>
          <w:b w:val="false"/>
          <w:bCs w:val="false"/>
          <w:i w:val="false"/>
          <w:caps w:val="false"/>
          <w:smallCaps w:val="false"/>
          <w:color w:val="000000"/>
          <w:spacing w:val="0"/>
          <w:kern w:val="2"/>
          <w:sz w:val="24"/>
          <w:szCs w:val="24"/>
          <w:lang w:val="es-ES" w:eastAsia="zh-CN" w:bidi="hi-IN"/>
        </w:rPr>
        <w:t>.</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pPr>
      <w:r>
        <w:rPr>
          <w:b/>
          <w:bCs/>
          <w:i w:val="false"/>
          <w:caps w:val="false"/>
          <w:smallCaps w:val="false"/>
          <w:color w:val="000000"/>
          <w:spacing w:val="0"/>
          <w:sz w:val="24"/>
          <w:szCs w:val="24"/>
        </w:rPr>
        <w:t>Tabla 2.</w:t>
      </w:r>
      <w:r>
        <w:rPr>
          <w:b w:val="false"/>
          <w:bCs w:val="false"/>
          <w:i w:val="false"/>
          <w:caps w:val="false"/>
          <w:smallCaps w:val="false"/>
          <w:color w:val="000000"/>
          <w:spacing w:val="0"/>
          <w:sz w:val="24"/>
          <w:szCs w:val="24"/>
        </w:rPr>
        <w:t xml:space="preserve"> </w:t>
      </w:r>
      <w:r>
        <w:rPr>
          <w:b w:val="false"/>
          <w:bCs w:val="false"/>
          <w:i w:val="false"/>
          <w:caps w:val="false"/>
          <w:smallCaps w:val="false"/>
          <w:color w:val="000000"/>
          <w:spacing w:val="0"/>
          <w:sz w:val="24"/>
          <w:szCs w:val="24"/>
          <w:shd w:fill="auto" w:val="clear"/>
        </w:rPr>
        <w:t>Estima de sesgo y dispersión  para el carácter intervalo entre el primer y el segundo parto.</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3324"/>
        <w:gridCol w:w="3324"/>
        <w:gridCol w:w="3324"/>
      </w:tblGrid>
      <w:tr>
        <w:trPr/>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Escenarios</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Sesgo</w:t>
            </w:r>
          </w:p>
        </w:tc>
        <w:tc>
          <w:tcPr>
            <w:tcW w:w="3324" w:type="dxa"/>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Dispersión</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0.06765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1.56294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0.07395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1.45721</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0.05830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1.46762</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0.05800</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1.46456</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0.05612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1.46343</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0.07242</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1.43608</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0.06926</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1.45914</w:t>
            </w:r>
          </w:p>
        </w:tc>
      </w:tr>
      <w:tr>
        <w:trPr/>
        <w:tc>
          <w:tcPr>
            <w:tcW w:w="3324"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0.06809</w:t>
            </w:r>
          </w:p>
        </w:tc>
        <w:tc>
          <w:tcPr>
            <w:tcW w:w="3324"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1.42884</w:t>
            </w:r>
          </w:p>
        </w:tc>
      </w:tr>
      <w:tr>
        <w:trPr/>
        <w:tc>
          <w:tcPr>
            <w:tcW w:w="3324"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0.07108</w:t>
            </w:r>
          </w:p>
        </w:tc>
        <w:tc>
          <w:tcPr>
            <w:tcW w:w="3324"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1.43433</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sin información de genotipos; E1, genotipos con densidad de 43,421 marcadores; E2, genotipos con densidad de 579,424 marcadores; E3, genotipos con densidad de 5,534 marcadores, E4, genotipos con densidad de 97,779 marcadores; E5, genotipos con densidad de 13,961 marcadores, E6, genotipos con densidad de 203,612 marcadores; E7, genotipos con densidad de 5,000 marcadores; E8, genotipos con densidad de 13,999 marcadores.</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t xml:space="preserve">La precisión de los GEBV </w:t>
      </w: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para el carácter peso al destete derivados d</w:t>
      </w:r>
      <w:r>
        <w:rPr>
          <w:rFonts w:eastAsia="Noto Serif CJK SC" w:cs="Lohit Devanagari"/>
          <w:b w:val="false"/>
          <w:bCs w:val="false"/>
          <w:i w:val="false"/>
          <w:caps w:val="false"/>
          <w:smallCaps w:val="false"/>
          <w:color w:val="000000"/>
          <w:spacing w:val="0"/>
          <w:kern w:val="2"/>
          <w:sz w:val="24"/>
          <w:szCs w:val="24"/>
          <w:lang w:val="es-ES" w:eastAsia="zh-CN" w:bidi="hi-IN"/>
        </w:rPr>
        <w:t xml:space="preserve">e escenarios con </w:t>
      </w: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 xml:space="preserve">marcadores de distinta densidad, se presenta en la figura 4. Para efectos directos y maternos, dicha estima varió entre 0.30376 (E0) a 0.40019 (E5) y entre 0.30513 (E0) a 0.38741 (E3), respectivamente. </w:t>
      </w:r>
      <w:r>
        <w:rPr>
          <w:rFonts w:eastAsia="Noto Serif CJK SC" w:cs="Lohit Devanagari"/>
          <w:kern w:val="2"/>
          <w:shd w:fill="auto" w:val="clear"/>
          <w:lang w:val="es-ES" w:eastAsia="zh-CN" w:bidi="hi-IN"/>
        </w:rPr>
        <w:t>Curiosamente, el escenario con mayor precisión no fue el mismo para los efectos directos y maternos, lo que podría indicar que la precisión de estos estimadores es dependiente del carácter específico. Además, la incertidumbre asociada a la estimación de la precisión fue menor en el escenario E0 en comparación con los escenarios E1 a E8, indicando una mayor variabilidad en la estima de precisión cuando se utilizó información genómica.</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spacing w:before="0" w:after="0"/>
        <w:jc w:val="both"/>
        <w:rPr>
          <w:b w:val="false"/>
          <w:b w:val="false"/>
          <w:bCs w:val="false"/>
          <w:i w:val="false"/>
          <w:i w:val="false"/>
          <w:caps w:val="false"/>
          <w:smallCaps w:val="false"/>
          <w:color w:val="000000"/>
          <w:spacing w:val="0"/>
          <w:sz w:val="24"/>
          <w:szCs w:val="24"/>
        </w:rPr>
      </w:pPr>
      <w:r>
        <w:rPr>
          <w:b/>
          <w:bCs/>
          <w:i w:val="false"/>
          <w:caps w:val="false"/>
          <w:smallCaps w:val="false"/>
          <w:color w:val="000000"/>
          <w:spacing w:val="0"/>
          <w:sz w:val="24"/>
          <w:szCs w:val="24"/>
        </w:rPr>
        <w:t>Figura 4.</w:t>
      </w:r>
      <w:r>
        <w:rPr>
          <w:b w:val="false"/>
          <w:bCs w:val="false"/>
          <w:i w:val="false"/>
          <w:caps w:val="false"/>
          <w:smallCaps w:val="false"/>
          <w:color w:val="000000"/>
          <w:spacing w:val="0"/>
          <w:sz w:val="24"/>
          <w:szCs w:val="24"/>
        </w:rPr>
        <w:t xml:space="preserve"> Estima de precisión para el carácter peso al destete (efectos directo y materno). El gr</w:t>
      </w:r>
      <w:r>
        <w:rPr>
          <w:rFonts w:eastAsia="Noto Serif CJK SC" w:cs="Lohit Devanagari"/>
          <w:b w:val="false"/>
          <w:bCs w:val="false"/>
          <w:i w:val="false"/>
          <w:caps w:val="false"/>
          <w:smallCaps w:val="false"/>
          <w:color w:val="000000"/>
          <w:spacing w:val="0"/>
          <w:kern w:val="2"/>
          <w:sz w:val="24"/>
          <w:szCs w:val="24"/>
          <w:lang w:val="es-ES" w:eastAsia="zh-CN" w:bidi="hi-IN"/>
        </w:rPr>
        <w:t>áfico de barras (parte inferior del gráfico) indica el valor de la estima de precisión mientras que las barras de error (parte superior del gráfico) indican el intervalo de confianza al 95% (ICS, Intervalo de Confianza Superior; ICI, Intervalo de Confianza Inferior)</w:t>
      </w:r>
      <w:r>
        <w:rPr>
          <w:b w:val="false"/>
          <w:bCs w:val="false"/>
          <w:i w:val="false"/>
          <w:caps w:val="false"/>
          <w:smallCaps w:val="false"/>
          <w:color w:val="000000"/>
          <w:spacing w:val="0"/>
          <w:sz w:val="24"/>
          <w:szCs w:val="24"/>
        </w:rPr>
        <w:t>.</w:t>
      </w:r>
    </w:p>
    <w:p>
      <w:pPr>
        <w:pStyle w:val="Normal"/>
        <w:bidi w:val="0"/>
        <w:spacing w:before="0" w:after="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b w:val="false"/>
          <w:b w:val="false"/>
          <w:bCs w:val="false"/>
          <w:i w:val="false"/>
          <w:i w:val="false"/>
          <w:caps w:val="false"/>
          <w:smallCaps w:val="false"/>
          <w:color w:val="000000"/>
          <w:spacing w:val="0"/>
          <w:sz w:val="24"/>
          <w:szCs w:val="24"/>
        </w:rPr>
      </w:pPr>
      <w:r>
        <w:rPr>
          <w:rFonts w:eastAsia="Noto Serif CJK SC" w:cs="Lohit Devanagari"/>
          <w:b w:val="false"/>
          <w:bCs w:val="false"/>
          <w:i w:val="false"/>
          <w:iCs w:val="false"/>
          <w:caps w:val="false"/>
          <w:smallCaps w:val="false"/>
          <w:color w:val="000000"/>
          <w:spacing w:val="0"/>
          <w:kern w:val="2"/>
          <w:sz w:val="24"/>
          <w:szCs w:val="24"/>
          <w:u w:val="none"/>
          <w:shd w:fill="auto" w:val="clear"/>
          <w:lang w:val="es-ES" w:eastAsia="zh-CN" w:bidi="hi-IN"/>
        </w:rPr>
        <w:t>Los estimadores de sesgo y dispersión para efectos directos y maternos del peso al destete pueden ser vistos en la tabla 3. Para el efecto directo, el sesgo osciló entre 0.04949 (E5) y 0.07085 (E7), mientras que la dispersión varió de 0.81701 (E0) a 0.99295 (E5). Estos resultados sugieren que, aunque algunos escenarios presentaron sesgos más bajos, la dispersión cercana al valor óptimo de 1 fue más común en los escenarios con información genómica (E1 a E8), siendo E5 el escenario con mejor rendimiento en términos de sesgo y dispersión. En cuanto al efecto materno, el sesgo varió entre -0.04060 (E5) y 0.01641 (E0), y la dispersión fluctuó de 0.75496 (E0) a 0.91915 (E5). Nuevamente, los escenarios que incluyeron información genómica tendieron a mostrar una dispersión más cercana a 1, aunque también presentaron sesgos negativos más pronunciados.</w:t>
      </w:r>
    </w:p>
    <w:p>
      <w:pPr>
        <w:pStyle w:val="Normal"/>
        <w:bidi w:val="0"/>
        <w:jc w:val="both"/>
        <w:rPr>
          <w:b w:val="false"/>
          <w:b w:val="false"/>
          <w:bCs w:val="false"/>
          <w:i w:val="false"/>
          <w:i w:val="false"/>
          <w:caps w:val="false"/>
          <w:smallCaps w:val="false"/>
          <w:color w:val="000000"/>
          <w:spacing w:val="0"/>
          <w:sz w:val="24"/>
          <w:szCs w:val="24"/>
        </w:rPr>
      </w:pPr>
      <w:r>
        <w:rPr>
          <w:b w:val="false"/>
          <w:bCs w:val="false"/>
          <w:i w:val="false"/>
          <w:caps w:val="false"/>
          <w:smallCaps w:val="false"/>
          <w:color w:val="000000"/>
          <w:spacing w:val="0"/>
          <w:sz w:val="24"/>
          <w:szCs w:val="24"/>
        </w:rPr>
      </w:r>
    </w:p>
    <w:p>
      <w:pPr>
        <w:pStyle w:val="Normal"/>
        <w:bidi w:val="0"/>
        <w:spacing w:before="0" w:after="0"/>
        <w:jc w:val="both"/>
        <w:rPr/>
      </w:pPr>
      <w:r>
        <w:rPr>
          <w:b/>
          <w:bCs/>
          <w:i w:val="false"/>
          <w:caps w:val="false"/>
          <w:smallCaps w:val="false"/>
          <w:color w:val="000000"/>
          <w:spacing w:val="0"/>
          <w:sz w:val="24"/>
          <w:szCs w:val="24"/>
        </w:rPr>
        <w:t>Tabla 3.</w:t>
      </w:r>
      <w:r>
        <w:rPr>
          <w:b w:val="false"/>
          <w:bCs w:val="false"/>
          <w:i w:val="false"/>
          <w:caps w:val="false"/>
          <w:smallCaps w:val="false"/>
          <w:color w:val="000000"/>
          <w:spacing w:val="0"/>
          <w:sz w:val="24"/>
          <w:szCs w:val="24"/>
        </w:rPr>
        <w:t xml:space="preserve"> </w:t>
      </w:r>
      <w:r>
        <w:rPr>
          <w:b w:val="false"/>
          <w:bCs w:val="false"/>
          <w:i w:val="false"/>
          <w:caps w:val="false"/>
          <w:smallCaps w:val="false"/>
          <w:color w:val="000000"/>
          <w:spacing w:val="0"/>
          <w:sz w:val="24"/>
          <w:szCs w:val="24"/>
          <w:shd w:fill="auto" w:val="clear"/>
        </w:rPr>
        <w:t>Estima de sesgo y dispersión  para el carácter peso al destete.</w:t>
      </w:r>
    </w:p>
    <w:p>
      <w:pPr>
        <w:pStyle w:val="Normal"/>
        <w:bidi w:val="0"/>
        <w:spacing w:before="0" w:after="0"/>
        <w:jc w:val="both"/>
        <w:rPr>
          <w:rFonts w:ascii="Liberation Serif" w:hAnsi="Liberation Serif"/>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tbl>
      <w:tblPr>
        <w:tblW w:w="5000" w:type="pct"/>
        <w:jc w:val="left"/>
        <w:tblInd w:w="0" w:type="dxa"/>
        <w:tblLayout w:type="fixed"/>
        <w:tblCellMar>
          <w:top w:w="0" w:type="dxa"/>
          <w:left w:w="0" w:type="dxa"/>
          <w:bottom w:w="0" w:type="dxa"/>
          <w:right w:w="0" w:type="dxa"/>
        </w:tblCellMar>
      </w:tblPr>
      <w:tblGrid>
        <w:gridCol w:w="1988"/>
        <w:gridCol w:w="1988"/>
        <w:gridCol w:w="2000"/>
        <w:gridCol w:w="1990"/>
        <w:gridCol w:w="2006"/>
      </w:tblGrid>
      <w:tr>
        <w:trPr/>
        <w:tc>
          <w:tcPr>
            <w:tcW w:w="1988" w:type="dxa"/>
            <w:vMerge w:val="restart"/>
            <w:tcBorders>
              <w:top w:val="single" w:sz="6" w:space="0" w:color="000000"/>
              <w:bottom w:val="single" w:sz="6" w:space="0" w:color="000000"/>
            </w:tcBorders>
            <w:vAlign w:val="cente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Escenarios</w:t>
            </w:r>
          </w:p>
        </w:tc>
        <w:tc>
          <w:tcPr>
            <w:tcW w:w="3988" w:type="dxa"/>
            <w:gridSpan w:val="2"/>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Efecto directo</w:t>
            </w:r>
          </w:p>
        </w:tc>
        <w:tc>
          <w:tcPr>
            <w:tcW w:w="3996" w:type="dxa"/>
            <w:gridSpan w:val="2"/>
            <w:tcBorders>
              <w:top w:val="single" w:sz="6" w:space="0" w:color="000000"/>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Efecto materno</w:t>
            </w:r>
          </w:p>
        </w:tc>
      </w:tr>
      <w:tr>
        <w:trPr/>
        <w:tc>
          <w:tcPr>
            <w:tcW w:w="1988" w:type="dxa"/>
            <w:vMerge w:val="continue"/>
            <w:tcBorders>
              <w:top w:val="single" w:sz="6" w:space="0" w:color="000000"/>
              <w:bottom w:val="single" w:sz="6" w:space="0" w:color="000000"/>
            </w:tcBorders>
          </w:tcPr>
          <w:p>
            <w:pPr>
              <w:pStyle w:val="Normal"/>
              <w:widowControl w:val="false"/>
              <w:bidi w:val="0"/>
              <w:jc w:val="left"/>
              <w:rPr/>
            </w:pPr>
            <w:r>
              <w:rPr/>
            </w:r>
          </w:p>
        </w:tc>
        <w:tc>
          <w:tcPr>
            <w:tcW w:w="1988"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Sesgo</w:t>
            </w:r>
          </w:p>
        </w:tc>
        <w:tc>
          <w:tcPr>
            <w:tcW w:w="2000"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Dispersión</w:t>
            </w:r>
          </w:p>
        </w:tc>
        <w:tc>
          <w:tcPr>
            <w:tcW w:w="1990"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Sesgo</w:t>
            </w:r>
          </w:p>
        </w:tc>
        <w:tc>
          <w:tcPr>
            <w:tcW w:w="2006" w:type="dxa"/>
            <w:tcBorders>
              <w:bottom w:val="single" w:sz="4" w:space="0" w:color="000000"/>
            </w:tcBorders>
            <w:tcMar>
              <w:top w:w="55" w:type="dxa"/>
              <w:left w:w="55" w:type="dxa"/>
              <w:bottom w:w="55" w:type="dxa"/>
              <w:right w:w="55" w:type="dxa"/>
            </w:tcMar>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Dispersión</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E0</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0.05584</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0.81701</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0.01641</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0.75496</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E1</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0.05908</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0.92092</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-0.03365</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0.90304</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E2</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0.06447</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0.97738</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-0.03582</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0.87405</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E3</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0.06578</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0.99099</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-0.03811</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0.87307</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E4</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0.06047</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0.98355</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-0.03267</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0.87436</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E5</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0.04949</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0.99295</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-0.04060</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0.91915</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E6</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0.05422</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0.87008</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-0.02332</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0.82856</w:t>
            </w:r>
          </w:p>
        </w:tc>
      </w:tr>
      <w:tr>
        <w:trPr/>
        <w:tc>
          <w:tcPr>
            <w:tcW w:w="1988" w:type="dxa"/>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E7</w:t>
            </w:r>
          </w:p>
        </w:tc>
        <w:tc>
          <w:tcPr>
            <w:tcW w:w="1988"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0.07085</w:t>
            </w:r>
          </w:p>
        </w:tc>
        <w:tc>
          <w:tcPr>
            <w:tcW w:w="200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0.87008</w:t>
            </w:r>
          </w:p>
        </w:tc>
        <w:tc>
          <w:tcPr>
            <w:tcW w:w="1990"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-0.04046</w:t>
            </w:r>
          </w:p>
        </w:tc>
        <w:tc>
          <w:tcPr>
            <w:tcW w:w="2006" w:type="dxa"/>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0.85174</w:t>
            </w:r>
          </w:p>
        </w:tc>
      </w:tr>
      <w:tr>
        <w:trPr/>
        <w:tc>
          <w:tcPr>
            <w:tcW w:w="1988" w:type="dxa"/>
            <w:tcBorders>
              <w:bottom w:val="single" w:sz="6" w:space="0" w:color="000000"/>
            </w:tcBorders>
          </w:tcPr>
          <w:p>
            <w:pPr>
              <w:pStyle w:val="Contenidodelatabla"/>
              <w:widowControl w:val="false"/>
              <w:bidi w:val="0"/>
              <w:jc w:val="center"/>
              <w:rPr>
                <w:b/>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E8</w:t>
            </w:r>
          </w:p>
        </w:tc>
        <w:tc>
          <w:tcPr>
            <w:tcW w:w="1988"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0.05749</w:t>
            </w:r>
          </w:p>
        </w:tc>
        <w:tc>
          <w:tcPr>
            <w:tcW w:w="2000"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0.90903</w:t>
            </w:r>
          </w:p>
        </w:tc>
        <w:tc>
          <w:tcPr>
            <w:tcW w:w="1990"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-0.03584</w:t>
            </w:r>
          </w:p>
        </w:tc>
        <w:tc>
          <w:tcPr>
            <w:tcW w:w="2006" w:type="dxa"/>
            <w:tcBorders>
              <w:bottom w:val="single" w:sz="6" w:space="0" w:color="000000"/>
            </w:tcBorders>
          </w:tcPr>
          <w:p>
            <w:pPr>
              <w:pStyle w:val="Contenidodelatabla"/>
              <w:widowControl w:val="false"/>
              <w:bidi w:val="0"/>
              <w:jc w:val="center"/>
              <w:rPr>
                <w:b w:val="false"/>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0.87986</w:t>
            </w:r>
          </w:p>
        </w:tc>
      </w:tr>
    </w:tbl>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t>E0, sin información de genotipos; E1, genotipos con densidad de 43,421 marcadores; E2, genotipos con densidad de 579,424 marcadores; E3, genotipos con densidad de 5,534 marcadores, E4, genotipos con densidad de 97,779 marcadores; E5, genotipos con densidad de 13,961 marcadores, E6, genotipos con densidad de 203,612 marcadores; E7, genotipos con densidad de 5,000 marcadores; E8, genotipos con densidad de 13,999 marcadores.</w:t>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spacing w:before="0" w:after="0"/>
        <w:jc w:val="both"/>
        <w:rPr>
          <w:b/>
          <w:b/>
          <w:bCs/>
          <w:sz w:val="24"/>
          <w:szCs w:val="24"/>
        </w:rPr>
      </w:pPr>
      <w:r>
        <w:rPr>
          <w:b/>
          <w:bCs/>
          <w:i w:val="false"/>
          <w:caps w:val="false"/>
          <w:smallCaps w:val="false"/>
          <w:color w:val="000000"/>
          <w:spacing w:val="0"/>
          <w:sz w:val="24"/>
          <w:szCs w:val="24"/>
        </w:rPr>
        <w:t>4. Discusi</w:t>
      </w:r>
      <w:r>
        <w:rPr>
          <w:rFonts w:eastAsia="Noto Serif CJK SC" w:cs="Lohit Devanagari"/>
          <w:b/>
          <w:bCs/>
          <w:i w:val="false"/>
          <w:caps w:val="false"/>
          <w:smallCaps w:val="false"/>
          <w:color w:val="000000"/>
          <w:spacing w:val="0"/>
          <w:kern w:val="2"/>
          <w:sz w:val="24"/>
          <w:szCs w:val="24"/>
          <w:lang w:val="es-ES" w:eastAsia="zh-CN" w:bidi="hi-IN"/>
        </w:rPr>
        <w:t>ón</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b/>
          <w:bCs/>
          <w:sz w:val="24"/>
          <w:szCs w:val="24"/>
        </w:rPr>
      </w:pPr>
      <w:r>
        <w:rPr>
          <w:rFonts w:eastAsia="Noto Serif CJK SC" w:cs="Lohit Devanagari"/>
          <w:b w:val="false"/>
          <w:bCs w:val="false"/>
          <w:i w:val="false"/>
          <w:iCs w:val="false"/>
          <w:caps w:val="false"/>
          <w:smallCaps w:val="false"/>
          <w:color w:val="000000"/>
          <w:spacing w:val="0"/>
          <w:kern w:val="2"/>
          <w:sz w:val="24"/>
          <w:szCs w:val="24"/>
          <w:shd w:fill="auto" w:val="clear"/>
          <w:lang w:val="es-ES" w:eastAsia="zh-CN" w:bidi="hi-IN"/>
        </w:rPr>
        <w:t>Se obtuvieron estimaciones de precisión, sesgo y dispersión utilizando la metodología del modelo animal, basada en información de pedigrí y su combinación con matrices de parentesco genómico, a través de escenarios que emplearon marcadores de distinta densidad.</w:t>
      </w:r>
    </w:p>
    <w:p>
      <w:pPr>
        <w:pStyle w:val="Normal"/>
        <w:bidi w:val="0"/>
        <w:spacing w:before="0" w:after="0"/>
        <w:jc w:val="both"/>
        <w:rPr>
          <w:rFonts w:ascii="Liberation Serif" w:hAnsi="Liberation Serif" w:eastAsia="Noto Serif CJK SC" w:cs="Lohit Devanagari"/>
          <w:b w:val="false"/>
          <w:b w:val="false"/>
          <w:bCs w:val="false"/>
          <w:i w:val="false"/>
          <w:i w:val="false"/>
          <w:iCs w:val="false"/>
          <w:caps w:val="false"/>
          <w:smallCaps w:val="false"/>
          <w:color w:val="000000"/>
          <w:spacing w:val="0"/>
          <w:kern w:val="2"/>
          <w:shd w:fill="auto" w:val="clear"/>
          <w:lang w:val="es-ES" w:eastAsia="zh-CN" w:bidi="hi-IN"/>
        </w:rPr>
      </w:pPr>
      <w:r>
        <w:rPr>
          <w:rFonts w:eastAsia="Noto Serif CJK SC" w:cs="Lohit Devanagari"/>
          <w:b w:val="false"/>
          <w:bCs w:val="false"/>
          <w:i w:val="false"/>
          <w:iCs w:val="false"/>
          <w:caps w:val="false"/>
          <w:smallCaps w:val="false"/>
          <w:color w:val="000000"/>
          <w:spacing w:val="0"/>
          <w:kern w:val="2"/>
          <w:shd w:fill="auto" w:val="clear"/>
          <w:lang w:val="es-ES" w:eastAsia="zh-CN" w:bidi="hi-IN"/>
        </w:rPr>
      </w:r>
    </w:p>
    <w:p>
      <w:pPr>
        <w:pStyle w:val="Normal"/>
        <w:bidi w:val="0"/>
        <w:spacing w:before="0" w:after="0"/>
        <w:jc w:val="both"/>
        <w:rPr>
          <w:b/>
          <w:b/>
          <w:bCs/>
          <w:sz w:val="24"/>
          <w:szCs w:val="24"/>
          <w:highlight w:val="none"/>
          <w:shd w:fill="FFB66C" w:val="clear"/>
        </w:rPr>
      </w:pPr>
      <w:r>
        <w:rPr>
          <w:rFonts w:eastAsia="Noto Serif CJK SC" w:cs="Lohit Devanagari"/>
          <w:b w:val="false"/>
          <w:bCs w:val="false"/>
          <w:i w:val="false"/>
          <w:iCs w:val="false"/>
          <w:caps w:val="false"/>
          <w:smallCaps w:val="false"/>
          <w:color w:val="000000"/>
          <w:spacing w:val="0"/>
          <w:kern w:val="2"/>
          <w:sz w:val="24"/>
          <w:szCs w:val="24"/>
          <w:shd w:fill="FFB66C" w:val="clear"/>
          <w:lang w:val="es-ES" w:eastAsia="zh-CN" w:bidi="hi-IN"/>
        </w:rPr>
        <w:t>Hablar sobre las diferencias en precisión, sesgo y dispersión entre pedigrí e información genómica</w:t>
      </w:r>
    </w:p>
    <w:p>
      <w:pPr>
        <w:pStyle w:val="Normal"/>
        <w:bidi w:val="0"/>
        <w:spacing w:before="0" w:after="0"/>
        <w:jc w:val="both"/>
        <w:rPr>
          <w:rFonts w:ascii="Liberation Serif" w:hAnsi="Liberation Serif" w:eastAsia="Noto Serif CJK SC" w:cs="Lohit Devanagari"/>
          <w:b w:val="false"/>
          <w:b w:val="false"/>
          <w:bCs w:val="false"/>
          <w:i w:val="false"/>
          <w:i w:val="false"/>
          <w:iCs w:val="false"/>
          <w:caps w:val="false"/>
          <w:smallCaps w:val="false"/>
          <w:color w:val="000000"/>
          <w:spacing w:val="0"/>
          <w:kern w:val="2"/>
          <w:shd w:fill="auto" w:val="clear"/>
          <w:lang w:val="es-ES" w:eastAsia="zh-CN" w:bidi="hi-IN"/>
        </w:rPr>
      </w:pPr>
      <w:r>
        <w:rPr>
          <w:rFonts w:eastAsia="Noto Serif CJK SC" w:cs="Lohit Devanagari"/>
          <w:b w:val="false"/>
          <w:bCs w:val="false"/>
          <w:i w:val="false"/>
          <w:iCs w:val="false"/>
          <w:caps w:val="false"/>
          <w:smallCaps w:val="false"/>
          <w:color w:val="000000"/>
          <w:spacing w:val="0"/>
          <w:kern w:val="2"/>
          <w:shd w:fill="auto" w:val="clear"/>
          <w:lang w:val="es-ES" w:eastAsia="zh-CN" w:bidi="hi-IN"/>
        </w:rPr>
      </w:r>
    </w:p>
    <w:p>
      <w:pPr>
        <w:pStyle w:val="Normal"/>
        <w:bidi w:val="0"/>
        <w:spacing w:before="0" w:after="0"/>
        <w:jc w:val="both"/>
        <w:rPr>
          <w:b/>
          <w:b/>
          <w:sz w:val="24"/>
          <w:szCs w:val="24"/>
        </w:rPr>
      </w:pP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En los caracteres evaluados, la precisión de los GEBV fue consistente con lo reportado en estudios previos (</w:t>
      </w:r>
      <w:r>
        <w:rPr>
          <w:rFonts w:eastAsia="Noto Serif CJK SC" w:cs="Lohit Devanagari"/>
          <w:b w:val="false"/>
          <w:bCs w:val="false"/>
          <w:i w:val="false"/>
          <w:caps w:val="false"/>
          <w:smallCaps w:val="false"/>
          <w:color w:val="000000"/>
          <w:spacing w:val="0"/>
          <w:kern w:val="2"/>
          <w:sz w:val="24"/>
          <w:szCs w:val="24"/>
          <w:shd w:fill="FF3838" w:val="clear"/>
          <w:lang w:val="es-ES" w:eastAsia="zh-CN" w:bidi="hi-IN"/>
        </w:rPr>
        <w:t>MENCIONAR REFERENCIAS</w:t>
      </w: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 ya que en este estudio la inclusión de información genómica aumentó la precisión en comparación con el uso exclusivo de información de pedigrí.</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highlight w:val="none"/>
          <w:shd w:fill="auto" w:val="clear"/>
          <w:lang w:val="es-ES" w:eastAsia="zh-CN" w:bidi="hi-IN"/>
        </w:rPr>
      </w:pPr>
      <w:r>
        <w:rPr>
          <w:rFonts w:eastAsia="Noto Serif CJK SC" w:cs="Lohit Devanagari"/>
          <w:b w:val="false"/>
          <w:bCs w:val="false"/>
          <w:i w:val="false"/>
          <w:caps w:val="false"/>
          <w:smallCaps w:val="false"/>
          <w:color w:val="000000"/>
          <w:spacing w:val="0"/>
          <w:kern w:val="2"/>
          <w:shd w:fill="auto" w:val="clear"/>
          <w:lang w:val="es-ES" w:eastAsia="zh-CN" w:bidi="hi-IN"/>
        </w:rPr>
      </w:r>
    </w:p>
    <w:p>
      <w:pPr>
        <w:pStyle w:val="Normal"/>
        <w:bidi w:val="0"/>
        <w:spacing w:before="0" w:after="0"/>
        <w:jc w:val="both"/>
        <w:rPr/>
      </w:pP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La ganancia en precisión al incluir información genómica es un tema de interés en las evaluaciones genéticas. A diferencia del BLUP, que se basa únicamente en la relación familiar entre individuos, los métodos que integran información genómica permiten capturar variación a nivel del ADN que no es explicada por el pedigrí, en parte debido al muestreo mendeliano (</w:t>
      </w:r>
      <w:r>
        <w:rPr>
          <w:rFonts w:eastAsia="Noto Serif CJK SC" w:cs="Lohit Devanagari"/>
          <w:bCs w:val="false"/>
          <w:kern w:val="2"/>
          <w:shd w:fill="B2B2B2" w:val="clear"/>
          <w:lang w:val="es-ES" w:eastAsia="zh-CN" w:bidi="hi-IN"/>
        </w:rPr>
        <w:t>Daetwyler et al. 2007</w:t>
      </w: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 Además, estos métodos pueden revelar relaciones entre individuos que aparentemente no están relacionados en el pedigrí (</w:t>
      </w:r>
      <w:r>
        <w:rPr>
          <w:rFonts w:eastAsia="Noto Serif CJK SC" w:cs="Lohit Devanagari"/>
          <w:b w:val="false"/>
          <w:bCs w:val="false"/>
          <w:i w:val="false"/>
          <w:caps w:val="false"/>
          <w:smallCaps w:val="false"/>
          <w:color w:val="000000"/>
          <w:spacing w:val="0"/>
          <w:kern w:val="2"/>
          <w:sz w:val="24"/>
          <w:szCs w:val="24"/>
          <w:shd w:fill="B2B2B2" w:val="clear"/>
          <w:lang w:val="es-ES" w:eastAsia="zh-CN" w:bidi="hi-IN"/>
        </w:rPr>
        <w:t>Pszczola et al. 2012</w:t>
      </w: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t>), proporcionando una representación más precisa de la estructura genética de la población.</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sz w:val="24"/>
          <w:szCs w:val="24"/>
          <w:highlight w:val="none"/>
          <w:shd w:fill="auto" w:val="clear"/>
          <w:lang w:val="es-ES" w:eastAsia="zh-CN" w:bidi="hi-IN"/>
        </w:rPr>
      </w:pPr>
      <w:r>
        <w:rPr>
          <w:rFonts w:eastAsia="Noto Serif CJK SC" w:cs="Lohit Devanagari"/>
          <w:b w:val="false"/>
          <w:bCs w:val="false"/>
          <w:i w:val="false"/>
          <w:caps w:val="false"/>
          <w:smallCaps w:val="false"/>
          <w:color w:val="000000"/>
          <w:spacing w:val="0"/>
          <w:kern w:val="2"/>
          <w:sz w:val="24"/>
          <w:szCs w:val="24"/>
          <w:shd w:fill="auto" w:val="clear"/>
          <w:lang w:val="es-ES" w:eastAsia="zh-CN" w:bidi="hi-IN"/>
        </w:rPr>
      </w:r>
    </w:p>
    <w:p>
      <w:pPr>
        <w:pStyle w:val="Normal"/>
        <w:bidi w:val="0"/>
        <w:spacing w:before="0" w:after="0"/>
        <w:jc w:val="both"/>
        <w:rPr>
          <w:highlight w:val="none"/>
          <w:shd w:fill="FF3838" w:val="clear"/>
        </w:rPr>
      </w:pPr>
      <w:r>
        <w:rPr>
          <w:rFonts w:eastAsia="Noto Serif CJK SC" w:cs="Lohit Devanagari"/>
          <w:b w:val="false"/>
          <w:bCs w:val="false"/>
          <w:i w:val="false"/>
          <w:caps w:val="false"/>
          <w:smallCaps w:val="false"/>
          <w:color w:val="000000"/>
          <w:spacing w:val="0"/>
          <w:kern w:val="2"/>
          <w:sz w:val="24"/>
          <w:szCs w:val="24"/>
          <w:shd w:fill="FF3838" w:val="clear"/>
          <w:lang w:val="es-ES" w:eastAsia="zh-CN" w:bidi="hi-IN"/>
        </w:rPr>
        <w:t>Mencionar también el sesgo y la dispersión</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b/>
          <w:bCs/>
          <w:sz w:val="24"/>
          <w:szCs w:val="24"/>
          <w:highlight w:val="none"/>
          <w:shd w:fill="FFB66C" w:val="clear"/>
        </w:rPr>
      </w:pPr>
      <w:r>
        <w:rPr>
          <w:rFonts w:eastAsia="Noto Serif CJK SC" w:cs="Lohit Devanagari"/>
          <w:b w:val="false"/>
          <w:bCs w:val="false"/>
          <w:i w:val="false"/>
          <w:caps w:val="false"/>
          <w:smallCaps w:val="false"/>
          <w:color w:val="000000"/>
          <w:spacing w:val="0"/>
          <w:kern w:val="2"/>
          <w:sz w:val="24"/>
          <w:szCs w:val="24"/>
          <w:shd w:fill="FFB66C" w:val="clear"/>
          <w:lang w:val="es-ES" w:eastAsia="zh-CN" w:bidi="hi-IN"/>
        </w:rPr>
        <w:t>Hablar sobre las diferencias en precisión, sesgo y dispersión entre los caracteres</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pPr>
      <w:r>
        <w:rPr>
          <w:rStyle w:val="Destaquemayor"/>
          <w:rFonts w:eastAsia="Noto Serif CJK SC" w:cs="Lohit Devanagari"/>
          <w:b w:val="false"/>
          <w:bCs w:val="false"/>
          <w:i w:val="false"/>
          <w:caps w:val="false"/>
          <w:smallCaps w:val="false"/>
          <w:color w:val="000000"/>
          <w:spacing w:val="0"/>
          <w:kern w:val="2"/>
          <w:sz w:val="24"/>
          <w:szCs w:val="24"/>
          <w:lang w:val="es-ES" w:eastAsia="zh-CN" w:bidi="hi-IN"/>
        </w:rPr>
        <w:t>Según las estimaciones de precisión presentadas en las figuras 2 y 3, en comparación con la figura 4, se observaron mayores ganancias en precisión asociadas con el ssGBLUP en los dos caracteres reproductivos en comparación con el peso al destete. En particular, la ganancia en precisión es ligeramente menor para el intervalo entre el primer y el segundo parto, mientras que es significativamente mayor para la edad al primer parto. Generalmente, la literatura reporta que los caracteres productivos tienden a tener mayor precisión que los caracteres reproductivos (</w:t>
      </w:r>
      <w:r>
        <w:rPr>
          <w:rStyle w:val="Destaquemayor"/>
          <w:rFonts w:eastAsia="Noto Serif CJK SC" w:cs="Lohit Devanagari"/>
          <w:b w:val="false"/>
          <w:bCs w:val="false"/>
          <w:i w:val="false"/>
          <w:caps w:val="false"/>
          <w:smallCaps w:val="false"/>
          <w:color w:val="000000"/>
          <w:spacing w:val="0"/>
          <w:kern w:val="2"/>
          <w:sz w:val="24"/>
          <w:szCs w:val="24"/>
          <w:shd w:fill="FF3838" w:val="clear"/>
          <w:lang w:val="es-ES" w:eastAsia="zh-CN" w:bidi="hi-IN"/>
        </w:rPr>
        <w:t>MENCIONAR REFERENCIAS</w:t>
      </w:r>
      <w:r>
        <w:rPr>
          <w:rStyle w:val="Destaquemayor"/>
          <w:rFonts w:eastAsia="Noto Serif CJK SC" w:cs="Lohit Devanagari"/>
          <w:b w:val="false"/>
          <w:bCs w:val="false"/>
          <w:i w:val="false"/>
          <w:caps w:val="false"/>
          <w:smallCaps w:val="false"/>
          <w:color w:val="000000"/>
          <w:spacing w:val="0"/>
          <w:kern w:val="2"/>
          <w:sz w:val="24"/>
          <w:szCs w:val="24"/>
          <w:lang w:val="es-ES" w:eastAsia="zh-CN" w:bidi="hi-IN"/>
        </w:rPr>
        <w:t>), debido a su mayor heredabilidad y menor influencia de factores ambientales. Creemos que los resultados de este estudio pueden deberse a las particularidades de la población estudiada.</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b/>
          <w:bCs/>
          <w:sz w:val="24"/>
          <w:szCs w:val="24"/>
        </w:rPr>
      </w:pPr>
      <w:r>
        <w:rPr>
          <w:rFonts w:eastAsia="Noto Serif CJK SC" w:cs="Lohit Devanagari"/>
          <w:b w:val="false"/>
          <w:bCs w:val="false"/>
          <w:i w:val="false"/>
          <w:caps w:val="false"/>
          <w:smallCaps w:val="false"/>
          <w:color w:val="000000"/>
          <w:spacing w:val="0"/>
          <w:kern w:val="2"/>
          <w:sz w:val="24"/>
          <w:szCs w:val="24"/>
          <w:lang w:val="es-ES" w:eastAsia="zh-CN" w:bidi="hi-IN"/>
        </w:rPr>
        <w:t>--</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b/>
          <w:bCs/>
          <w:sz w:val="24"/>
          <w:szCs w:val="24"/>
        </w:rPr>
      </w:pP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Para los rasgos de reproducción, ganancias ligeramente menores se asociaron con ssGBLUP si se compara con los rasgos de producción. En el caso de NLB, no hubo diferencia en ACC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FFFF00" w:val="clear"/>
          <w:lang w:val="es-ES" w:eastAsia="zh-CN" w:bidi="hi-IN"/>
        </w:rPr>
        <w:t>LR</w:t>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 pero un aumento notable en la precisión para TWW (+12%) así como NLW (+18%). En el caso del Escenario II, fue evidente que la falta de información "dentro de la parvada" resultó en una reducción general en ACC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FFFF00" w:val="clear"/>
          <w:lang w:val="es-ES" w:eastAsia="zh-CN" w:bidi="hi-IN"/>
        </w:rPr>
        <w:t>LR</w:t>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en todos los rasgos para ambos métodos de análisis. Para los rasgos de producción, la precisión fue moderada entre 0,18 para WW (ABLUP) y 0,54 para FD (ssGBLUP). Para la reproducción, los valores de ACC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FFFF00" w:val="clear"/>
          <w:lang w:val="es-ES" w:eastAsia="zh-CN" w:bidi="hi-IN"/>
        </w:rPr>
        <w:t>LR</w:t>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fueron generalmente bajos y oscilaron entre 0,12 (ABLUP) para TWW y 0,22 (ssGBLUP) para NLW. En el Escenario II, sin embargo, hubo ganancias proporcionales considerablemente mayores (%) para ssGBLUP en comparación con ABLUP, especialmente para los rasgos de producción. Curiosamente, para los rasgos WW, YW, CFW y SL, el ACC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FFFF00" w:val="clear"/>
          <w:lang w:val="es-ES" w:eastAsia="zh-CN" w:bidi="hi-IN"/>
        </w:rPr>
        <w:t>LR</w:t>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derivado de ssGBLUP en el Escenario II igualó o superó la precisión obtenida de ABLUP en el Escenario I, es decir, a partir de los resultados derivados de la información "dentro de la parvada". Este patrón no fue visible en el grupo de rasgos de reproducción, pero la ganancia relativa (hasta +29% para NLW) lograda por el análisis ssGBLUP fue favorable para los rasgos con un h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FFFF00" w:val="clear"/>
          <w:lang w:val="es-ES" w:eastAsia="zh-CN" w:bidi="hi-IN"/>
        </w:rPr>
        <w:t>2</w:t>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bajo a muy bajo (ver Tabla  </w:t>
      </w:r>
      <w:r>
        <w:fldChar w:fldCharType="begin"/>
      </w:r>
      <w:r>
        <w:rPr>
          <w:rStyle w:val="EnlacedeInternet"/>
          <w:smallCaps w:val="false"/>
          <w:caps w:val="false"/>
          <w:sz w:val="24"/>
          <w:spacing w:val="0"/>
          <w:i w:val="false"/>
          <w:u w:val="single"/>
          <w:b w:val="false"/>
          <w:kern w:val="2"/>
          <w:shd w:fill="FFFF00"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"jbg12826-tbl-0004"</w:instrText>
      </w:r>
      <w:r>
        <w:rPr>
          <w:rStyle w:val="EnlacedeInternet"/>
          <w:smallCaps w:val="false"/>
          <w:caps w:val="false"/>
          <w:sz w:val="24"/>
          <w:spacing w:val="0"/>
          <w:i w:val="false"/>
          <w:u w:val="single"/>
          <w:b w:val="false"/>
          <w:kern w:val="2"/>
          <w:shd w:fill="FFFF00" w:val="clear"/>
          <w:szCs w:val="24"/>
          <w:bCs w:val="false"/>
          <w:rFonts w:eastAsia="Noto Serif CJK SC" w:cs="Lohit Devanagari" w:ascii="Open Sans;icomoon;sans-serif" w:hAnsi="Open Sans;icomoon;sans-serif"/>
          <w:color w:val="000000"/>
          <w:lang w:val="es-ES" w:eastAsia="zh-CN" w:bidi="hi-IN"/>
        </w:rPr>
        <w:fldChar w:fldCharType="separate"/>
      </w:r>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FFFF00" w:val="clear"/>
          <w:lang w:val="es-ES" w:eastAsia="zh-CN" w:bidi="hi-IN"/>
        </w:rPr>
        <w:t>4</w:t>
      </w:r>
      <w:r>
        <w:rPr>
          <w:rStyle w:val="EnlacedeInternet"/>
          <w:smallCaps w:val="false"/>
          <w:caps w:val="false"/>
          <w:sz w:val="24"/>
          <w:spacing w:val="0"/>
          <w:i w:val="false"/>
          <w:u w:val="single"/>
          <w:b w:val="false"/>
          <w:kern w:val="2"/>
          <w:shd w:fill="FFFF00"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FFFF00"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FFFF00" w:val="clear"/>
          <w:lang w:val="es-ES" w:eastAsia="zh-CN" w:bidi="hi-IN"/>
        </w:rPr>
        <w:t>).</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b/>
          <w:bCs/>
          <w:sz w:val="24"/>
          <w:szCs w:val="24"/>
        </w:rPr>
      </w:pP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Sin embargo, los resultados variaron según los rasgos, y las ganancias en precisión fueron más marginales para el grupo de rasgos de reproducción (Figura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"jbg12826-fig-0002"</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Esto fue cierto especialmente para NLB, el único ejemplo en este estudio donde el uso de datos genómicos no mejoró ACC </w:t>
      </w:r>
      <w:r>
        <w:rPr>
          <w:rFonts w:eastAsia="Noto Serif CJK SC" w:cs="Lohit Devanagari" w:ascii="Open Sans;icomoon;sans-serif" w:hAnsi="Open Sans;icomoon;sans-serif"/>
          <w:b w:val="false"/>
          <w:bCs w:val="false"/>
          <w:i w:val="false"/>
          <w:caps w:val="false"/>
          <w:smallCaps w:val="false"/>
          <w:color w:val="000000"/>
          <w:spacing w:val="0"/>
          <w:kern w:val="2"/>
          <w:sz w:val="18"/>
          <w:szCs w:val="24"/>
          <w:shd w:fill="81D41A" w:val="clear"/>
          <w:lang w:val="es-ES" w:eastAsia="zh-CN" w:bidi="hi-IN"/>
        </w:rPr>
        <w:t>LR en el Escenario I. Para </w:t>
      </w:r>
      <w:r>
        <w:rPr>
          <w:rFonts w:eastAsia="Noto Serif CJK SC" w:cs="Lohit Devanagari" w:ascii="Open Sans;icomoon;sans-serif" w:hAnsi="Open Sans;icomoon;sans-serif"/>
          <w:b w:val="false"/>
          <w:bCs w:val="false"/>
          <w:i/>
          <w:caps w:val="false"/>
          <w:smallCaps w:val="false"/>
          <w:color w:val="000000"/>
          <w:spacing w:val="0"/>
          <w:kern w:val="2"/>
          <w:sz w:val="24"/>
          <w:szCs w:val="24"/>
          <w:shd w:fill="81D41A" w:val="clear"/>
          <w:lang w:val="es-ES" w:eastAsia="zh-CN" w:bidi="hi-IN"/>
        </w:rPr>
        <w:t>h </w:t>
      </w:r>
      <w:r>
        <w:rPr>
          <w:rFonts w:eastAsia="Noto Serif CJK SC" w:cs="Lohit Devanagari" w:ascii="Open Sans;icomoon;sans-serif" w:hAnsi="Open Sans;icomoon;sans-serif"/>
          <w:b w:val="false"/>
          <w:bCs w:val="false"/>
          <w:i/>
          <w:caps w:val="false"/>
          <w:smallCaps w:val="false"/>
          <w:color w:val="000000"/>
          <w:spacing w:val="0"/>
          <w:kern w:val="2"/>
          <w:sz w:val="18"/>
          <w:szCs w:val="24"/>
          <w:shd w:fill="81D41A" w:val="clear"/>
          <w:lang w:val="es-ES" w:eastAsia="zh-CN" w:bidi="hi-IN"/>
        </w:rPr>
        <w:t>2</w:t>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bajo (Tabla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"jbg12826-tbl-0004"</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4</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los rasgos limitados por el sexo como NLB o NLW, un tamaño de población de referencia más grande o una tasa de genotipificación más alta mejorarían los resultados (Daetwyler et al.,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"jbg12826-bib-0030"</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bookmarkStart w:id="0" w:name="%2525252523jbg12826-bib-0030_R_d18848608"/>
      <w:bookmarkEnd w:id="0"/>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2008</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Li et al.,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"jbg12826-bib-0049"</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bookmarkStart w:id="1" w:name="%2525252523jbg12826-bib-0049_R_d18848608"/>
      <w:bookmarkEnd w:id="1"/>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2017</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Sin embargo, los problemas con los conjuntos de datos de reproducción también podrían influir en los parámetros de predicción. Por ejemplo, la falta de presentación y/o procesamiento de listas de apareamiento, o de informar con precisión la mortalidad de los corderos, es un problema común para los rebaños que participan en el NSIS. En consecuencia, los rasgos compuestos como NLW pueden no capturar los componentes subyacentes de la reproducción. Esto afectaría la precisión (Olivier,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"jbg12826-bib-0069"</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bookmarkStart w:id="2" w:name="%2525252523jbg12826-bib-0069_R_d18848608"/>
      <w:bookmarkEnd w:id="2"/>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2022</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y podría generar sesgo cuando los datos de la industria confundan medias fenotípicas diferentes (debido a la falta de expresión de NLB/NLW = 0) como un grupo genético (Figura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"jbg12826-fig-0001"</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1</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También prohíbe que NLW se descomponga en sus componentes subyacentes, como la concepción, el tamaño de la camada y la capacidad de crianza de las ovejas (Nel, Swan, et al.,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"jbg12826-bib-0062"</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bookmarkStart w:id="3" w:name="%2525252523jbg12826-bib-0062_R_d18848608"/>
      <w:bookmarkEnd w:id="3"/>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2022</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Swan y Bunter,  </w:t>
      </w:r>
      <w:r>
        <w:fldChar w:fldCharType="begin"/>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instrText xml:space="preserve"> HYPERLINK "https://onlinelibrary.wiley.com/doi/10.1111/jbg.12826" \l "jbg12826-bib-0083"</w:instrTex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separate"/>
      </w:r>
      <w:bookmarkStart w:id="4" w:name="%2525252523jbg12826-bib-0083_R_d18848608"/>
      <w:bookmarkEnd w:id="4"/>
      <w:r>
        <w:rPr>
          <w:rStyle w:val="EnlacedeInternet"/>
          <w:rFonts w:eastAsia="Noto Serif CJK SC" w:cs="Lohit Devanagari" w:ascii="Open Sans;icomoon;sans-serif" w:hAnsi="Open Sans;icomoon;sans-serif"/>
          <w:b w:val="false"/>
          <w:bCs w:val="false"/>
          <w:i w:val="false"/>
          <w:caps w:val="false"/>
          <w:smallCaps w:val="false"/>
          <w:color w:val="000000"/>
          <w:spacing w:val="0"/>
          <w:kern w:val="2"/>
          <w:sz w:val="24"/>
          <w:szCs w:val="24"/>
          <w:u w:val="single"/>
          <w:shd w:fill="81D41A" w:val="clear"/>
          <w:lang w:val="es-ES" w:eastAsia="zh-CN" w:bidi="hi-IN"/>
        </w:rPr>
        <w:t>2021</w:t>
      </w:r>
      <w:r>
        <w:rPr>
          <w:rStyle w:val="EnlacedeInternet"/>
          <w:smallCaps w:val="false"/>
          <w:caps w:val="false"/>
          <w:sz w:val="24"/>
          <w:spacing w:val="0"/>
          <w:i w:val="false"/>
          <w:u w:val="single"/>
          <w:b w:val="false"/>
          <w:kern w:val="2"/>
          <w:shd w:fill="81D41A" w:val="clear"/>
          <w:szCs w:val="24"/>
          <w:bCs w:val="false"/>
          <w:rFonts w:eastAsia="Noto Serif CJK SC" w:cs="Lohit Devanagari" w:ascii="Open Sans;icomoon;sans-serif" w:hAnsi="Open Sans;icomoon;sans-serif"/>
          <w:color w:val="000000"/>
          <w:lang w:val="es-ES" w:eastAsia="zh-CN" w:bidi="hi-IN"/>
        </w:rPr>
        <w:fldChar w:fldCharType="end"/>
      </w:r>
      <w:r>
        <w:rPr>
          <w:rFonts w:eastAsia="Noto Serif CJK SC" w:cs="Lohit Devanagari"/>
          <w:b w:val="false"/>
          <w:bCs w:val="false"/>
          <w:i w:val="false"/>
          <w:caps w:val="false"/>
          <w:smallCaps w:val="false"/>
          <w:color w:val="000000"/>
          <w:spacing w:val="0"/>
          <w:kern w:val="2"/>
          <w:sz w:val="24"/>
          <w:szCs w:val="24"/>
          <w:shd w:fill="81D41A" w:val="clear"/>
          <w:lang w:val="es-ES" w:eastAsia="zh-CN" w:bidi="hi-IN"/>
        </w:rPr>
        <w:t> </w:t>
      </w:r>
      <w:r>
        <w:rPr>
          <w:rFonts w:eastAsia="Noto Serif CJK SC" w:cs="Lohit Devanagari" w:ascii="Open Sans;icomoon;sans-serif" w:hAnsi="Open Sans;icomoon;sans-serif"/>
          <w:b w:val="false"/>
          <w:bCs w:val="false"/>
          <w:i w:val="false"/>
          <w:caps w:val="false"/>
          <w:smallCaps w:val="false"/>
          <w:color w:val="000000"/>
          <w:spacing w:val="0"/>
          <w:kern w:val="2"/>
          <w:sz w:val="24"/>
          <w:szCs w:val="24"/>
          <w:shd w:fill="81D41A" w:val="clear"/>
          <w:lang w:val="es-ES" w:eastAsia="zh-CN" w:bidi="hi-IN"/>
        </w:rPr>
        <w:t>), rasgos que de otro modo habrían sido un objetivo atractivo para los métodos GS en estudios futuros.</w:t>
      </w:r>
    </w:p>
    <w:p>
      <w:pPr>
        <w:pStyle w:val="Normal"/>
        <w:bidi w:val="0"/>
        <w:spacing w:before="0" w:after="0"/>
        <w:jc w:val="both"/>
        <w:rPr>
          <w:rFonts w:ascii="Liberation Serif" w:hAnsi="Liberation Serif" w:eastAsia="Noto Serif CJK SC" w:cs="Lohit Devanagari"/>
          <w:b w:val="false"/>
          <w:b w:val="false"/>
          <w:bCs w:val="false"/>
          <w:i w:val="false"/>
          <w:i w:val="false"/>
          <w:caps w:val="false"/>
          <w:smallCaps w:val="false"/>
          <w:color w:val="000000"/>
          <w:spacing w:val="0"/>
          <w:kern w:val="2"/>
          <w:lang w:val="es-ES" w:eastAsia="zh-CN" w:bidi="hi-IN"/>
        </w:rPr>
      </w:pPr>
      <w:r>
        <w:rPr>
          <w:rFonts w:eastAsia="Noto Serif CJK SC" w:cs="Lohit Devanagari"/>
          <w:b w:val="false"/>
          <w:bCs w:val="false"/>
          <w:i w:val="false"/>
          <w:caps w:val="false"/>
          <w:smallCaps w:val="false"/>
          <w:color w:val="000000"/>
          <w:spacing w:val="0"/>
          <w:kern w:val="2"/>
          <w:lang w:val="es-ES" w:eastAsia="zh-CN" w:bidi="hi-IN"/>
        </w:rPr>
      </w:r>
    </w:p>
    <w:p>
      <w:pPr>
        <w:pStyle w:val="Normal"/>
        <w:bidi w:val="0"/>
        <w:spacing w:before="0" w:after="0"/>
        <w:jc w:val="both"/>
        <w:rPr>
          <w:b w:val="false"/>
          <w:b w:val="false"/>
          <w:bCs w:val="false"/>
          <w:i w:val="false"/>
          <w:i w:val="false"/>
          <w:caps w:val="false"/>
          <w:smallCaps w:val="false"/>
          <w:color w:val="000000"/>
          <w:spacing w:val="0"/>
          <w:sz w:val="20"/>
          <w:szCs w:val="20"/>
        </w:rPr>
      </w:pPr>
      <w:r>
        <w:rPr>
          <w:b w:val="false"/>
          <w:bCs w:val="false"/>
          <w:i w:val="false"/>
          <w:caps w:val="false"/>
          <w:smallCaps w:val="false"/>
          <w:color w:val="000000"/>
          <w:spacing w:val="0"/>
          <w:sz w:val="20"/>
          <w:szCs w:val="20"/>
        </w:rPr>
      </w:r>
    </w:p>
    <w:p>
      <w:pPr>
        <w:pStyle w:val="Normal"/>
        <w:bidi w:val="0"/>
        <w:jc w:val="both"/>
        <w:rPr>
          <w:rFonts w:ascii="Liberation Serif" w:hAnsi="Liberation Serif"/>
        </w:rPr>
      </w:pPr>
      <w:r>
        <w:rPr>
          <w:b/>
          <w:bCs/>
          <w:i w:val="false"/>
          <w:caps w:val="false"/>
          <w:smallCaps w:val="false"/>
          <w:color w:val="000000"/>
          <w:spacing w:val="0"/>
          <w:sz w:val="24"/>
          <w:szCs w:val="24"/>
        </w:rPr>
        <w:t>Bibliografía</w:t>
      </w:r>
    </w:p>
    <w:p>
      <w:pPr>
        <w:pStyle w:val="Normal"/>
        <w:bidi w:val="0"/>
        <w:jc w:val="both"/>
        <w:rPr>
          <w:rFonts w:ascii="Liberation Serif" w:hAnsi="Liberation Serif"/>
          <w:b/>
          <w:b/>
          <w:bCs/>
          <w:i w:val="false"/>
          <w:i w:val="false"/>
          <w:caps w:val="false"/>
          <w:smallCaps w:val="false"/>
          <w:color w:val="000000"/>
          <w:spacing w:val="0"/>
          <w:sz w:val="24"/>
          <w:szCs w:val="24"/>
        </w:rPr>
      </w:pPr>
      <w:r>
        <w:rPr>
          <w:b/>
          <w:bCs/>
          <w:i w:val="false"/>
          <w:caps w:val="false"/>
          <w:smallCaps w:val="false"/>
          <w:color w:val="000000"/>
          <w:spacing w:val="0"/>
          <w:sz w:val="24"/>
          <w:szCs w:val="24"/>
        </w:rPr>
      </w:r>
    </w:p>
    <w:p>
      <w:pPr>
        <w:pStyle w:val="Cuerpodetexto"/>
        <w:bidi w:val="0"/>
        <w:spacing w:before="0" w:after="0"/>
        <w:jc w:val="both"/>
        <w:rPr/>
      </w:pPr>
      <w:r>
        <w:rPr>
          <w:b w:val="false"/>
          <w:bCs w:val="false"/>
          <w:i w:val="false"/>
          <w:iCs w:val="false"/>
          <w:caps w:val="false"/>
          <w:smallCaps w:val="false"/>
          <w:color w:val="000000"/>
          <w:spacing w:val="0"/>
          <w:sz w:val="24"/>
          <w:szCs w:val="24"/>
        </w:rPr>
        <w:t xml:space="preserve">Abraham, K. J. y Díaz, C. 2014. Identifying large sets of unrelated individuals and unrelated markers. Source Code for biology and Medicine 9 (6). </w:t>
      </w:r>
      <w:hyperlink r:id="rId3">
        <w:r>
          <w:rPr>
            <w:rStyle w:val="EnlacedeInternet"/>
            <w:b w:val="false"/>
            <w:bCs w:val="false"/>
            <w:i w:val="false"/>
            <w:iCs w:val="false"/>
            <w:caps w:val="false"/>
            <w:smallCaps w:val="false"/>
            <w:color w:val="000000"/>
            <w:spacing w:val="0"/>
            <w:sz w:val="24"/>
            <w:szCs w:val="24"/>
          </w:rPr>
          <w:t>https://doi.org/10.1186/1751-0473-9-6</w:t>
        </w:r>
      </w:hyperlink>
      <w:r>
        <w:rPr>
          <w:b w:val="false"/>
          <w:bCs w:val="false"/>
          <w:i w:val="false"/>
          <w:iCs w:val="false"/>
          <w:caps w:val="false"/>
          <w:smallCaps w:val="false"/>
          <w:color w:val="000000"/>
          <w:spacing w:val="0"/>
          <w:sz w:val="24"/>
          <w:szCs w:val="24"/>
        </w:rPr>
        <w:t>.</w:t>
      </w:r>
    </w:p>
    <w:p>
      <w:pPr>
        <w:pStyle w:val="Cuerpodetexto"/>
        <w:bidi w:val="0"/>
        <w:spacing w:before="0" w:after="0"/>
        <w:jc w:val="both"/>
        <w:rPr>
          <w:rFonts w:ascii="Liberation Serif" w:hAnsi="Liberation Serif"/>
          <w:color w:val="000000"/>
          <w:sz w:val="24"/>
          <w:szCs w:val="24"/>
        </w:rPr>
      </w:pPr>
      <w:r>
        <w:rPr>
          <w:color w:val="000000"/>
          <w:sz w:val="24"/>
          <w:szCs w:val="24"/>
        </w:rPr>
      </w:r>
    </w:p>
    <w:p>
      <w:pPr>
        <w:pStyle w:val="Cuerpodetexto"/>
        <w:bidi w:val="0"/>
        <w:spacing w:before="0" w:after="0"/>
        <w:jc w:val="both"/>
        <w:rPr/>
      </w:pPr>
      <w:r>
        <w:rPr>
          <w:b w:val="false"/>
          <w:i w:val="false"/>
          <w:iCs w:val="false"/>
          <w:caps w:val="false"/>
          <w:smallCaps w:val="false"/>
          <w:color w:val="000000"/>
          <w:spacing w:val="0"/>
          <w:sz w:val="24"/>
          <w:szCs w:val="24"/>
        </w:rPr>
        <w:t xml:space="preserve">Aguilar, I. Tsuruta, S. Masuda, Y. Lourenco, D. A. L. Legarra, A. y Misztal, I. 2018. BLUPF90 Suite of Programs for Animal Breeding. 11th World Congr. </w:t>
      </w:r>
      <w:r>
        <w:rPr>
          <w:rStyle w:val="Destacado"/>
          <w:b w:val="false"/>
          <w:i w:val="false"/>
          <w:iCs w:val="false"/>
          <w:caps w:val="false"/>
          <w:smallCaps w:val="false"/>
          <w:color w:val="000000"/>
          <w:spacing w:val="0"/>
          <w:sz w:val="24"/>
          <w:szCs w:val="24"/>
        </w:rPr>
        <w:t xml:space="preserve">Genet. Appl. Livest. Prod. </w:t>
      </w:r>
      <w:r>
        <w:rPr>
          <w:b w:val="false"/>
          <w:i w:val="false"/>
          <w:iCs w:val="false"/>
          <w:caps w:val="false"/>
          <w:smallCaps w:val="false"/>
          <w:color w:val="000000"/>
          <w:spacing w:val="0"/>
          <w:sz w:val="24"/>
          <w:szCs w:val="24"/>
        </w:rPr>
        <w:t>11, 751.</w:t>
      </w:r>
    </w:p>
    <w:p>
      <w:pPr>
        <w:pStyle w:val="Cuerpodetexto"/>
        <w:bidi w:val="0"/>
        <w:spacing w:before="0" w:after="0"/>
        <w:jc w:val="both"/>
        <w:rPr>
          <w:rFonts w:ascii="Liberation Serif" w:hAnsi="Liberation Serif"/>
          <w:b w:val="false"/>
          <w:b w:val="false"/>
          <w:i w:val="false"/>
          <w:i w:val="false"/>
          <w:iCs w:val="false"/>
          <w:caps w:val="false"/>
          <w:smallCaps w:val="false"/>
          <w:color w:val="000000"/>
          <w:spacing w:val="0"/>
          <w:sz w:val="24"/>
          <w:szCs w:val="24"/>
        </w:rPr>
      </w:pPr>
      <w:r>
        <w:rPr>
          <w:b w:val="false"/>
          <w:i w:val="false"/>
          <w:iCs w:val="false"/>
          <w:caps w:val="false"/>
          <w:smallCaps w:val="false"/>
          <w:color w:val="000000"/>
          <w:spacing w:val="0"/>
          <w:sz w:val="24"/>
          <w:szCs w:val="24"/>
        </w:rPr>
      </w:r>
    </w:p>
    <w:p>
      <w:pPr>
        <w:pStyle w:val="Cuerpodetexto"/>
        <w:bidi w:val="0"/>
        <w:spacing w:before="0" w:after="0"/>
        <w:jc w:val="both"/>
        <w:rPr/>
      </w:pPr>
      <w:r>
        <w:rPr>
          <w:rStyle w:val="Destacado"/>
          <w:b w:val="false"/>
          <w:bCs w:val="false"/>
          <w:i w:val="false"/>
          <w:iCs w:val="false"/>
          <w:caps w:val="false"/>
          <w:smallCaps w:val="false"/>
          <w:color w:val="000000"/>
          <w:spacing w:val="0"/>
          <w:sz w:val="24"/>
          <w:szCs w:val="24"/>
        </w:rPr>
        <w:t xml:space="preserve">Bonifazi R. 2023. TuttiFrutti: A Collection of Miscellaneous R Functions and R Scripts. GitHub Repository. DOI: </w:t>
      </w:r>
      <w:hyperlink r:id="rId4">
        <w:r>
          <w:rPr>
            <w:rStyle w:val="EnlacedeInternet"/>
            <w:b w:val="false"/>
            <w:bCs w:val="false"/>
            <w:i w:val="false"/>
            <w:iCs w:val="false"/>
            <w:caps w:val="false"/>
            <w:smallCaps w:val="false"/>
            <w:color w:val="000000"/>
            <w:spacing w:val="0"/>
            <w:sz w:val="24"/>
            <w:szCs w:val="24"/>
            <w:u w:val="single"/>
            <w:shd w:fill="auto" w:val="clear"/>
          </w:rPr>
          <w:t>10.5281/zenodo.11185709</w:t>
        </w:r>
      </w:hyperlink>
      <w:r>
        <w:rPr>
          <w:rStyle w:val="Destacado"/>
          <w:b w:val="false"/>
          <w:bCs w:val="false"/>
          <w:i w:val="false"/>
          <w:iCs w:val="false"/>
          <w:caps w:val="false"/>
          <w:smallCaps w:val="false"/>
          <w:color w:val="000000"/>
          <w:spacing w:val="0"/>
          <w:sz w:val="24"/>
          <w:szCs w:val="24"/>
        </w:rPr>
        <w:t xml:space="preserve">. Disponible en línea: </w:t>
      </w:r>
      <w:hyperlink r:id="rId5">
        <w:r>
          <w:rPr>
            <w:rStyle w:val="EnlacedeInternet"/>
            <w:b w:val="false"/>
            <w:bCs w:val="false"/>
            <w:i/>
            <w:iCs/>
            <w:caps w:val="false"/>
            <w:smallCaps w:val="false"/>
            <w:spacing w:val="0"/>
            <w:sz w:val="24"/>
            <w:szCs w:val="24"/>
          </w:rPr>
          <w:t>https://github.com/bonifazi/TuttiFrutti</w:t>
        </w:r>
      </w:hyperlink>
      <w:r>
        <w:rPr>
          <w:rStyle w:val="Destacado"/>
          <w:b w:val="false"/>
          <w:bCs w:val="false"/>
          <w:i w:val="false"/>
          <w:iCs w:val="false"/>
          <w:caps w:val="false"/>
          <w:smallCaps w:val="false"/>
          <w:color w:val="000000"/>
          <w:spacing w:val="0"/>
          <w:sz w:val="24"/>
          <w:szCs w:val="24"/>
          <w:u w:val="single"/>
          <w:shd w:fill="auto" w:val="clear"/>
        </w:rPr>
        <w:t>.</w:t>
      </w:r>
    </w:p>
    <w:p>
      <w:pPr>
        <w:pStyle w:val="Cuerpodetexto"/>
        <w:bidi w:val="0"/>
        <w:spacing w:before="0" w:after="0"/>
        <w:jc w:val="both"/>
        <w:rPr/>
      </w:pPr>
      <w:r>
        <w:rPr>
          <w:b w:val="false"/>
          <w:bCs w:val="false"/>
          <w:color w:val="000000"/>
          <w:sz w:val="24"/>
          <w:szCs w:val="24"/>
        </w:rPr>
        <w:br/>
      </w:r>
      <w:r>
        <w:rPr>
          <w:b w:val="false"/>
          <w:bCs w:val="false"/>
          <w:i w:val="false"/>
          <w:iCs w:val="false"/>
          <w:caps w:val="false"/>
          <w:smallCaps w:val="false"/>
          <w:color w:val="000000"/>
          <w:spacing w:val="0"/>
          <w:sz w:val="24"/>
          <w:szCs w:val="24"/>
        </w:rPr>
        <w:t xml:space="preserve">Browning, B. L. Zhou, Y. y Browning S. R. 2018. A one-penny imputed genome from next generation reference panels. Am J Hum Genet 103(3):338-348. </w:t>
      </w:r>
      <w:hyperlink r:id="rId6" w:tgtFrame="_blank">
        <w:r>
          <w:rPr>
            <w:rStyle w:val="EnlacedeInternet"/>
            <w:b w:val="false"/>
            <w:bCs w:val="false"/>
            <w:i w:val="false"/>
            <w:iCs w:val="false"/>
            <w:caps w:val="false"/>
            <w:smallCaps w:val="false"/>
            <w:color w:val="000000"/>
            <w:spacing w:val="0"/>
            <w:sz w:val="24"/>
            <w:szCs w:val="24"/>
          </w:rPr>
          <w:t>doi:10.1016/j.ajhg.2018.07.015</w:t>
        </w:r>
      </w:hyperlink>
      <w:r>
        <w:rPr>
          <w:b w:val="false"/>
          <w:bCs w:val="false"/>
          <w:i w:val="false"/>
          <w:iCs w:val="false"/>
          <w:caps w:val="false"/>
          <w:smallCaps w:val="false"/>
          <w:strike w:val="false"/>
          <w:dstrike w:val="false"/>
          <w:color w:val="000000"/>
          <w:spacing w:val="0"/>
          <w:sz w:val="24"/>
          <w:szCs w:val="24"/>
          <w:u w:val="none"/>
          <w:effect w:val="none"/>
        </w:rPr>
        <w:t>.</w:t>
      </w:r>
    </w:p>
    <w:p>
      <w:pPr>
        <w:pStyle w:val="Cuerpodetexto"/>
        <w:bidi w:val="0"/>
        <w:spacing w:before="0" w:after="0"/>
        <w:jc w:val="both"/>
        <w:rPr>
          <w:rFonts w:ascii="Liberation Serif" w:hAnsi="Liberation Serif"/>
        </w:rPr>
      </w:pPr>
      <w:r>
        <w:rPr/>
      </w:r>
    </w:p>
    <w:p>
      <w:pPr>
        <w:pStyle w:val="Cuerpodetexto"/>
        <w:bidi w:val="0"/>
        <w:spacing w:before="0" w:after="0"/>
        <w:jc w:val="both"/>
        <w:rPr>
          <w:rFonts w:ascii="Liberation Serif" w:hAnsi="Liberation Serif"/>
        </w:rPr>
      </w:pPr>
      <w:r>
        <w:rPr/>
        <w:t>Daetwyler, H. D., B. Villanueva, P. Bijma, y J. A. Woolliams. 2007. «Inbreeding in genome-wide selection». Journal of Animal Breeding and Genetics 124: 369-76.</w:t>
      </w:r>
    </w:p>
    <w:p>
      <w:pPr>
        <w:pStyle w:val="Cuerpodetexto"/>
        <w:bidi w:val="0"/>
        <w:spacing w:before="0" w:after="0"/>
        <w:jc w:val="both"/>
        <w:rPr>
          <w:rFonts w:ascii="Liberation Serif" w:hAnsi="Liberation Serif"/>
        </w:rPr>
      </w:pPr>
      <w:r>
        <w:rPr/>
      </w:r>
    </w:p>
    <w:p>
      <w:pPr>
        <w:pStyle w:val="Cuerpodetexto"/>
        <w:bidi w:val="0"/>
        <w:spacing w:before="0" w:after="0"/>
        <w:jc w:val="both"/>
        <w:rPr/>
      </w:pPr>
      <w:r>
        <w:rPr>
          <w:color w:val="000000"/>
          <w:sz w:val="24"/>
          <w:szCs w:val="24"/>
        </w:rPr>
        <w:t>D</w:t>
      </w:r>
      <w:r>
        <w:rPr>
          <w:rFonts w:eastAsia="Noto Serif CJK SC" w:cs="Lohit Devanagari"/>
          <w:color w:val="000000"/>
          <w:kern w:val="2"/>
          <w:sz w:val="24"/>
          <w:szCs w:val="24"/>
          <w:lang w:val="es-ES" w:eastAsia="zh-CN" w:bidi="hi-IN"/>
        </w:rPr>
        <w:t xml:space="preserve">íaz, C. Varona, L. Carabaño, M. J. Nicolazzi, E. Bichard, M. Baro, J. Molina, A. Piedrafita, J. Rossoni, A. </w:t>
      </w:r>
      <w:r>
        <w:rPr>
          <w:rFonts w:eastAsia="Noto Serif CJK SC" w:cs="Lohit Devanagari"/>
          <w:b w:val="false"/>
          <w:i w:val="false"/>
          <w:caps w:val="false"/>
          <w:smallCaps w:val="false"/>
          <w:color w:val="000000"/>
          <w:spacing w:val="0"/>
          <w:kern w:val="2"/>
          <w:sz w:val="24"/>
          <w:szCs w:val="24"/>
          <w:lang w:val="es-ES" w:eastAsia="zh-CN" w:bidi="hi-IN"/>
        </w:rPr>
        <w:t>Schwarzenbacher, H. Seyfried, F. Solberg T. R. Vicario, D. Altarriba, J y Abraham K. J.</w:t>
      </w:r>
      <w:r>
        <w:rPr>
          <w:rFonts w:eastAsia="Noto Serif CJK SC" w:cs="Lohit Devanagari"/>
          <w:color w:val="000000"/>
          <w:kern w:val="2"/>
          <w:sz w:val="24"/>
          <w:szCs w:val="24"/>
          <w:lang w:val="es-ES" w:eastAsia="zh-CN" w:bidi="hi-IN"/>
        </w:rPr>
        <w:t xml:space="preserve"> 2016. </w:t>
      </w:r>
      <w:r>
        <w:rPr>
          <w:rFonts w:eastAsia="Noto Serif CJK SC" w:cs="Lohit Devanagari"/>
          <w:b w:val="false"/>
          <w:i w:val="false"/>
          <w:caps w:val="false"/>
          <w:smallCaps w:val="false"/>
          <w:color w:val="000000"/>
          <w:spacing w:val="0"/>
          <w:kern w:val="2"/>
          <w:sz w:val="24"/>
          <w:szCs w:val="24"/>
          <w:lang w:val="es-ES" w:eastAsia="zh-CN" w:bidi="hi-IN"/>
        </w:rPr>
        <w:t xml:space="preserve">Using LD structure of several populations to optimize an SNP panel for conservation and selection. Journal of Animal Science 94: 168-169. </w:t>
      </w:r>
      <w:hyperlink r:id="rId7">
        <w:r>
          <w:rPr>
            <w:rStyle w:val="EnlacedeInternet"/>
            <w:rFonts w:eastAsia="Noto Serif CJK SC" w:cs="Lohit Devanagari"/>
            <w:b w:val="false"/>
            <w:i w:val="false"/>
            <w:caps w:val="false"/>
            <w:smallCaps w:val="false"/>
            <w:strike w:val="false"/>
            <w:dstrike w:val="false"/>
            <w:color w:val="000000"/>
            <w:spacing w:val="0"/>
            <w:kern w:val="2"/>
            <w:sz w:val="24"/>
            <w:szCs w:val="24"/>
            <w:u w:val="none"/>
            <w:effect w:val="none"/>
            <w:lang w:val="es-ES" w:eastAsia="zh-CN" w:bidi="hi-IN"/>
          </w:rPr>
          <w:t>https://doi.org/10.2527/jam2016-0350</w:t>
        </w:r>
      </w:hyperlink>
      <w:r>
        <w:rPr>
          <w:rFonts w:eastAsia="Noto Serif CJK SC" w:cs="Lohit Devanagari"/>
          <w:b w:val="false"/>
          <w:i w:val="false"/>
          <w:caps w:val="false"/>
          <w:smallCaps w:val="false"/>
          <w:strike w:val="false"/>
          <w:dstrike w:val="false"/>
          <w:color w:val="000000"/>
          <w:spacing w:val="0"/>
          <w:kern w:val="2"/>
          <w:sz w:val="24"/>
          <w:szCs w:val="24"/>
          <w:u w:val="none"/>
          <w:effect w:val="none"/>
          <w:lang w:val="es-ES" w:eastAsia="zh-CN" w:bidi="hi-IN"/>
        </w:rPr>
        <w:t>.</w:t>
      </w:r>
    </w:p>
    <w:p>
      <w:pPr>
        <w:pStyle w:val="Cuerpodetexto"/>
        <w:bidi w:val="0"/>
        <w:spacing w:before="0" w:after="0"/>
        <w:jc w:val="both"/>
        <w:rPr>
          <w:rFonts w:ascii="Liberation Serif" w:hAnsi="Liberation Serif"/>
        </w:rPr>
      </w:pPr>
      <w:r>
        <w:rPr/>
      </w:r>
    </w:p>
    <w:p>
      <w:pPr>
        <w:pStyle w:val="Normal"/>
        <w:bidi w:val="0"/>
        <w:spacing w:before="0" w:after="0"/>
        <w:jc w:val="both"/>
        <w:rPr/>
      </w:pPr>
      <w:r>
        <w:rPr>
          <w:rStyle w:val="Destacado"/>
          <w:b w:val="false"/>
          <w:bCs w:val="false"/>
          <w:i w:val="false"/>
          <w:iCs w:val="false"/>
          <w:caps w:val="false"/>
          <w:smallCaps w:val="false"/>
          <w:strike w:val="false"/>
          <w:dstrike w:val="false"/>
          <w:color w:val="000000"/>
          <w:spacing w:val="0"/>
          <w:sz w:val="24"/>
          <w:szCs w:val="24"/>
          <w:u w:val="none"/>
          <w:effect w:val="none"/>
        </w:rPr>
        <w:t xml:space="preserve">Legarra A. y Reverter A. 2018. Semi-parametric estimates of population accuracy and bias of predictions of breeding values and future phenotypes using the LR method. Genet Sel Evol 50(1):53. </w:t>
      </w:r>
      <w:hyperlink r:id="rId8">
        <w:r>
          <w:rPr>
            <w:rStyle w:val="EnlacedeInternet"/>
            <w:b w:val="false"/>
            <w:bCs w:val="false"/>
            <w:i w:val="false"/>
            <w:iCs w:val="false"/>
            <w:caps w:val="false"/>
            <w:smallCaps w:val="false"/>
            <w:strike w:val="false"/>
            <w:dstrike w:val="false"/>
            <w:color w:val="000000"/>
            <w:spacing w:val="0"/>
            <w:sz w:val="24"/>
            <w:szCs w:val="24"/>
            <w:u w:val="single"/>
            <w:effect w:val="none"/>
            <w:shd w:fill="FFFFFF" w:val="clear"/>
          </w:rPr>
          <w:t>https://doi.org/10.1186/s12711-018-0426-6</w:t>
        </w:r>
      </w:hyperlink>
      <w:r>
        <w:rPr>
          <w:rStyle w:val="Destacado"/>
          <w:b w:val="false"/>
          <w:bCs w:val="false"/>
          <w:i w:val="false"/>
          <w:iCs w:val="false"/>
          <w:caps w:val="false"/>
          <w:smallCaps w:val="false"/>
          <w:strike w:val="false"/>
          <w:dstrike w:val="false"/>
          <w:color w:val="000000"/>
          <w:spacing w:val="0"/>
          <w:sz w:val="24"/>
          <w:szCs w:val="24"/>
          <w:u w:val="none"/>
          <w:effect w:val="none"/>
          <w:shd w:fill="FFFFFF" w:val="clear"/>
        </w:rPr>
        <w:t>.</w:t>
      </w:r>
    </w:p>
    <w:p>
      <w:pPr>
        <w:pStyle w:val="Cuerpodetexto"/>
        <w:bidi w:val="0"/>
        <w:spacing w:before="0" w:after="0"/>
        <w:jc w:val="both"/>
        <w:rPr>
          <w:rFonts w:ascii="Liberation Serif" w:hAnsi="Liberation Serif"/>
          <w:color w:val="000000"/>
          <w:sz w:val="24"/>
          <w:szCs w:val="24"/>
        </w:rPr>
      </w:pPr>
      <w:r>
        <w:rPr>
          <w:color w:val="000000"/>
          <w:sz w:val="24"/>
          <w:szCs w:val="24"/>
        </w:rPr>
      </w:r>
    </w:p>
    <w:p>
      <w:pPr>
        <w:pStyle w:val="Normal"/>
        <w:bidi w:val="0"/>
        <w:spacing w:before="0" w:after="0"/>
        <w:jc w:val="both"/>
        <w:rPr/>
      </w:pPr>
      <w:r>
        <w:rPr>
          <w:b w:val="false"/>
          <w:bCs w:val="false"/>
          <w:i w:val="false"/>
          <w:iCs w:val="false"/>
          <w:caps w:val="false"/>
          <w:smallCaps w:val="false"/>
          <w:strike w:val="false"/>
          <w:dstrike w:val="false"/>
          <w:color w:val="000000"/>
          <w:spacing w:val="0"/>
          <w:sz w:val="24"/>
          <w:szCs w:val="24"/>
          <w:u w:val="none"/>
          <w:effect w:val="none"/>
        </w:rPr>
        <w:t xml:space="preserve">Lin, P., S. M. Hartz, Z. Zhang, S. F. Saccone, J. Wang, J. A. Tischfield, H. J. Edenberg, et al. 2010. A new statistic to evaluate imputation reliability. </w:t>
      </w:r>
      <w:r>
        <w:rPr>
          <w:rStyle w:val="Destacado"/>
          <w:b w:val="false"/>
          <w:bCs w:val="false"/>
          <w:i w:val="false"/>
          <w:iCs w:val="false"/>
          <w:caps w:val="false"/>
          <w:smallCaps w:val="false"/>
          <w:strike w:val="false"/>
          <w:dstrike w:val="false"/>
          <w:color w:val="000000"/>
          <w:spacing w:val="0"/>
          <w:sz w:val="24"/>
          <w:szCs w:val="24"/>
          <w:u w:val="none"/>
          <w:effect w:val="none"/>
        </w:rPr>
        <w:t xml:space="preserve">PLoS One </w:t>
      </w:r>
      <w:r>
        <w:rPr>
          <w:b w:val="false"/>
          <w:bCs w:val="false"/>
          <w:i w:val="false"/>
          <w:iCs w:val="false"/>
          <w:caps w:val="false"/>
          <w:smallCaps w:val="false"/>
          <w:strike w:val="false"/>
          <w:dstrike w:val="false"/>
          <w:color w:val="000000"/>
          <w:spacing w:val="0"/>
          <w:sz w:val="24"/>
          <w:szCs w:val="24"/>
          <w:u w:val="none"/>
          <w:effect w:val="none"/>
        </w:rPr>
        <w:t xml:space="preserve">5 (3): e9697. </w:t>
      </w:r>
      <w:hyperlink r:id="rId9">
        <w:r>
          <w:rPr>
            <w:rStyle w:val="EnlacedeInternet"/>
            <w:b w:val="false"/>
            <w:bCs w:val="false"/>
            <w:i w:val="false"/>
            <w:iCs w:val="false"/>
            <w:caps w:val="false"/>
            <w:smallCaps w:val="false"/>
            <w:strike w:val="false"/>
            <w:dstrike w:val="false"/>
            <w:color w:val="000000"/>
            <w:spacing w:val="0"/>
            <w:sz w:val="24"/>
            <w:szCs w:val="24"/>
            <w:u w:val="none"/>
            <w:effect w:val="none"/>
          </w:rPr>
          <w:t>https://doi.org/10.1371/journal.pone.0009697</w:t>
        </w:r>
      </w:hyperlink>
      <w:r>
        <w:rPr>
          <w:b w:val="false"/>
          <w:bCs w:val="false"/>
          <w:i w:val="false"/>
          <w:iCs w:val="false"/>
          <w:caps w:val="false"/>
          <w:smallCaps w:val="false"/>
          <w:strike w:val="false"/>
          <w:dstrike w:val="false"/>
          <w:color w:val="000000"/>
          <w:spacing w:val="0"/>
          <w:sz w:val="24"/>
          <w:szCs w:val="24"/>
          <w:u w:val="none"/>
          <w:effect w:val="none"/>
        </w:rPr>
        <w:t>.</w:t>
      </w:r>
    </w:p>
    <w:p>
      <w:pPr>
        <w:pStyle w:val="Normal"/>
        <w:bidi w:val="0"/>
        <w:spacing w:before="0" w:after="0"/>
        <w:jc w:val="both"/>
        <w:rPr>
          <w:rFonts w:ascii="Liberation Serif" w:hAnsi="Liberation Serif"/>
          <w:color w:val="000000"/>
          <w:sz w:val="24"/>
          <w:szCs w:val="24"/>
        </w:rPr>
      </w:pPr>
      <w:r>
        <w:rPr>
          <w:color w:val="000000"/>
          <w:sz w:val="24"/>
          <w:szCs w:val="24"/>
        </w:rPr>
      </w:r>
    </w:p>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4"/>
          <w:szCs w:val="24"/>
          <w:u w:val="none"/>
          <w:effect w:val="none"/>
        </w:rPr>
        <w:t>Misztal, I., A. Legarra, y I. Aguilar. 2009. Computing procedures for genetic evaluation including phenotypic, full pedigree, and genomic information. Journal of Dairy Science 92: 4648-55. https://doi.org/10.3168/ jds.2009-2064.</w:t>
      </w:r>
    </w:p>
    <w:p>
      <w:pPr>
        <w:pStyle w:val="Normal"/>
        <w:bidi w:val="0"/>
        <w:spacing w:before="0" w:after="0"/>
        <w:jc w:val="both"/>
        <w:rPr>
          <w:rFonts w:ascii="Liberation Serif" w:hAnsi="Liberation Serif"/>
        </w:rPr>
      </w:pPr>
      <w:r>
        <w:rPr/>
      </w:r>
    </w:p>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4"/>
          <w:szCs w:val="24"/>
          <w:u w:val="none"/>
          <w:effect w:val="none"/>
        </w:rPr>
        <w:t>Pszczola, M., T. Strabel, J. A. M. van Arendonk, y M. P. L. Calus. 2012. «The impact of genotyping different groups of animals on accuracy when moving from traditional to genomic selection». Journal of Dairy Science 95: 5412-21. https://doi.org/10.3168/jds.2012-5550.</w:t>
      </w:r>
    </w:p>
    <w:p>
      <w:pPr>
        <w:pStyle w:val="Normal"/>
        <w:bidi w:val="0"/>
        <w:jc w:val="both"/>
        <w:rPr>
          <w:rFonts w:ascii="Liberation Serif" w:hAnsi="Liberation Serif"/>
          <w:color w:val="000000"/>
          <w:sz w:val="24"/>
          <w:szCs w:val="24"/>
        </w:rPr>
      </w:pPr>
      <w:r>
        <w:rPr>
          <w:color w:val="000000"/>
          <w:sz w:val="24"/>
          <w:szCs w:val="24"/>
        </w:rPr>
      </w:r>
    </w:p>
    <w:p>
      <w:pPr>
        <w:pStyle w:val="Normal"/>
        <w:bidi w:val="0"/>
        <w:jc w:val="both"/>
        <w:rPr/>
      </w:pPr>
      <w:r>
        <w:rPr>
          <w:b w:val="false"/>
          <w:bCs w:val="false"/>
          <w:i w:val="false"/>
          <w:iCs w:val="false"/>
          <w:caps w:val="false"/>
          <w:smallCaps w:val="false"/>
          <w:color w:val="000000"/>
          <w:spacing w:val="0"/>
          <w:sz w:val="24"/>
          <w:szCs w:val="24"/>
        </w:rPr>
        <w:t xml:space="preserve">Purcell, S., B. Neale, K. Todd-Brown, L. Thomas, M. A. R. Ferreira, D. Bender, J. Maller, et al. 2007. Plink: a toolset for whole-genome association and population-based linkage analysis. </w:t>
      </w:r>
      <w:r>
        <w:rPr>
          <w:rStyle w:val="Destacado"/>
          <w:b w:val="false"/>
          <w:bCs w:val="false"/>
          <w:i w:val="false"/>
          <w:iCs w:val="false"/>
          <w:caps w:val="false"/>
          <w:smallCaps w:val="false"/>
          <w:color w:val="000000"/>
          <w:spacing w:val="0"/>
          <w:sz w:val="24"/>
          <w:szCs w:val="24"/>
        </w:rPr>
        <w:t xml:space="preserve">American Journal of Human Genetics </w:t>
      </w:r>
      <w:r>
        <w:rPr>
          <w:b w:val="false"/>
          <w:bCs w:val="false"/>
          <w:i w:val="false"/>
          <w:iCs w:val="false"/>
          <w:caps w:val="false"/>
          <w:smallCaps w:val="false"/>
          <w:color w:val="000000"/>
          <w:spacing w:val="0"/>
          <w:sz w:val="24"/>
          <w:szCs w:val="24"/>
        </w:rPr>
        <w:t xml:space="preserve">81: 981-94. </w:t>
      </w:r>
      <w:hyperlink r:id="rId10">
        <w:r>
          <w:rPr>
            <w:rStyle w:val="EnlacedeInternet"/>
            <w:b w:val="false"/>
            <w:bCs w:val="false"/>
            <w:i w:val="false"/>
            <w:iCs w:val="false"/>
            <w:caps w:val="false"/>
            <w:smallCaps w:val="false"/>
            <w:color w:val="000000"/>
            <w:spacing w:val="0"/>
            <w:sz w:val="24"/>
            <w:szCs w:val="24"/>
            <w:u w:val="single"/>
          </w:rPr>
          <w:t>http://pngu.mgh.harvard.edu/purcell/plink/</w:t>
        </w:r>
      </w:hyperlink>
      <w:r>
        <w:rPr>
          <w:b w:val="false"/>
          <w:bCs w:val="false"/>
          <w:i w:val="false"/>
          <w:iCs w:val="false"/>
          <w:caps w:val="false"/>
          <w:smallCaps w:val="false"/>
          <w:color w:val="000000"/>
          <w:spacing w:val="0"/>
          <w:sz w:val="24"/>
          <w:szCs w:val="24"/>
        </w:rPr>
        <w:t>.</w:t>
      </w:r>
    </w:p>
    <w:p>
      <w:pPr>
        <w:pStyle w:val="Normal"/>
        <w:bidi w:val="0"/>
        <w:jc w:val="both"/>
        <w:rPr>
          <w:rFonts w:ascii="Liberation Serif" w:hAnsi="Liberation Serif"/>
          <w:color w:val="000000"/>
          <w:sz w:val="24"/>
          <w:szCs w:val="24"/>
        </w:rPr>
      </w:pPr>
      <w:r>
        <w:rPr>
          <w:color w:val="000000"/>
          <w:sz w:val="24"/>
          <w:szCs w:val="24"/>
        </w:rPr>
      </w:r>
    </w:p>
    <w:p>
      <w:pPr>
        <w:pStyle w:val="Normal"/>
        <w:bidi w:val="0"/>
        <w:jc w:val="both"/>
        <w:rPr/>
      </w:pPr>
      <w:r>
        <w:rPr>
          <w:b w:val="false"/>
          <w:bCs w:val="false"/>
          <w:i w:val="false"/>
          <w:iCs w:val="false"/>
          <w:caps w:val="false"/>
          <w:smallCaps w:val="false"/>
          <w:color w:val="000000"/>
          <w:spacing w:val="0"/>
          <w:sz w:val="24"/>
          <w:szCs w:val="24"/>
        </w:rPr>
        <w:t xml:space="preserve">Rodriguez-Neira J., Peripolli E., de Negreiros M., Espigolan R., López-Correa R., Aguilar I., Lobo R. B. y Baldi F. 2022. </w:t>
      </w:r>
      <w:r>
        <w:rPr>
          <w:b w:val="false"/>
          <w:bCs w:val="false"/>
          <w:iCs w:val="false"/>
          <w:color w:val="000000"/>
          <w:sz w:val="24"/>
          <w:szCs w:val="24"/>
        </w:rPr>
        <w:t>Prediction ability for growth and maternal traits using SNP arrays based on different marker densities in Nellore cattle using the ssGBLUP</w:t>
      </w:r>
      <w:r>
        <w:rPr>
          <w:b w:val="false"/>
          <w:bCs w:val="false"/>
          <w:i w:val="false"/>
          <w:iCs w:val="false"/>
          <w:caps w:val="false"/>
          <w:smallCaps w:val="false"/>
          <w:color w:val="000000"/>
          <w:spacing w:val="0"/>
          <w:sz w:val="24"/>
          <w:szCs w:val="24"/>
        </w:rPr>
        <w:t xml:space="preserve">. Journal of Applied Gnetics 63: 389-400. </w:t>
      </w:r>
      <w:hyperlink r:id="rId11">
        <w:r>
          <w:rPr>
            <w:rStyle w:val="EnlacedeInternet"/>
            <w:b w:val="false"/>
            <w:bCs w:val="false"/>
            <w:i w:val="false"/>
            <w:iCs w:val="false"/>
            <w:caps w:val="false"/>
            <w:smallCaps w:val="false"/>
            <w:color w:val="000000"/>
            <w:spacing w:val="0"/>
            <w:sz w:val="24"/>
            <w:szCs w:val="24"/>
          </w:rPr>
          <w:t>https://doi.org/10.1007/s13353-022-00685-0</w:t>
        </w:r>
      </w:hyperlink>
      <w:r>
        <w:rPr>
          <w:b w:val="false"/>
          <w:bCs w:val="false"/>
          <w:i w:val="false"/>
          <w:iCs w:val="false"/>
          <w:caps w:val="false"/>
          <w:smallCaps w:val="false"/>
          <w:color w:val="000000"/>
          <w:spacing w:val="0"/>
          <w:sz w:val="24"/>
          <w:szCs w:val="24"/>
        </w:rPr>
        <w:t>.</w:t>
      </w:r>
    </w:p>
    <w:p>
      <w:pPr>
        <w:pStyle w:val="Normal"/>
        <w:bidi w:val="0"/>
        <w:jc w:val="both"/>
        <w:rPr>
          <w:rFonts w:ascii="Liberation Serif" w:hAnsi="Liberation Serif"/>
          <w:color w:val="000000"/>
          <w:sz w:val="24"/>
          <w:szCs w:val="24"/>
        </w:rPr>
      </w:pPr>
      <w:r>
        <w:rPr>
          <w:color w:val="000000"/>
          <w:sz w:val="24"/>
          <w:szCs w:val="24"/>
        </w:rPr>
      </w:r>
    </w:p>
    <w:p>
      <w:pPr>
        <w:sectPr>
          <w:type w:val="nextPage"/>
          <w:pgSz w:w="12240" w:h="15840"/>
          <w:pgMar w:left="1134" w:right="1134" w:gutter="0" w:header="0" w:top="1134" w:footer="0" w:bottom="1134"/>
          <w:pgNumType w:fmt="decimal"/>
          <w:formProt w:val="false"/>
          <w:textDirection w:val="lrTb"/>
          <w:docGrid w:type="default" w:linePitch="600" w:charSpace="32768"/>
        </w:sectPr>
        <w:pStyle w:val="Normal"/>
        <w:bidi w:val="0"/>
        <w:jc w:val="both"/>
        <w:rPr/>
      </w:pPr>
      <w:r>
        <w:rPr>
          <w:b w:val="false"/>
          <w:bCs w:val="false"/>
          <w:i w:val="false"/>
          <w:iCs w:val="false"/>
          <w:caps w:val="false"/>
          <w:smallCaps w:val="false"/>
          <w:color w:val="000000"/>
          <w:spacing w:val="0"/>
          <w:sz w:val="24"/>
          <w:szCs w:val="24"/>
        </w:rPr>
        <w:t xml:space="preserve">Wu X. L., Li H., Ferretti R., Simpson B., Walker J., Parham J., Mastro L., Qiu J., Schultz T., Tait jr R. G. y Bauck S. 2020. A unified local objective function for optimally selecting SNPs on arrays for agricultural genomics applications. Animal Genetics 51 (2): 306-310. </w:t>
      </w:r>
      <w:hyperlink r:id="rId12">
        <w:r>
          <w:rPr>
            <w:rStyle w:val="EnlacedeInternet"/>
            <w:b w:val="false"/>
            <w:bCs w:val="false"/>
            <w:i w:val="false"/>
            <w:iCs w:val="false"/>
            <w:caps w:val="false"/>
            <w:smallCaps w:val="false"/>
            <w:strike w:val="false"/>
            <w:dstrike w:val="false"/>
            <w:color w:val="000000"/>
            <w:spacing w:val="0"/>
            <w:sz w:val="24"/>
            <w:szCs w:val="24"/>
            <w:u w:val="none"/>
            <w:effect w:val="none"/>
            <w:shd w:fill="FFFFFF" w:val="clear"/>
          </w:rPr>
          <w:t>https://doi.org/10.1111/age.12916</w:t>
        </w:r>
      </w:hyperlink>
      <w:r>
        <w:rPr>
          <w:b w:val="false"/>
          <w:bCs w:val="false"/>
          <w:i w:val="false"/>
          <w:iCs w:val="false"/>
          <w:caps w:val="false"/>
          <w:smallCaps w:val="false"/>
          <w:strike w:val="false"/>
          <w:dstrike w:val="false"/>
          <w:color w:val="000000"/>
          <w:spacing w:val="0"/>
          <w:sz w:val="24"/>
          <w:szCs w:val="24"/>
          <w:u w:val="none"/>
          <w:effect w:val="none"/>
          <w:shd w:fill="FFFFFF" w:val="clear"/>
        </w:rPr>
        <w:t>.</w:t>
      </w:r>
    </w:p>
    <w:p>
      <w:pPr>
        <w:pStyle w:val="Normal"/>
        <w:bidi w:val="0"/>
        <w:jc w:val="both"/>
        <w:rPr/>
      </w:pPr>
      <w:r>
        <w:rPr>
          <w:b/>
          <w:bCs/>
          <w:i w:val="false"/>
          <w:iCs w:val="false"/>
          <w:caps w:val="false"/>
          <w:smallCaps w:val="false"/>
          <w:strike w:val="false"/>
          <w:dstrike w:val="false"/>
          <w:color w:val="000000"/>
          <w:spacing w:val="0"/>
          <w:sz w:val="24"/>
          <w:szCs w:val="24"/>
          <w:u w:val="none"/>
          <w:effect w:val="none"/>
          <w:shd w:fill="FFFFFF" w:val="clear"/>
        </w:rPr>
        <w:t>Material suplementario</w:t>
      </w:r>
    </w:p>
    <w:p>
      <w:pPr>
        <w:pStyle w:val="Normal"/>
        <w:bidi w:val="0"/>
        <w:jc w:val="both"/>
        <w:rPr>
          <w:b w:val="false"/>
          <w:b w:val="false"/>
          <w:bCs w:val="false"/>
          <w:i w:val="false"/>
          <w:i w:val="false"/>
          <w:iCs w:val="false"/>
          <w:caps w:val="false"/>
          <w:smallCaps w:val="false"/>
          <w:strike w:val="false"/>
          <w:dstrike w:val="false"/>
          <w:color w:val="000000"/>
          <w:spacing w:val="0"/>
          <w:sz w:val="24"/>
          <w:szCs w:val="24"/>
          <w:u w:val="none"/>
          <w:effect w:val="none"/>
          <w:shd w:fill="FFFFFF" w:val="clear"/>
        </w:rPr>
      </w:pPr>
      <w:r>
        <w:rPr>
          <w:b w:val="false"/>
          <w:bCs w:val="false"/>
          <w:i w:val="false"/>
          <w:iCs w:val="false"/>
          <w:caps w:val="false"/>
          <w:smallCaps w:val="false"/>
          <w:strike w:val="false"/>
          <w:dstrike w:val="false"/>
          <w:color w:val="000000"/>
          <w:spacing w:val="0"/>
          <w:sz w:val="24"/>
          <w:szCs w:val="24"/>
          <w:u w:val="none"/>
          <w:effect w:val="none"/>
          <w:shd w:fill="FFFFFF" w:val="clear"/>
        </w:rPr>
      </w:r>
    </w:p>
    <w:p>
      <w:pPr>
        <w:pStyle w:val="Normal"/>
        <w:bidi w:val="0"/>
        <w:jc w:val="both"/>
        <w:rPr/>
      </w:pPr>
      <w:r>
        <w:rPr>
          <w:b/>
          <w:bCs/>
          <w:sz w:val="24"/>
          <w:szCs w:val="24"/>
          <w:shd w:fill="auto" w:val="clear"/>
        </w:rPr>
        <w:t>Tabla 1.</w:t>
      </w:r>
      <w:r>
        <w:rPr>
          <w:sz w:val="24"/>
          <w:szCs w:val="24"/>
          <w:shd w:fill="auto" w:val="clear"/>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0k.</w:t>
      </w:r>
    </w:p>
    <w:p>
      <w:pPr>
        <w:pStyle w:val="Normal"/>
        <w:bidi w:val="0"/>
        <w:jc w:val="both"/>
        <w:rPr>
          <w:sz w:val="20"/>
          <w:szCs w:val="20"/>
          <w:shd w:fill="auto" w:val="clear"/>
        </w:rPr>
      </w:pPr>
      <w:r>
        <w:rPr>
          <w:sz w:val="20"/>
          <w:szCs w:val="20"/>
          <w:shd w:fill="auto" w:val="clea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2021.</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10865.</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5425.</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3910.</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rPr>
            </w:pPr>
            <w:r>
              <w:rPr>
                <w:color w:val="000000"/>
                <w:sz w:val="20"/>
                <w:szCs w:val="20"/>
                <w:shd w:fill="auto" w:val="clear"/>
              </w:rPr>
              <w:t>[</w:t>
            </w:r>
            <w:r>
              <w:rPr>
                <w:rFonts w:ascii="Droid Sans Mono;monospace;monospace" w:hAnsi="Droid Sans Mono;monospace;monospace"/>
                <w:b w:val="false"/>
                <w:i w:val="false"/>
                <w:caps w:val="false"/>
                <w:smallCaps w:val="false"/>
                <w:color w:val="333333"/>
                <w:spacing w:val="0"/>
                <w:sz w:val="21"/>
                <w:shd w:fill="auto" w:val="clear"/>
              </w:rPr>
              <w:t>0.08;0.11</w:t>
            </w: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p>
      <w:pPr>
        <w:pStyle w:val="Normal"/>
        <w:bidi w:val="0"/>
        <w:jc w:val="both"/>
        <w:rPr>
          <w:b w:val="false"/>
          <w:b w:val="false"/>
          <w:bCs w:val="false"/>
          <w:i w:val="false"/>
          <w:i w:val="false"/>
          <w:iCs w:val="false"/>
          <w:caps w:val="false"/>
          <w:smallCaps w:val="false"/>
          <w:strike w:val="false"/>
          <w:dstrike w:val="false"/>
          <w:color w:val="000000"/>
          <w:spacing w:val="0"/>
          <w:sz w:val="24"/>
          <w:szCs w:val="24"/>
          <w:u w:val="none"/>
          <w:effect w:val="none"/>
          <w:shd w:fill="FFFFFF" w:val="clear"/>
        </w:rPr>
      </w:pPr>
      <w:r>
        <w:rPr>
          <w:b w:val="false"/>
          <w:bCs w:val="false"/>
          <w:i w:val="false"/>
          <w:iCs w:val="false"/>
          <w:caps w:val="false"/>
          <w:smallCaps w:val="false"/>
          <w:strike w:val="false"/>
          <w:dstrike w:val="false"/>
          <w:color w:val="000000"/>
          <w:spacing w:val="0"/>
          <w:sz w:val="24"/>
          <w:szCs w:val="24"/>
          <w:u w:val="none"/>
          <w:effect w:val="none"/>
          <w:shd w:fill="FFFFFF" w:val="clear"/>
        </w:rPr>
      </w:r>
    </w:p>
    <w:p>
      <w:pPr>
        <w:pStyle w:val="Normal"/>
        <w:bidi w:val="0"/>
        <w:jc w:val="both"/>
        <w:rPr/>
      </w:pPr>
      <w:r>
        <w:rPr>
          <w:b/>
          <w:bCs/>
          <w:sz w:val="24"/>
          <w:szCs w:val="24"/>
          <w:shd w:fill="auto" w:val="clear"/>
        </w:rPr>
        <w:t>Tabla 2.</w:t>
      </w:r>
      <w:r>
        <w:rPr>
          <w:sz w:val="24"/>
          <w:szCs w:val="24"/>
          <w:shd w:fill="auto" w:val="clear"/>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50k.</w:t>
      </w:r>
    </w:p>
    <w:p>
      <w:pPr>
        <w:pStyle w:val="Normal"/>
        <w:bidi w:val="0"/>
        <w:jc w:val="both"/>
        <w:rPr>
          <w:sz w:val="20"/>
          <w:szCs w:val="20"/>
          <w:shd w:fill="auto" w:val="clear"/>
        </w:rPr>
      </w:pPr>
      <w:r>
        <w:rPr>
          <w:sz w:val="20"/>
          <w:szCs w:val="20"/>
          <w:shd w:fill="auto" w:val="clea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000000"/>
                <w:spacing w:val="0"/>
                <w:sz w:val="20"/>
                <w:szCs w:val="20"/>
                <w:shd w:fill="auto" w:val="clear"/>
              </w:rPr>
              <w:t>2033.</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000000"/>
                <w:spacing w:val="0"/>
                <w:sz w:val="20"/>
                <w:szCs w:val="20"/>
                <w:shd w:fill="auto" w:val="clear"/>
              </w:rPr>
              <w:t>10859.</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000000"/>
                <w:spacing w:val="0"/>
                <w:sz w:val="20"/>
                <w:szCs w:val="20"/>
                <w:shd w:fill="auto" w:val="clear"/>
              </w:rPr>
              <w:t>5441.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3910.</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000000"/>
                <w:spacing w:val="0"/>
                <w:sz w:val="20"/>
                <w:szCs w:val="20"/>
              </w:rPr>
            </w:pPr>
            <w:r>
              <w:rPr>
                <w:b w:val="false"/>
                <w:i w:val="false"/>
                <w:caps w:val="false"/>
                <w:smallCaps w:val="false"/>
                <w:color w:val="000000"/>
                <w:spacing w:val="0"/>
                <w:sz w:val="20"/>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r>
              <w:rPr>
                <w:b w:val="false"/>
                <w:i w:val="false"/>
                <w:caps w:val="false"/>
                <w:smallCaps w:val="false"/>
                <w:color w:val="000000"/>
                <w:spacing w:val="0"/>
                <w:sz w:val="20"/>
                <w:szCs w:val="20"/>
                <w:shd w:fill="auto" w:val="clear"/>
              </w:rPr>
              <w:t>0.08</w:t>
            </w:r>
            <w:r>
              <w:rPr>
                <w:color w:val="000000"/>
                <w:sz w:val="20"/>
                <w:szCs w:val="20"/>
                <w:shd w:fill="auto" w:val="clear"/>
              </w:rPr>
              <w:t>;</w:t>
            </w:r>
            <w:r>
              <w:rPr>
                <w:b w:val="false"/>
                <w:i w:val="false"/>
                <w:caps w:val="false"/>
                <w:smallCaps w:val="false"/>
                <w:color w:val="000000"/>
                <w:spacing w:val="0"/>
                <w:sz w:val="20"/>
                <w:szCs w:val="20"/>
                <w:shd w:fill="auto" w:val="clear"/>
              </w:rPr>
              <w:t>0.11</w:t>
            </w: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000000"/>
                <w:spacing w:val="0"/>
                <w:sz w:val="20"/>
                <w:szCs w:val="20"/>
              </w:rPr>
            </w:pPr>
            <w:r>
              <w:rPr>
                <w:b w:val="false"/>
                <w:i w:val="false"/>
                <w:caps w:val="false"/>
                <w:smallCaps w:val="false"/>
                <w:color w:val="000000"/>
                <w:spacing w:val="0"/>
                <w:sz w:val="20"/>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000000"/>
                <w:spacing w:val="0"/>
                <w:sz w:val="20"/>
                <w:szCs w:val="20"/>
              </w:rPr>
            </w:pPr>
            <w:r>
              <w:rPr>
                <w:b w:val="false"/>
                <w:i w:val="false"/>
                <w:caps w:val="false"/>
                <w:smallCaps w:val="false"/>
                <w:color w:val="000000"/>
                <w:spacing w:val="0"/>
                <w:sz w:val="20"/>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t>342.</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333333"/>
                <w:spacing w:val="0"/>
                <w:sz w:val="20"/>
                <w:szCs w:val="20"/>
              </w:rPr>
              <w:t>2880.</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333333"/>
                <w:spacing w:val="0"/>
                <w:sz w:val="20"/>
                <w:szCs w:val="20"/>
              </w:rPr>
              <w:t>1113.</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b w:val="false"/>
                <w:i w:val="false"/>
                <w:caps w:val="false"/>
                <w:smallCaps w:val="false"/>
                <w:color w:val="333333"/>
                <w:spacing w:val="0"/>
                <w:sz w:val="20"/>
                <w:szCs w:val="20"/>
              </w:rPr>
              <w:t>1099.</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t>0.06</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[0.04;0.08]</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t>0.20</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t>0.20</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p>
      <w:pPr>
        <w:pStyle w:val="Normal"/>
        <w:bidi w:val="0"/>
        <w:jc w:val="both"/>
        <w:rPr>
          <w:rFonts w:ascii="Liberation Serif" w:hAnsi="Liberation Serif"/>
        </w:rPr>
      </w:pPr>
      <w:r>
        <w:rPr/>
      </w:r>
    </w:p>
    <w:p>
      <w:pPr>
        <w:pStyle w:val="Normal"/>
        <w:bidi w:val="0"/>
        <w:jc w:val="both"/>
        <w:rPr>
          <w:rFonts w:ascii="Liberation Serif" w:hAnsi="Liberation Serif"/>
        </w:rPr>
      </w:pPr>
      <w:r>
        <w:rPr>
          <w:b/>
          <w:bCs/>
          <w:sz w:val="24"/>
          <w:szCs w:val="24"/>
          <w:shd w:fill="auto" w:val="clear"/>
        </w:rPr>
        <w:t xml:space="preserve">Tabla 3. </w:t>
      </w:r>
      <w:r>
        <w:rPr>
          <w:sz w:val="24"/>
          <w:szCs w:val="24"/>
          <w:shd w:fill="auto" w:val="clear"/>
        </w:rPr>
        <w:t>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HD.</w:t>
      </w:r>
    </w:p>
    <w:p>
      <w:pPr>
        <w:pStyle w:val="Normal"/>
        <w:bidi w:val="0"/>
        <w:jc w:val="both"/>
        <w:rPr>
          <w:rFonts w:ascii="Liberation Serif" w:hAnsi="Liberation Serif"/>
        </w:rPr>
      </w:pPr>
      <w: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2075.</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10828.</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5437.</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3902.</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[0.08;0,11]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p>
      <w:pPr>
        <w:pStyle w:val="Normal"/>
        <w:bidi w:val="0"/>
        <w:jc w:val="both"/>
        <w:rPr>
          <w:rFonts w:ascii="Liberation Serif" w:hAnsi="Liberation Serif"/>
        </w:rPr>
      </w:pPr>
      <w:r>
        <w:rPr/>
      </w:r>
    </w:p>
    <w:p>
      <w:pPr>
        <w:pStyle w:val="Normal"/>
        <w:bidi w:val="0"/>
        <w:jc w:val="both"/>
        <w:rPr>
          <w:rFonts w:ascii="Liberation Serif" w:hAnsi="Liberation Serif"/>
        </w:rPr>
      </w:pPr>
      <w:r>
        <w:rPr>
          <w:b/>
          <w:bCs/>
          <w:position w:val="0"/>
          <w:sz w:val="24"/>
          <w:sz w:val="24"/>
          <w:szCs w:val="24"/>
          <w:shd w:fill="auto" w:val="clear"/>
          <w:vertAlign w:val="baseline"/>
        </w:rPr>
        <w:t>Tabla 4.</w:t>
      </w:r>
      <w:r>
        <w:rPr>
          <w:b w:val="false"/>
          <w:bCs w:val="false"/>
          <w:position w:val="0"/>
          <w:sz w:val="24"/>
          <w:sz w:val="24"/>
          <w:szCs w:val="24"/>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SNP-tags en HD.</w:t>
      </w:r>
    </w:p>
    <w:p>
      <w:pPr>
        <w:pStyle w:val="Normal"/>
        <w:bidi w:val="0"/>
        <w:jc w:val="both"/>
        <w:rPr>
          <w:rFonts w:ascii="Liberation Serif" w:hAnsi="Liberation Serif"/>
        </w:rPr>
      </w:pPr>
      <w: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2065.</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10836.</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5437.</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3903.</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[0.08;0,11]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[intervalo de densidad posterior más alto al 95%];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materna [intervalo de densidad posterior más alto al 95%];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entre efectos directos y maternos [intervalo de densidad posterior más alto al 95%];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position w:val="0"/>
          <w:sz w:val="20"/>
          <w:sz w:val="20"/>
          <w:szCs w:val="20"/>
          <w:u w:val="none"/>
          <w:effect w:val="none"/>
          <w:shd w:fill="auto" w:val="clear"/>
          <w:vertAlign w:val="baseline"/>
          <w:lang w:val="es-ES" w:eastAsia="zh-CN" w:bidi="hi-IN"/>
        </w:rPr>
        <w:t>ón</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genética entre los caracteres edad al primer parto e intervalo entre el primer y segundo parto [intervalo de densidad posterior más alto al 95%].</w:t>
      </w:r>
    </w:p>
    <w:p>
      <w:pPr>
        <w:pStyle w:val="Normal"/>
        <w:bidi w:val="0"/>
        <w:jc w:val="both"/>
        <w:rPr>
          <w:rFonts w:ascii="Liberation Serif" w:hAnsi="Liberation Serif"/>
        </w:rPr>
      </w:pPr>
      <w:r>
        <w:rPr/>
      </w:r>
    </w:p>
    <w:p>
      <w:pPr>
        <w:pStyle w:val="Normal"/>
        <w:bidi w:val="0"/>
        <w:jc w:val="both"/>
        <w:rPr>
          <w:rFonts w:ascii="Liberation Serif" w:hAnsi="Liberation Serif"/>
        </w:rPr>
      </w:pPr>
      <w:r>
        <w:rPr>
          <w:b/>
          <w:bCs/>
          <w:position w:val="0"/>
          <w:sz w:val="24"/>
          <w:sz w:val="24"/>
          <w:szCs w:val="24"/>
          <w:shd w:fill="auto" w:val="clear"/>
          <w:vertAlign w:val="baseline"/>
        </w:rPr>
        <w:t>Tabla 5.</w:t>
      </w:r>
      <w:r>
        <w:rPr>
          <w:b w:val="false"/>
          <w:bCs w:val="false"/>
          <w:position w:val="0"/>
          <w:sz w:val="24"/>
          <w:sz w:val="24"/>
          <w:szCs w:val="24"/>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SNP-tags en 50K.</w:t>
      </w:r>
    </w:p>
    <w:p>
      <w:pPr>
        <w:pStyle w:val="Normal"/>
        <w:bidi w:val="0"/>
        <w:jc w:val="both"/>
        <w:rPr>
          <w:rFonts w:ascii="Liberation Serif" w:hAnsi="Liberation Serif"/>
        </w:rPr>
      </w:pPr>
      <w: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1986.</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10897.</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5442.</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3911.</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[0.07;0.10]</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p>
      <w:pPr>
        <w:pStyle w:val="Normal"/>
        <w:bidi w:val="0"/>
        <w:jc w:val="both"/>
        <w:rPr>
          <w:rFonts w:ascii="Liberation Serif" w:hAnsi="Liberation Serif"/>
        </w:rPr>
      </w:pPr>
      <w:r>
        <w:rPr/>
      </w:r>
    </w:p>
    <w:p>
      <w:pPr>
        <w:pStyle w:val="Normal"/>
        <w:bidi w:val="0"/>
        <w:jc w:val="both"/>
        <w:rPr>
          <w:rFonts w:ascii="Liberation Serif" w:hAnsi="Liberation Serif"/>
        </w:rPr>
      </w:pPr>
      <w:r>
        <w:rPr>
          <w:b/>
          <w:bCs/>
          <w:i w:val="false"/>
          <w:caps w:val="false"/>
          <w:smallCaps w:val="false"/>
          <w:color w:val="000000"/>
          <w:spacing w:val="0"/>
          <w:position w:val="0"/>
          <w:sz w:val="24"/>
          <w:sz w:val="24"/>
          <w:szCs w:val="24"/>
          <w:shd w:fill="auto" w:val="clear"/>
          <w:vertAlign w:val="baseline"/>
        </w:rPr>
        <w:t>Tabla 6.</w:t>
      </w:r>
      <w:r>
        <w:rPr>
          <w:b w:val="false"/>
          <w:bCs w:val="false"/>
          <w:i w:val="false"/>
          <w:caps w:val="false"/>
          <w:smallCaps w:val="false"/>
          <w:color w:val="000000"/>
          <w:spacing w:val="0"/>
          <w:position w:val="0"/>
          <w:sz w:val="24"/>
          <w:sz w:val="24"/>
          <w:szCs w:val="24"/>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SNP-tags y singletons en HD.</w:t>
      </w:r>
    </w:p>
    <w:p>
      <w:pPr>
        <w:pStyle w:val="Normal"/>
        <w:bidi w:val="0"/>
        <w:jc w:val="both"/>
        <w:rPr>
          <w:sz w:val="20"/>
          <w:szCs w:val="20"/>
          <w:shd w:fill="auto" w:val="clear"/>
        </w:rPr>
      </w:pPr>
      <w:r>
        <w:rPr>
          <w:sz w:val="20"/>
          <w:szCs w:val="20"/>
          <w:shd w:fill="auto" w:val="clea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2068.</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10834.</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5436.</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zCs w:val="20"/>
                <w:shd w:fill="auto" w:val="clear"/>
              </w:rPr>
              <w:t>3902.</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[0.08;0,11]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[intervalo de densidad posterior más alto al 95%];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materna [intervalo de densidad posterior más alto al 95%];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entre efectos directos y maternos [intervalo de densidad posterior más alto al 95%];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position w:val="0"/>
          <w:sz w:val="20"/>
          <w:sz w:val="20"/>
          <w:szCs w:val="20"/>
          <w:u w:val="none"/>
          <w:effect w:val="none"/>
          <w:shd w:fill="auto" w:val="clear"/>
          <w:vertAlign w:val="baseline"/>
          <w:lang w:val="es-ES" w:eastAsia="zh-CN" w:bidi="hi-IN"/>
        </w:rPr>
        <w:t>ón</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genética entre los caracteres edad al primer parto e intervalo entre el primer y segundo parto [intervalo de densidad posterior más alto al 95%].</w:t>
      </w:r>
    </w:p>
    <w:p>
      <w:pPr>
        <w:pStyle w:val="Normal"/>
        <w:bidi w:val="0"/>
        <w:jc w:val="both"/>
        <w:rPr>
          <w:rFonts w:ascii="Liberation Serif" w:hAnsi="Liberation Serif"/>
        </w:rPr>
      </w:pPr>
      <w:r>
        <w:rPr/>
      </w:r>
    </w:p>
    <w:p>
      <w:pPr>
        <w:pStyle w:val="Normal"/>
        <w:bidi w:val="0"/>
        <w:jc w:val="both"/>
        <w:rPr>
          <w:rFonts w:ascii="Liberation Serif" w:hAnsi="Liberation Serif"/>
        </w:rPr>
      </w:pPr>
      <w:r>
        <w:rPr>
          <w:b/>
          <w:bCs/>
          <w:i w:val="false"/>
          <w:caps w:val="false"/>
          <w:smallCaps w:val="false"/>
          <w:color w:val="000000"/>
          <w:spacing w:val="0"/>
          <w:position w:val="0"/>
          <w:sz w:val="24"/>
          <w:sz w:val="24"/>
          <w:szCs w:val="24"/>
          <w:shd w:fill="auto" w:val="clear"/>
          <w:vertAlign w:val="baseline"/>
        </w:rPr>
        <w:t>Tabla 7.</w:t>
      </w:r>
      <w:r>
        <w:rPr>
          <w:b w:val="false"/>
          <w:bCs w:val="false"/>
          <w:i w:val="false"/>
          <w:caps w:val="false"/>
          <w:smallCaps w:val="false"/>
          <w:color w:val="000000"/>
          <w:spacing w:val="0"/>
          <w:position w:val="0"/>
          <w:sz w:val="24"/>
          <w:sz w:val="24"/>
          <w:szCs w:val="24"/>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SNP-tags y singletons en 50K.</w:t>
      </w:r>
    </w:p>
    <w:p>
      <w:pPr>
        <w:pStyle w:val="Normal"/>
        <w:bidi w:val="0"/>
        <w:jc w:val="both"/>
        <w:rPr>
          <w:sz w:val="20"/>
          <w:szCs w:val="20"/>
          <w:shd w:fill="auto" w:val="clear"/>
        </w:rPr>
      </w:pPr>
      <w:r>
        <w:rPr>
          <w:sz w:val="20"/>
          <w:szCs w:val="20"/>
          <w:shd w:fill="auto" w:val="clea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rFonts w:ascii="Droid Sans Mono;monospace;monospace" w:hAnsi="Droid Sans Mono;monospace;monospace"/>
                <w:b w:val="false"/>
                <w:i w:val="false"/>
                <w:caps w:val="false"/>
                <w:smallCaps w:val="false"/>
                <w:color w:val="333333"/>
                <w:spacing w:val="0"/>
                <w:sz w:val="21"/>
                <w:szCs w:val="20"/>
                <w:shd w:fill="auto" w:val="clear"/>
              </w:rPr>
              <w:t>2010.</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rFonts w:ascii="Droid Sans Mono;monospace;monospace" w:hAnsi="Droid Sans Mono;monospace;monospace"/>
                <w:b w:val="false"/>
                <w:i w:val="false"/>
                <w:caps w:val="false"/>
                <w:smallCaps w:val="false"/>
                <w:color w:val="333333"/>
                <w:spacing w:val="0"/>
                <w:sz w:val="21"/>
                <w:szCs w:val="20"/>
                <w:shd w:fill="auto" w:val="clear"/>
              </w:rPr>
              <w:t>10879.</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rFonts w:ascii="Droid Sans Mono;monospace;monospace" w:hAnsi="Droid Sans Mono;monospace;monospace"/>
                <w:b w:val="false"/>
                <w:i w:val="false"/>
                <w:caps w:val="false"/>
                <w:smallCaps w:val="false"/>
                <w:color w:val="333333"/>
                <w:spacing w:val="0"/>
                <w:sz w:val="21"/>
                <w:szCs w:val="20"/>
                <w:shd w:fill="auto" w:val="clear"/>
              </w:rPr>
              <w:t>5439.</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rFonts w:ascii="Droid Sans Mono;monospace;monospace" w:hAnsi="Droid Sans Mono;monospace;monospace"/>
                <w:b w:val="false"/>
                <w:i w:val="false"/>
                <w:caps w:val="false"/>
                <w:smallCaps w:val="false"/>
                <w:color w:val="333333"/>
                <w:spacing w:val="0"/>
                <w:sz w:val="21"/>
                <w:szCs w:val="20"/>
                <w:shd w:fill="auto" w:val="clear"/>
              </w:rPr>
              <w:t>3912.</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[0.08;0,11]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Droid Sans Mono;monospace;monospace" w:hAnsi="Droid Sans Mono;monospace;monospace"/>
                <w:b w:val="false"/>
                <w:b w:val="false"/>
                <w:i w:val="false"/>
                <w:i w:val="false"/>
                <w:caps w:val="false"/>
                <w:smallCaps w:val="false"/>
                <w:color w:val="333333"/>
                <w:spacing w:val="0"/>
                <w:sz w:val="21"/>
                <w:szCs w:val="20"/>
              </w:rPr>
            </w:pPr>
            <w:r>
              <w:rPr>
                <w:rFonts w:ascii="Droid Sans Mono;monospace;monospace" w:hAnsi="Droid Sans Mono;monospace;monospace"/>
                <w:b w:val="false"/>
                <w:i w:val="false"/>
                <w:caps w:val="false"/>
                <w:smallCaps w:val="false"/>
                <w:color w:val="333333"/>
                <w:spacing w:val="0"/>
                <w:sz w:val="21"/>
                <w:szCs w:val="20"/>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[intervalo de densidad posterior más alto al 95%];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heredabilidad materna [intervalo de densidad posterior más alto al 95%];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entre efectos directos y maternos [intervalo de densidad posterior más alto al 95%];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position w:val="0"/>
          <w:sz w:val="20"/>
          <w:sz w:val="20"/>
          <w:szCs w:val="20"/>
          <w:u w:val="none"/>
          <w:effect w:val="none"/>
          <w:shd w:fill="auto" w:val="clear"/>
          <w:vertAlign w:val="baseline"/>
          <w:lang w:val="es-ES" w:eastAsia="zh-CN" w:bidi="hi-IN"/>
        </w:rPr>
        <w:t>ón</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 xml:space="preserve"> [HPD95%], correlación genética entre los caracteres edad al primer parto e intervalo entre el primer y segundo parto [intervalo de densidad posterior más alto al 95%].</w:t>
      </w:r>
    </w:p>
    <w:p>
      <w:pPr>
        <w:pStyle w:val="Normal"/>
        <w:bidi w:val="0"/>
        <w:spacing w:before="0" w:after="0"/>
        <w:jc w:val="both"/>
        <w:rPr>
          <w:rFonts w:ascii="Liberation Serif" w:hAnsi="Liberation Serif"/>
        </w:rPr>
      </w:pPr>
      <w:r>
        <w:rPr/>
      </w:r>
    </w:p>
    <w:p>
      <w:pPr>
        <w:pStyle w:val="Normal"/>
        <w:bidi w:val="0"/>
        <w:spacing w:before="0" w:after="0"/>
        <w:jc w:val="both"/>
        <w:rPr>
          <w:rFonts w:ascii="Liberation Serif" w:hAnsi="Liberation Serif"/>
        </w:rPr>
      </w:pPr>
      <w:r>
        <w:rPr>
          <w:b/>
          <w:bCs/>
          <w:i w:val="false"/>
          <w:iCs w:val="false"/>
          <w:caps w:val="false"/>
          <w:smallCaps w:val="false"/>
          <w:strike w:val="false"/>
          <w:dstrike w:val="false"/>
          <w:color w:val="000000"/>
          <w:spacing w:val="0"/>
          <w:position w:val="0"/>
          <w:sz w:val="24"/>
          <w:sz w:val="24"/>
          <w:szCs w:val="24"/>
          <w:u w:val="none"/>
          <w:effect w:val="none"/>
          <w:shd w:fill="auto" w:val="clear"/>
          <w:vertAlign w:val="baseline"/>
        </w:rPr>
        <w:t>Tabla 8.</w:t>
      </w:r>
      <w:r>
        <w:rPr>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aproximadamente 5 mil marcadores seleccionados en 50K.</w:t>
      </w:r>
    </w:p>
    <w:p>
      <w:pPr>
        <w:pStyle w:val="Normal"/>
        <w:bidi w:val="0"/>
        <w:jc w:val="both"/>
        <w:rPr>
          <w:rFonts w:ascii="Liberation Serif" w:hAnsi="Liberation Serif"/>
        </w:rPr>
      </w:pPr>
      <w: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1991.</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10894.</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5442.</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3912.</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[0.07;0.10]</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p>
      <w:pPr>
        <w:pStyle w:val="Normal"/>
        <w:bidi w:val="0"/>
        <w:spacing w:before="0" w:after="0"/>
        <w:jc w:val="both"/>
        <w:rPr>
          <w:rFonts w:ascii="Liberation Serif" w:hAnsi="Liberation Serif"/>
        </w:rPr>
      </w:pPr>
      <w:r>
        <w:rPr/>
      </w:r>
    </w:p>
    <w:p>
      <w:pPr>
        <w:pStyle w:val="Normal"/>
        <w:bidi w:val="0"/>
        <w:spacing w:before="0" w:after="0"/>
        <w:jc w:val="both"/>
        <w:rPr>
          <w:rFonts w:ascii="Liberation Serif" w:hAnsi="Liberation Serif"/>
        </w:rPr>
      </w:pPr>
      <w:r>
        <w:rPr>
          <w:b/>
          <w:bCs/>
          <w:i w:val="false"/>
          <w:iCs w:val="false"/>
          <w:caps w:val="false"/>
          <w:smallCaps w:val="false"/>
          <w:strike w:val="false"/>
          <w:dstrike w:val="false"/>
          <w:color w:val="000000"/>
          <w:spacing w:val="0"/>
          <w:position w:val="0"/>
          <w:sz w:val="24"/>
          <w:sz w:val="24"/>
          <w:szCs w:val="24"/>
          <w:u w:val="none"/>
          <w:effect w:val="none"/>
          <w:shd w:fill="auto" w:val="clear"/>
          <w:vertAlign w:val="baseline"/>
        </w:rPr>
        <w:t>Tabla 9.</w:t>
      </w:r>
      <w:r>
        <w:rPr>
          <w:b w:val="false"/>
          <w:bCs w:val="false"/>
          <w:i w:val="false"/>
          <w:iCs w:val="false"/>
          <w:caps w:val="false"/>
          <w:smallCaps w:val="false"/>
          <w:strike w:val="false"/>
          <w:dstrike w:val="false"/>
          <w:color w:val="000000"/>
          <w:spacing w:val="0"/>
          <w:position w:val="0"/>
          <w:sz w:val="24"/>
          <w:sz w:val="24"/>
          <w:szCs w:val="24"/>
          <w:u w:val="none"/>
          <w:effect w:val="none"/>
          <w:shd w:fill="auto" w:val="clear"/>
          <w:vertAlign w:val="baseline"/>
        </w:rPr>
        <w:t xml:space="preserve"> Estimación de componentes de varianza para caracteres productivos (PD, Peso al destete) y de fertilidad (IEP, Intervalo entre el primer y segundo parto; EPP, edad al primer parto), usando datos completos y parciales mediante análisis uni- y bi-carácter. Estas estimas corresponden al escenario donde se uso información genómica de aproximadamente 14 mil marcadores seleccionados en 50K.</w:t>
      </w:r>
    </w:p>
    <w:p>
      <w:pPr>
        <w:pStyle w:val="Normal"/>
        <w:bidi w:val="0"/>
        <w:jc w:val="both"/>
        <w:rPr>
          <w:sz w:val="20"/>
          <w:szCs w:val="20"/>
          <w:shd w:fill="auto" w:val="clear"/>
        </w:rPr>
      </w:pPr>
      <w:r>
        <w:rPr>
          <w:sz w:val="20"/>
          <w:szCs w:val="20"/>
          <w:shd w:fill="auto" w:val="clear"/>
        </w:rPr>
      </w:r>
    </w:p>
    <w:tbl>
      <w:tblPr>
        <w:tblW w:w="14550" w:type="dxa"/>
        <w:jc w:val="left"/>
        <w:tblInd w:w="-5" w:type="dxa"/>
        <w:tblLayout w:type="fixed"/>
        <w:tblCellMar>
          <w:top w:w="55" w:type="dxa"/>
          <w:left w:w="55" w:type="dxa"/>
          <w:bottom w:w="55" w:type="dxa"/>
          <w:right w:w="55" w:type="dxa"/>
        </w:tblCellMar>
      </w:tblPr>
      <w:tblGrid>
        <w:gridCol w:w="970"/>
        <w:gridCol w:w="970"/>
        <w:gridCol w:w="970"/>
        <w:gridCol w:w="970"/>
        <w:gridCol w:w="970"/>
        <w:gridCol w:w="970"/>
        <w:gridCol w:w="970"/>
        <w:gridCol w:w="970"/>
        <w:gridCol w:w="970"/>
        <w:gridCol w:w="970"/>
        <w:gridCol w:w="970"/>
        <w:gridCol w:w="970"/>
        <w:gridCol w:w="970"/>
        <w:gridCol w:w="970"/>
        <w:gridCol w:w="970"/>
      </w:tblGrid>
      <w:tr>
        <w:trPr/>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Conjunto de datos</w:t>
            </w:r>
          </w:p>
        </w:tc>
        <w:tc>
          <w:tcPr>
            <w:tcW w:w="970" w:type="dxa"/>
            <w:tcBorders>
              <w:top w:val="single" w:sz="4" w:space="0" w:color="000000"/>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b/>
                <w:bCs/>
                <w:color w:val="000000"/>
                <w:sz w:val="20"/>
                <w:szCs w:val="20"/>
                <w:shd w:fill="auto" w:val="clear"/>
              </w:rPr>
              <w:t>Carácter</w:t>
            </w:r>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mpe</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r>
                  <w:rPr>
                    <w:rFonts w:ascii="Cambria Math" w:hAnsi="Cambria Math"/>
                  </w:rPr>
                  <m:t xml:space="preserve">²</m:t>
                </m:r>
              </m:oMath>
            </m:oMathPara>
          </w:p>
        </w:tc>
        <w:tc>
          <w:tcPr>
            <w:tcW w:w="970" w:type="dxa"/>
            <w:tcBorders>
              <w:top w:val="single" w:sz="4" w:space="0" w:color="000000"/>
              <w:left w:val="single" w:sz="4" w:space="0" w:color="000000"/>
              <w:bottom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m:oMathPara>
          </w:p>
        </w:tc>
        <w:tc>
          <w:tcPr>
            <w:tcW w:w="970" w:type="dxa"/>
            <w:tcBorders>
              <w:top w:val="single" w:sz="4" w:space="0" w:color="000000"/>
              <w:left w:val="single" w:sz="4" w:space="0" w:color="000000"/>
              <w:bottom w:val="single" w:sz="4" w:space="0" w:color="000000"/>
              <w:right w:val="single" w:sz="4" w:space="0" w:color="000000"/>
            </w:tcBorders>
            <w:vAlign w:val="center"/>
          </w:tcPr>
          <w:p>
            <w:pPr>
              <w:pStyle w:val="Contenidodelatabla"/>
              <w:widowControl w:val="false"/>
              <w:bidi w:val="0"/>
              <w:jc w:val="left"/>
              <w:rPr>
                <w:rFonts w:ascii="Liberation Serif" w:hAnsi="Liberation Serif"/>
                <w:color w:val="000000"/>
                <w:sz w:val="20"/>
                <w:szCs w:val="20"/>
              </w:rPr>
            </w:pPr>
            <w:r>
              <w:rPr/>
            </w:r>
            <m:oMathPara xmlns:m="http://schemas.openxmlformats.org/officeDocument/2006/math">
              <m:oMathParaPr>
                <m:jc m:val="left"/>
              </m:oMathParaPr>
              <m:o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m:oMathPara>
          </w:p>
        </w:tc>
      </w:tr>
      <w:tr>
        <w:trPr/>
        <w:tc>
          <w:tcPr>
            <w:tcW w:w="970" w:type="dxa"/>
            <w:vMerge w:val="restart"/>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Completo</w:t>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EPP</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2024.</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10867.</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spacing w:val="0"/>
                <w:shd w:fill="auto" w:val="clear"/>
              </w:rPr>
            </w:pPr>
            <w:r>
              <w:rPr>
                <w:rFonts w:ascii="Droid Sans Mono;monospace;monospace" w:hAnsi="Droid Sans Mono;monospace;monospace"/>
                <w:b w:val="false"/>
                <w:i w:val="false"/>
                <w:caps w:val="false"/>
                <w:smallCaps w:val="false"/>
                <w:color w:val="333333"/>
                <w:spacing w:val="0"/>
                <w:sz w:val="21"/>
                <w:shd w:fill="auto" w:val="clear"/>
              </w:rPr>
              <w:t>5444.</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3916.</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0.09</w:t>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[0.08;0.11]</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0.24</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shd w:fill="auto" w:val="clear"/>
              </w:rPr>
            </w:pPr>
            <w:r>
              <w:rPr>
                <w:rFonts w:ascii="Droid Sans Mono;monospace;monospace" w:hAnsi="Droid Sans Mono;monospace;monospace"/>
                <w:b w:val="false"/>
                <w:i w:val="false"/>
                <w:caps w:val="false"/>
                <w:smallCaps w:val="false"/>
                <w:color w:val="333333"/>
                <w:spacing w:val="0"/>
                <w:sz w:val="21"/>
                <w:shd w:fill="auto" w:val="clear"/>
              </w:rPr>
              <w:t>0.18</w:t>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IEP</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b w:val="false"/>
                <w:b w:val="false"/>
                <w:i w:val="false"/>
                <w:i w:val="false"/>
                <w:caps w:val="false"/>
                <w:smallCaps w:val="false"/>
                <w:color w:val="333333"/>
                <w:spacing w:val="0"/>
              </w:rPr>
            </w:pPr>
            <w:r>
              <w:rPr>
                <w:b w:val="false"/>
                <w:i w:val="false"/>
                <w:caps w:val="false"/>
                <w:smallCaps w:val="false"/>
                <w:color w:val="333333"/>
                <w:spacing w:val="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b w:val="false"/>
                <w:b w:val="false"/>
                <w:i w:val="false"/>
                <w:i w:val="false"/>
                <w:caps w:val="false"/>
                <w:smallCaps w:val="false"/>
                <w:color w:val="333333"/>
                <w:spacing w:val="0"/>
                <w:sz w:val="20"/>
                <w:szCs w:val="20"/>
              </w:rPr>
            </w:pPr>
            <w:r>
              <w:rPr>
                <w:b w:val="false"/>
                <w:i w:val="false"/>
                <w:caps w:val="false"/>
                <w:smallCaps w:val="false"/>
                <w:color w:val="333333"/>
                <w:spacing w:val="0"/>
                <w:sz w:val="20"/>
                <w:szCs w:val="20"/>
              </w:rPr>
            </w:r>
          </w:p>
        </w:tc>
      </w:tr>
      <w:tr>
        <w:trPr/>
        <w:tc>
          <w:tcPr>
            <w:tcW w:w="970" w:type="dxa"/>
            <w:vMerge w:val="continue"/>
            <w:tcBorders>
              <w:left w:val="single" w:sz="4" w:space="0" w:color="000000"/>
              <w:bottom w:val="single" w:sz="4" w:space="0" w:color="000000"/>
            </w:tcBorders>
            <w:vAlign w:val="center"/>
          </w:tcPr>
          <w:p>
            <w:pPr>
              <w:pStyle w:val="Normal"/>
              <w:widowControl w:val="false"/>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PD</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rPr>
            </w:r>
          </w:p>
        </w:tc>
        <w:tc>
          <w:tcPr>
            <w:tcW w:w="970" w:type="dxa"/>
            <w:tcBorders>
              <w:left w:val="single" w:sz="4" w:space="0" w:color="000000"/>
              <w:bottom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c>
          <w:tcPr>
            <w:tcW w:w="970" w:type="dxa"/>
            <w:tcBorders>
              <w:left w:val="single" w:sz="4" w:space="0" w:color="000000"/>
              <w:bottom w:val="single" w:sz="4" w:space="0" w:color="000000"/>
              <w:right w:val="single" w:sz="4" w:space="0" w:color="000000"/>
            </w:tcBorders>
            <w:vAlign w:val="center"/>
          </w:tcPr>
          <w:p>
            <w:pPr>
              <w:pStyle w:val="Contenidodelatabla"/>
              <w:widowControl w:val="false"/>
              <w:bidi w:val="0"/>
              <w:jc w:val="both"/>
              <w:rPr>
                <w:rFonts w:ascii="Liberation Serif" w:hAnsi="Liberation Serif"/>
                <w:color w:val="000000"/>
                <w:sz w:val="20"/>
                <w:szCs w:val="20"/>
              </w:rPr>
            </w:pPr>
            <w:r>
              <w:rPr>
                <w:color w:val="000000"/>
                <w:sz w:val="20"/>
                <w:szCs w:val="20"/>
                <w:shd w:fill="auto" w:val="clear"/>
              </w:rPr>
              <w:t>-</w:t>
            </w:r>
          </w:p>
        </w:tc>
      </w:tr>
    </w:tbl>
    <w:p>
      <w:pPr>
        <w:pStyle w:val="Normal"/>
        <w:bidi w:val="0"/>
        <w:spacing w:before="0" w:after="0"/>
        <w:jc w:val="both"/>
        <w:rPr>
          <w:rFonts w:ascii="Liberation Serif" w:hAnsi="Liberation Serif"/>
        </w:rPr>
      </w:pPr>
      <w:r>
        <w:rPr>
          <w:b w:val="false"/>
          <w:bCs w:val="false"/>
          <w:i w:val="false"/>
          <w:iCs w:val="false"/>
          <w:caps w:val="false"/>
          <w:smallCaps w:val="false"/>
          <w:strike w:val="false"/>
          <w:dstrike w:val="false"/>
          <w:color w:val="000000"/>
          <w:spacing w:val="0"/>
          <w:sz w:val="20"/>
          <w:szCs w:val="20"/>
          <w:u w:val="none"/>
          <w:effect w:val="none"/>
          <w:shd w:fill="auto" w:val="clear"/>
        </w:rPr>
        <w:t xml:space="preserve">Parcial, conjunto de datos con información de fenotipos desde 1984 hasta 2023, exceptuando los años 2017, 2018 y 2019; Completo, conjunto de datos con información de fenotipos desde 1984 hasta 2023; </w:t>
      </w:r>
      <w:r>
        <w:rPr/>
      </w:r>
      <m:oMath xmlns:m="http://schemas.openxmlformats.org/officeDocument/2006/math">
        <m:sSubSup>
          <m:e>
            <m:r>
              <w:rPr>
                <w:rFonts w:ascii="Cambria Math" w:hAnsi="Cambria Math"/>
              </w:rPr>
              <m:t xml:space="preserve">σ</m:t>
            </m:r>
          </m:e>
          <m:sub>
            <m:r>
              <w:rPr>
                <w:rFonts w:ascii="Cambria Math" w:hAnsi="Cambria Math"/>
              </w:rPr>
              <m:t xml:space="preserve">a</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genética aditiva; </w:t>
      </w:r>
      <w:r>
        <w:rPr/>
      </w:r>
      <m:oMath xmlns:m="http://schemas.openxmlformats.org/officeDocument/2006/math">
        <m:sSubSup>
          <m:e>
            <m:r>
              <w:rPr>
                <w:rFonts w:ascii="Cambria Math" w:hAnsi="Cambria Math"/>
              </w:rPr>
              <m:t xml:space="preserve">σ</m:t>
            </m:r>
          </m:e>
          <m:sub>
            <m:r>
              <w:rPr>
                <w:rFonts w:ascii="Cambria Math" w:hAnsi="Cambria Math"/>
              </w:rPr>
              <m:t xml:space="preserve">e</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residual; </w:t>
      </w:r>
      <w:r>
        <w:rPr/>
      </w:r>
      <m:oMath xmlns:m="http://schemas.openxmlformats.org/officeDocument/2006/math">
        <m:sSubSup>
          <m:e>
            <m:r>
              <w:rPr>
                <w:rFonts w:ascii="Cambria Math" w:hAnsi="Cambria Math"/>
              </w:rPr>
              <m:t xml:space="preserve">σ</m:t>
            </m:r>
          </m:e>
          <m:sub>
            <m:r>
              <w:rPr>
                <w:rFonts w:ascii="Cambria Math" w:hAnsi="Cambria Math"/>
              </w:rPr>
              <m:t xml:space="preserve">m</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materna; </w:t>
      </w:r>
      <w:r>
        <w:rPr/>
      </w:r>
      <m:oMath xmlns:m="http://schemas.openxmlformats.org/officeDocument/2006/math">
        <m:sSub>
          <m:e>
            <m:r>
              <w:rPr>
                <w:rFonts w:ascii="Cambria Math" w:hAnsi="Cambria Math"/>
              </w:rPr>
              <m:t xml:space="preserve">σ</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covarianza entre efectos directos y maternos; </w:t>
      </w:r>
      <w:r>
        <w:rPr/>
      </w:r>
      <m:oMath xmlns:m="http://schemas.openxmlformats.org/officeDocument/2006/math">
        <m:sSubSup>
          <m:e>
            <m:r>
              <w:rPr>
                <w:rFonts w:ascii="Cambria Math" w:hAnsi="Cambria Math"/>
              </w:rPr>
              <m:t xml:space="preserve">σ</m:t>
            </m:r>
          </m:e>
          <m:sub>
            <m:r>
              <w:rPr>
                <w:rFonts w:ascii="Cambria Math" w:hAnsi="Cambria Math"/>
              </w:rPr>
              <m:t xml:space="preserve">GC</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del grupo de comparación; </w:t>
      </w:r>
      <w:r>
        <w:rPr/>
      </w:r>
      <m:oMath xmlns:m="http://schemas.openxmlformats.org/officeDocument/2006/math">
        <m:sSubSup>
          <m:e>
            <m:r>
              <w:rPr>
                <w:rFonts w:ascii="Cambria Math" w:hAnsi="Cambria Math"/>
              </w:rPr>
              <m:t xml:space="preserve">σ</m:t>
            </m:r>
          </m:e>
          <m:sub>
            <m:r>
              <w:rPr>
                <w:rFonts w:ascii="Cambria Math" w:hAnsi="Cambria Math"/>
              </w:rPr>
              <m:t xml:space="preserve">T</m:t>
            </m:r>
          </m:sub>
          <m:sup>
            <m:r>
              <w:rPr>
                <w:rFonts w:ascii="Cambria Math" w:hAnsi="Cambria Math"/>
              </w:rPr>
              <m:t xml:space="preserve">2</m:t>
            </m:r>
          </m:sup>
        </m:sSubSup>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varianza para el efecto del toro; </w:t>
      </w:r>
      <w:r>
        <w:rPr/>
      </w:r>
      <m:oMath xmlns:m="http://schemas.openxmlformats.org/officeDocument/2006/math">
        <m:r>
          <w:rPr>
            <w:rFonts w:ascii="Cambria Math" w:hAnsi="Cambria Math"/>
          </w:rPr>
          <m:t xml:space="preserve">h</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h</m:t>
        </m:r>
        <m:sSub>
          <m:e>
            <m:r>
              <w:rPr>
                <w:rFonts w:ascii="Cambria Math" w:hAnsi="Cambria Math"/>
              </w:rPr>
              <m:t xml:space="preserve">²</m:t>
            </m:r>
          </m:e>
          <m:sub>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heredabilidad materna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sSub>
          <m:e>
            <m:r>
              <w:rPr>
                <w:rFonts w:ascii="Cambria Math" w:hAnsi="Cambria Math"/>
              </w:rPr>
              <m:t xml:space="preserve">r</m:t>
            </m:r>
          </m:e>
          <m:sub>
            <m:r>
              <w:rPr>
                <w:rFonts w:ascii="Cambria Math" w:hAnsi="Cambria Math"/>
              </w:rPr>
              <m:t xml:space="preserve">a</m:t>
            </m:r>
            <m:r>
              <w:rPr>
                <w:rFonts w:ascii="Cambria Math" w:hAnsi="Cambria Math"/>
              </w:rPr>
              <m:t xml:space="preserve">,</m:t>
            </m:r>
            <m:r>
              <w:rPr>
                <w:rFonts w:ascii="Cambria Math" w:hAnsi="Cambria Math"/>
              </w:rPr>
              <m:t xml:space="preserve">m</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entre efectos directos y maternos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r>
          <w:rPr>
            <w:rFonts w:ascii="Cambria Math" w:hAnsi="Cambria Math"/>
          </w:rPr>
          <m:t xml:space="preserve">²</m:t>
        </m:r>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ambiental permanente materno;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GC</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efecto del grupo de comparaci</w:t>
      </w:r>
      <w:r>
        <w:rPr>
          <w:rFonts w:eastAsia="Noto Serif CJK SC" w:cs="Lohit Devanagari"/>
          <w:b w:val="false"/>
          <w:bCs w:val="false"/>
          <w:i w:val="false"/>
          <w:iCs w:val="false"/>
          <w:caps w:val="false"/>
          <w:smallCaps w:val="false"/>
          <w:strike w:val="false"/>
          <w:dstrike w:val="false"/>
          <w:color w:val="000000"/>
          <w:spacing w:val="0"/>
          <w:kern w:val="2"/>
          <w:sz w:val="20"/>
          <w:szCs w:val="20"/>
          <w:u w:val="none"/>
          <w:effect w:val="none"/>
          <w:shd w:fill="auto" w:val="clear"/>
          <w:lang w:val="es-ES" w:eastAsia="zh-CN" w:bidi="hi-IN"/>
        </w:rPr>
        <w:t>ón</w:t>
      </w:r>
      <w:r>
        <w:rPr>
          <w:b w:val="false"/>
          <w:bCs w:val="false"/>
          <w:i w:val="false"/>
          <w:iCs w:val="false"/>
          <w:caps w:val="false"/>
          <w:smallCaps w:val="false"/>
          <w:strike w:val="false"/>
          <w:dstrike w:val="false"/>
          <w:color w:val="000000"/>
          <w:spacing w:val="0"/>
          <w:sz w:val="20"/>
          <w:szCs w:val="20"/>
          <w:u w:val="none"/>
          <w:effect w:val="none"/>
          <w:shd w:fill="auto" w:val="clear"/>
        </w:rPr>
        <w:t xml:space="preserve">; </w:t>
      </w:r>
      <w:r>
        <w:rPr/>
      </w:r>
      <m:oMath xmlns:m="http://schemas.openxmlformats.org/officeDocument/2006/math">
        <m:r>
          <w:rPr>
            <w:rFonts w:ascii="Cambria Math" w:hAnsi="Cambria Math"/>
          </w:rPr>
          <m:t xml:space="preserve">c</m:t>
        </m:r>
        <m:sSub>
          <m:e>
            <m:r>
              <w:rPr>
                <w:rFonts w:ascii="Cambria Math" w:hAnsi="Cambria Math"/>
              </w:rPr>
              <m:t xml:space="preserve">²</m:t>
            </m:r>
          </m:e>
          <m:sub>
            <m:r>
              <w:rPr>
                <w:rFonts w:ascii="Cambria Math" w:hAnsi="Cambria Math"/>
              </w:rPr>
              <m:t xml:space="preserve">T</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efecto del toro; </w:t>
      </w:r>
      <w:r>
        <w:rPr/>
      </w:r>
      <m:oMath xmlns:m="http://schemas.openxmlformats.org/officeDocument/2006/math">
        <m:sSub>
          <m:e>
            <m:r>
              <w:rPr>
                <w:rFonts w:ascii="Cambria Math" w:hAnsi="Cambria Math"/>
              </w:rPr>
              <m:t xml:space="preserve">r</m:t>
            </m:r>
          </m:e>
          <m:sub>
            <m:r>
              <w:rPr>
                <w:rFonts w:ascii="Cambria Math" w:hAnsi="Cambria Math"/>
              </w:rPr>
              <m:t xml:space="preserve">a</m:t>
            </m:r>
          </m:sub>
        </m:sSub>
      </m:oMath>
      <w:r>
        <w:rPr>
          <w:b w:val="false"/>
          <w:bCs w:val="false"/>
          <w:i w:val="false"/>
          <w:iCs w:val="false"/>
          <w:caps w:val="false"/>
          <w:smallCaps w:val="false"/>
          <w:strike w:val="false"/>
          <w:dstrike w:val="false"/>
          <w:color w:val="000000"/>
          <w:spacing w:val="0"/>
          <w:sz w:val="20"/>
          <w:szCs w:val="20"/>
          <w:u w:val="none"/>
          <w:effect w:val="none"/>
          <w:shd w:fill="auto" w:val="clear"/>
        </w:rPr>
        <w:t xml:space="preserve"> [HPD95%], correlación genética entre los caracteres edad al primer parto e intervalo entre el primer y segundo parto [</w:t>
      </w:r>
      <w:r>
        <w:rPr>
          <w:b w:val="false"/>
          <w:bCs w:val="false"/>
          <w:i w:val="false"/>
          <w:iCs w:val="false"/>
          <w:caps w:val="false"/>
          <w:smallCaps w:val="false"/>
          <w:strike w:val="false"/>
          <w:dstrike w:val="false"/>
          <w:color w:val="000000"/>
          <w:spacing w:val="0"/>
          <w:position w:val="0"/>
          <w:sz w:val="20"/>
          <w:sz w:val="20"/>
          <w:szCs w:val="20"/>
          <w:u w:val="none"/>
          <w:effect w:val="none"/>
          <w:shd w:fill="auto" w:val="clear"/>
          <w:vertAlign w:val="baseline"/>
        </w:rPr>
        <w:t>intervalo de densidad posterior más alto al 95%</w:t>
      </w:r>
      <w:r>
        <w:rPr>
          <w:b w:val="false"/>
          <w:bCs w:val="false"/>
          <w:i w:val="false"/>
          <w:iCs w:val="false"/>
          <w:caps w:val="false"/>
          <w:smallCaps w:val="false"/>
          <w:strike w:val="false"/>
          <w:dstrike w:val="false"/>
          <w:color w:val="000000"/>
          <w:spacing w:val="0"/>
          <w:sz w:val="20"/>
          <w:szCs w:val="20"/>
          <w:u w:val="none"/>
          <w:effect w:val="none"/>
          <w:shd w:fill="auto" w:val="clear"/>
        </w:rPr>
        <w:t>].</w:t>
      </w:r>
    </w:p>
    <w:sect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Sans">
    <w:altName w:val="Arial"/>
    <w:charset w:val="01"/>
    <w:family w:val="roman"/>
    <w:pitch w:val="variable"/>
  </w:font>
  <w:font w:name="Times New Roman">
    <w:charset w:val="01"/>
    <w:family w:val="roman"/>
    <w:pitch w:val="variable"/>
  </w:font>
  <w:font w:name="Open Sans">
    <w:altName w:val="icomoon"/>
    <w:charset w:val="01"/>
    <w:family w:val="roman"/>
    <w:pitch w:val="variable"/>
  </w:font>
  <w:font w:name="Droid Sans Mono">
    <w:altName w:val="monospace"/>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s-ES"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Lohit Devanagari"/>
      <w:b/>
      <w:bCs/>
      <w:sz w:val="48"/>
      <w:szCs w:val="48"/>
    </w:rPr>
  </w:style>
  <w:style w:type="character" w:styleId="EnlacedeInternet">
    <w:name w:val="Enlace de Internet"/>
    <w:rPr>
      <w:color w:val="000080"/>
      <w:u w:val="single"/>
    </w:rPr>
  </w:style>
  <w:style w:type="character" w:styleId="Destacado">
    <w:name w:val="Destacado"/>
    <w:qFormat/>
    <w:rPr>
      <w:i/>
      <w:iCs/>
    </w:rPr>
  </w:style>
  <w:style w:type="character" w:styleId="Destaquemayor">
    <w:name w:val="Destaque mayor"/>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186/1751-0473-9-6" TargetMode="External"/><Relationship Id="rId4" Type="http://schemas.openxmlformats.org/officeDocument/2006/relationships/hyperlink" Target="https://doi.org/10.5281/zenodo.11185710" TargetMode="External"/><Relationship Id="rId5" Type="http://schemas.openxmlformats.org/officeDocument/2006/relationships/hyperlink" Target="https://github.com/bonifazi/TuttiFrutti" TargetMode="External"/><Relationship Id="rId6" Type="http://schemas.openxmlformats.org/officeDocument/2006/relationships/hyperlink" Target="https://doi.org/10.1016/j.ajhg.2018.07.015" TargetMode="External"/><Relationship Id="rId7" Type="http://schemas.openxmlformats.org/officeDocument/2006/relationships/hyperlink" Target="https://doi.org/10.2527/jam2016-0350" TargetMode="External"/><Relationship Id="rId8" Type="http://schemas.openxmlformats.org/officeDocument/2006/relationships/hyperlink" Target="https://doi.org/10.1186/s12711-018-0426-6" TargetMode="External"/><Relationship Id="rId9" Type="http://schemas.openxmlformats.org/officeDocument/2006/relationships/hyperlink" Target="https://doi.org/10.1371/journal.pone.0009697" TargetMode="External"/><Relationship Id="rId10" Type="http://schemas.openxmlformats.org/officeDocument/2006/relationships/hyperlink" Target="http://pngu.mgh.harvard.edu/purcell/plink/" TargetMode="External"/><Relationship Id="rId11" Type="http://schemas.openxmlformats.org/officeDocument/2006/relationships/hyperlink" Target="https://doi.org/10.1007/s13353-022-00685-0" TargetMode="External"/><Relationship Id="rId12" Type="http://schemas.openxmlformats.org/officeDocument/2006/relationships/hyperlink" Target="https://doi.org/10.1111/age.12916" TargetMode="External"/><Relationship Id="rId13" Type="http://schemas.openxmlformats.org/officeDocument/2006/relationships/fontTable" Target="fontTable.xml"/><Relationship Id="rId1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5523</TotalTime>
  <Application>LibreOffice/7.3.7.2$Linux_X86_64 LibreOffice_project/30$Build-2</Application>
  <AppVersion>15.0000</AppVersion>
  <Pages>16</Pages>
  <Words>6164</Words>
  <Characters>32834</Characters>
  <CharactersWithSpaces>38571</CharactersWithSpaces>
  <Paragraphs>634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2024-07-08T10:06:11Z</dcterms:created>
  <dc:creator/>
  <dc:description/>
  <dc:language>es-ES</dc:language>
  <cp:lastModifiedBy/>
  <dcterms:modified xsi:type="dcterms:W3CDTF">2024-11-11T18:10:00Z</dcterms:modified>
  <cp:revision>177</cp:revision>
  <dc:subject/>
  <dc:title/>
</cp:coreProperties>
</file>

<file path=docProps/custom.xml><?xml version="1.0" encoding="utf-8"?>
<Properties xmlns="http://schemas.openxmlformats.org/officeDocument/2006/custom-properties" xmlns:vt="http://schemas.openxmlformats.org/officeDocument/2006/docPropsVTypes"/>
</file>