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uerpodetexto"/>
        <w:bidi w:val="0"/>
        <w:spacing w:before="0" w:after="0"/>
        <w:jc w:val="both"/>
        <w:rPr/>
      </w:pPr>
      <w:r>
        <w:rPr>
          <w:rStyle w:val="Destaquemayor"/>
        </w:rPr>
        <w:t>2. Materials and Methods</w:t>
      </w:r>
    </w:p>
    <w:p>
      <w:pPr>
        <w:pStyle w:val="Cuerpodetexto"/>
        <w:bidi w:val="0"/>
        <w:spacing w:before="0" w:after="0"/>
        <w:jc w:val="both"/>
        <w:rPr>
          <w:rStyle w:val="Destaquemayor"/>
        </w:rPr>
      </w:pPr>
      <w:r>
        <w:rPr/>
      </w:r>
    </w:p>
    <w:p>
      <w:pPr>
        <w:pStyle w:val="Cuerpodetexto"/>
        <w:bidi w:val="0"/>
        <w:spacing w:before="0" w:after="0"/>
        <w:jc w:val="both"/>
        <w:rPr/>
      </w:pPr>
      <w:r>
        <w:rPr>
          <w:rStyle w:val="Destaquemayor"/>
        </w:rPr>
        <w:t>2.1. Phenotypic, Genotypic Data, and Pedigree Data</w:t>
      </w:r>
    </w:p>
    <w:p>
      <w:pPr>
        <w:pStyle w:val="Cuerpodetexto"/>
        <w:bidi w:val="0"/>
        <w:spacing w:before="0" w:after="0"/>
        <w:jc w:val="both"/>
        <w:rPr>
          <w:rStyle w:val="Destaquemayor"/>
          <w:b w:val="false"/>
          <w:b w:val="false"/>
          <w:bCs w:val="false"/>
        </w:rPr>
      </w:pPr>
      <w:r>
        <w:rPr>
          <w:b w:val="false"/>
          <w:bCs w:val="false"/>
        </w:rPr>
      </w:r>
    </w:p>
    <w:p>
      <w:pPr>
        <w:pStyle w:val="Cuerpodetexto"/>
        <w:bidi w:val="0"/>
        <w:spacing w:before="0" w:after="0"/>
        <w:jc w:val="both"/>
        <w:rPr/>
      </w:pPr>
      <w:r>
        <w:rPr>
          <w:rStyle w:val="Destaquemayor"/>
          <w:b w:val="false"/>
          <w:bCs w:val="false"/>
        </w:rPr>
        <w:t>Phenotypic information was used from 108,819 Avileña-Negra Ibérica cattle born between 1,899 and 2,023, provided</w:t>
      </w:r>
      <w:r>
        <w:rPr>
          <w:rStyle w:val="Destaquemayor"/>
          <w:b w:val="false"/>
          <w:bCs w:val="false"/>
          <w:shd w:fill="auto" w:val="clear"/>
        </w:rPr>
        <w:t xml:space="preserve"> by </w:t>
      </w:r>
      <w:r>
        <w:rPr>
          <w:rStyle w:val="Destaquemayor"/>
          <w:b w:val="false"/>
          <w:bCs w:val="false"/>
          <w:i w:val="false"/>
          <w:iCs w:val="false"/>
          <w:caps w:val="false"/>
          <w:smallCaps w:val="false"/>
          <w:color w:val="000000"/>
          <w:spacing w:val="0"/>
          <w:sz w:val="24"/>
          <w:szCs w:val="24"/>
          <w:u w:val="none"/>
          <w:shd w:fill="auto" w:val="clear"/>
        </w:rPr>
        <w:t>Real Asociación de Raza Avileña-Negra Ibérica (RAEANI)</w:t>
      </w:r>
      <w:r>
        <w:rPr>
          <w:rStyle w:val="Destaquemayor"/>
          <w:b w:val="false"/>
          <w:bCs w:val="false"/>
          <w:shd w:fill="auto" w:val="clear"/>
        </w:rPr>
        <w:t>. Th</w:t>
      </w:r>
      <w:r>
        <w:rPr>
          <w:rStyle w:val="Destaquemayor"/>
          <w:b w:val="false"/>
          <w:bCs w:val="false"/>
        </w:rPr>
        <w:t>e traits under analysis were weaning weight (recorded in 64,519 individuals), age at first calving (34,512 individuals), and interval between the first and second calving (16,726 individuals).</w:t>
      </w:r>
    </w:p>
    <w:p>
      <w:pPr>
        <w:pStyle w:val="Cuerpodetexto"/>
        <w:bidi w:val="0"/>
        <w:spacing w:before="0" w:after="0"/>
        <w:jc w:val="both"/>
        <w:rPr>
          <w:rStyle w:val="Destaquemayor"/>
          <w:b w:val="false"/>
          <w:b w:val="false"/>
          <w:bCs w:val="false"/>
        </w:rPr>
      </w:pPr>
      <w:r>
        <w:rPr>
          <w:b w:val="false"/>
          <w:bCs w:val="false"/>
        </w:rPr>
      </w:r>
    </w:p>
    <w:p>
      <w:pPr>
        <w:pStyle w:val="Cuerpodetexto"/>
        <w:bidi w:val="0"/>
        <w:spacing w:before="0" w:after="0"/>
        <w:jc w:val="both"/>
        <w:rPr/>
      </w:pPr>
      <w:r>
        <w:rPr/>
        <w:t>Genotypic information was collected using different types of panels. In total, 2,894 individuals were genotyped with the Axiom Bovine Genotyping version 3 chip from Thermofisher, a medium-density chip with 63,000 markers (50K). Additionally, 284 individuals were genotyped using the BovineHD BeadChip from Illumina with 777,000 markers (HD). The genotypic data obtained with the Axiom Bovine Genotyping chip were aligned and analyzed using the ARS-UCD1.2 bovine genome assembly, while the data obtained with the BovineHD BeadChip were based on the UMD3.1 assembly.</w:t>
      </w:r>
    </w:p>
    <w:p>
      <w:pPr>
        <w:pStyle w:val="Cuerpodetexto"/>
        <w:bidi w:val="0"/>
        <w:spacing w:before="0" w:after="0"/>
        <w:jc w:val="both"/>
        <w:rPr/>
      </w:pPr>
      <w:r>
        <w:rPr/>
      </w:r>
    </w:p>
    <w:p>
      <w:pPr>
        <w:pStyle w:val="Cuerpodetexto"/>
        <w:bidi w:val="0"/>
        <w:spacing w:before="0" w:after="0"/>
        <w:jc w:val="both"/>
        <w:rPr/>
      </w:pPr>
      <w:r>
        <w:rPr>
          <w:shd w:fill="auto" w:val="clear"/>
        </w:rPr>
        <w:t xml:space="preserve">Before proceeding with imputation, each chip was subjected to quality control separately, where SNPs with a minor allele frequency (MAF) lower than 0.01 and Hardy-Weinberg equilibrium with a p-value lower than 0.00001 were removed, although for samples genotyped on the second chip (BovineHD BeadChip), the MAF threshold was set at 0.05. Markers and individuals with a call rate lower than </w:t>
      </w:r>
      <w:r>
        <w:rPr/>
        <w:t>0.9 were also excluded, and markers not located on autosomal chromosomes were removed from the analysis. Quality control was performed using the Plink software (</w:t>
      </w:r>
      <w:r>
        <w:rPr>
          <w:shd w:fill="B2B2B2" w:val="clear"/>
        </w:rPr>
        <w:t>Purcell et al., 2007</w:t>
      </w:r>
      <w:r>
        <w:rPr/>
        <w:t>).</w:t>
      </w:r>
    </w:p>
    <w:p>
      <w:pPr>
        <w:pStyle w:val="Cuerpodetexto"/>
        <w:bidi w:val="0"/>
        <w:spacing w:before="0" w:after="0"/>
        <w:jc w:val="both"/>
        <w:rPr>
          <w:rStyle w:val="Destaquemayor"/>
          <w:b w:val="false"/>
          <w:b w:val="false"/>
          <w:bCs w:val="false"/>
        </w:rPr>
      </w:pPr>
      <w:r>
        <w:rPr>
          <w:b w:val="false"/>
          <w:bCs w:val="false"/>
        </w:rPr>
      </w:r>
    </w:p>
    <w:p>
      <w:pPr>
        <w:pStyle w:val="Cuerpodetexto"/>
        <w:bidi w:val="0"/>
        <w:spacing w:before="0" w:after="0"/>
        <w:jc w:val="both"/>
        <w:rPr/>
      </w:pPr>
      <w:r>
        <w:rPr>
          <w:rStyle w:val="Destaquemayor"/>
          <w:b w:val="false"/>
          <w:bCs w:val="false"/>
        </w:rPr>
        <w:t>Given that one of the objectives of this study was to compare markers of different densities with the medium-density chip (the most widely used for genomic prediction in cattle), the imputation in both panels was based on the 50K map, corresponding to the ARS-UCD1.2 bovine genome assembly. During imputation, the samples genotyped at 50K were imputed to the post-quality control density of HD, thus generating a combined density genotype set. Similarly, the samples genotyped at HD were imputed to the post-quality control density of 50K. All this was done using the Beagle version 5.4 program (</w:t>
      </w:r>
      <w:r>
        <w:rPr>
          <w:rStyle w:val="Destaquemayor"/>
          <w:b w:val="false"/>
          <w:bCs w:val="false"/>
          <w:shd w:fill="B2B2B2" w:val="clear"/>
        </w:rPr>
        <w:t>Browning et al., 2018</w:t>
      </w:r>
      <w:r>
        <w:rPr>
          <w:rStyle w:val="Destaquemayor"/>
          <w:b w:val="false"/>
          <w:bCs w:val="false"/>
        </w:rPr>
        <w:t>). The figure below shows the markers and individuals shared between both densities at the time of imputation.</w:t>
      </w:r>
    </w:p>
    <w:p>
      <w:pPr>
        <w:pStyle w:val="Cuerpodetexto"/>
        <w:bidi w:val="0"/>
        <w:spacing w:before="0" w:after="0"/>
        <w:jc w:val="both"/>
        <w:rPr>
          <w:rStyle w:val="Destaquemayor"/>
          <w:b w:val="false"/>
          <w:b w:val="false"/>
          <w:bCs w:val="false"/>
        </w:rPr>
      </w:pPr>
      <w:r>
        <w:rPr>
          <w:b w:val="false"/>
          <w:bCs w:val="false"/>
        </w:rPr>
      </w:r>
    </w:p>
    <w:p>
      <w:pPr>
        <w:pStyle w:val="Cuerpodetexto"/>
        <w:bidi w:val="0"/>
        <w:spacing w:before="0" w:after="0"/>
        <w:jc w:val="both"/>
        <w:rPr>
          <w:rStyle w:val="Destaquemayor"/>
          <w:b w:val="false"/>
          <w:b w:val="false"/>
          <w:bCs w:val="false"/>
        </w:rPr>
      </w:pPr>
      <w:r>
        <w:rPr>
          <w:b w:val="false"/>
          <w:bCs w:val="false"/>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332220" cy="3161665"/>
            <wp:effectExtent l="0" t="0" r="0" b="0"/>
            <wp:wrapSquare wrapText="largest"/>
            <wp:docPr id="1" name="Imagen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5" descr=""/>
                    <pic:cNvPicPr>
                      <a:picLocks noChangeAspect="1" noChangeArrowheads="1"/>
                    </pic:cNvPicPr>
                  </pic:nvPicPr>
                  <pic:blipFill>
                    <a:blip r:embed="rId2"/>
                    <a:stretch>
                      <a:fillRect/>
                    </a:stretch>
                  </pic:blipFill>
                  <pic:spPr bwMode="auto">
                    <a:xfrm>
                      <a:off x="0" y="0"/>
                      <a:ext cx="6332220" cy="3161665"/>
                    </a:xfrm>
                    <a:prstGeom prst="rect">
                      <a:avLst/>
                    </a:prstGeom>
                  </pic:spPr>
                </pic:pic>
              </a:graphicData>
            </a:graphic>
          </wp:anchor>
        </w:drawing>
      </w:r>
    </w:p>
    <w:p>
      <w:pPr>
        <w:pStyle w:val="Cuerpodetexto"/>
        <w:bidi w:val="0"/>
        <w:spacing w:before="0" w:after="0"/>
        <w:jc w:val="both"/>
        <w:rPr/>
      </w:pPr>
      <w:r>
        <w:rPr>
          <w:rStyle w:val="Destaquemayor"/>
        </w:rPr>
        <w:t>Figure 1.</w:t>
      </w:r>
      <w:r>
        <w:rPr>
          <w:rStyle w:val="Destaquemayor"/>
          <w:b w:val="false"/>
          <w:bCs w:val="false"/>
        </w:rPr>
        <w:t xml:space="preserve"> Venn diagram showing unique and shared markers (A) and individuals (B) between different marker panels after quality control. Markers were identified as shared between genotype sets if the marker position within the chromosome, the reference allele, and the alternate allele were identical.</w:t>
      </w:r>
    </w:p>
    <w:p>
      <w:pPr>
        <w:pStyle w:val="Cuerpodetexto"/>
        <w:bidi w:val="0"/>
        <w:spacing w:before="0" w:after="0"/>
        <w:jc w:val="both"/>
        <w:rPr>
          <w:rStyle w:val="Destaquemayor"/>
          <w:b w:val="false"/>
          <w:b w:val="false"/>
          <w:bCs w:val="false"/>
        </w:rPr>
      </w:pPr>
      <w:r>
        <w:rPr>
          <w:b w:val="false"/>
          <w:bCs w:val="false"/>
        </w:rPr>
      </w:r>
    </w:p>
    <w:p>
      <w:pPr>
        <w:pStyle w:val="Cuerpodetexto"/>
        <w:bidi w:val="0"/>
        <w:spacing w:before="0" w:after="0"/>
        <w:jc w:val="both"/>
        <w:rPr/>
      </w:pPr>
      <w:r>
        <w:rPr>
          <w:rStyle w:val="Destaquemayor"/>
          <w:b w:val="false"/>
          <w:bCs w:val="false"/>
        </w:rPr>
        <w:t>The accuracy of imputation was assessed using the Imputation Quality Score (IQS) (</w:t>
      </w:r>
      <w:r>
        <w:rPr>
          <w:rStyle w:val="Destaquemayor"/>
          <w:b w:val="false"/>
          <w:bCs w:val="false"/>
          <w:shd w:fill="B2B2B2" w:val="clear"/>
        </w:rPr>
        <w:t>Lin et al., 2010</w:t>
      </w:r>
      <w:r>
        <w:rPr>
          <w:rStyle w:val="Destaquemayor"/>
          <w:b w:val="false"/>
          <w:bCs w:val="false"/>
        </w:rPr>
        <w:t xml:space="preserve">). The IQS is a randomly adjusted concordance rate with a maximum score of 1 </w:t>
      </w:r>
      <w:r>
        <w:rPr>
          <w:rStyle w:val="Destaquemayor"/>
          <w:b w:val="false"/>
          <w:bCs w:val="false"/>
          <w:shd w:fill="auto" w:val="clear"/>
        </w:rPr>
        <w:t>and without t</w:t>
      </w:r>
      <w:r>
        <w:rPr>
          <w:rStyle w:val="Destaquemayor"/>
          <w:b w:val="false"/>
          <w:bCs w:val="false"/>
        </w:rPr>
        <w:t>heoretical minimum, designed to evaluate the accuracy of imputation for each marker separately. For this purpose, repeated k-fold cross-validation was performed. For the first chip, the genotyped individuals were randomly divided into eight data subsets without repetition. Then, to enable direct comparison between true and imputed genotypes, markers with complete genotypes were masked. For the second chip, imputation accuracy was assessed using the same methodology, which involved masking and subsequently predicting the genotypes in a cross-validation setting where four data subsets were randomly formed without repetition. The imputation accuracy, measured by IQS, ranged from 0.90 to 0.98, which was considered accurate imputation.</w:t>
      </w:r>
    </w:p>
    <w:p>
      <w:pPr>
        <w:pStyle w:val="Cuerpodetexto"/>
        <w:bidi w:val="0"/>
        <w:spacing w:before="0" w:after="0"/>
        <w:jc w:val="both"/>
        <w:rPr>
          <w:rStyle w:val="Destaquemayor"/>
          <w:b w:val="false"/>
          <w:b w:val="false"/>
          <w:bCs w:val="false"/>
        </w:rPr>
      </w:pPr>
      <w:r>
        <w:rPr>
          <w:b w:val="false"/>
          <w:bCs w:val="false"/>
        </w:rPr>
      </w:r>
    </w:p>
    <w:p>
      <w:pPr>
        <w:pStyle w:val="Normal"/>
        <w:bidi w:val="0"/>
        <w:spacing w:before="0" w:after="0"/>
        <w:jc w:val="both"/>
        <w:rPr/>
      </w:pPr>
      <w:r>
        <w:rPr>
          <w:rStyle w:val="Destaquemayor"/>
          <w:b w:val="false"/>
          <w:bCs w:val="false"/>
        </w:rPr>
        <w:t>Based on these procedures and quality control measures, data from 43,421 markers and 579,424 markers,</w:t>
      </w:r>
      <w:r>
        <w:rPr>
          <w:rStyle w:val="Destaquemayor"/>
          <w:b w:val="false"/>
          <w:bCs w:val="false"/>
          <w:shd w:fill="auto" w:val="clear"/>
        </w:rPr>
        <w:t xml:space="preserve"> in 2970 individuals</w:t>
      </w:r>
      <w:r>
        <w:rPr>
          <w:rStyle w:val="Destaquemayor"/>
          <w:b w:val="false"/>
          <w:bCs w:val="false"/>
        </w:rPr>
        <w:t>, were available for further analysis.</w:t>
      </w:r>
    </w:p>
    <w:p>
      <w:pPr>
        <w:pStyle w:val="Normal"/>
        <w:bidi w:val="0"/>
        <w:spacing w:before="0" w:after="0"/>
        <w:jc w:val="both"/>
        <w:rPr>
          <w:rStyle w:val="Destaquemayor"/>
          <w:b w:val="false"/>
          <w:b w:val="false"/>
          <w:bCs w:val="false"/>
        </w:rPr>
      </w:pPr>
      <w:r>
        <w:rPr>
          <w:b w:val="false"/>
          <w:bCs w:val="false"/>
        </w:rPr>
      </w:r>
    </w:p>
    <w:p>
      <w:pPr>
        <w:pStyle w:val="Normal"/>
        <w:bidi w:val="0"/>
        <w:spacing w:before="0" w:after="0"/>
        <w:jc w:val="both"/>
        <w:rPr/>
      </w:pPr>
      <w:r>
        <w:rPr>
          <w:rStyle w:val="Destaquemayor"/>
          <w:b w:val="false"/>
          <w:bCs w:val="false"/>
        </w:rPr>
        <w:t>On the other hand, using the BovineHD BeadChip and the FastIndep program (</w:t>
      </w:r>
      <w:r>
        <w:rPr>
          <w:rStyle w:val="Destaquemayor"/>
          <w:b w:val="false"/>
          <w:bCs w:val="false"/>
          <w:shd w:fill="B2B2B2" w:val="clear"/>
        </w:rPr>
        <w:t>Abraham and Díaz, 2014</w:t>
      </w:r>
      <w:r>
        <w:rPr>
          <w:rStyle w:val="Destaquemayor"/>
          <w:b w:val="false"/>
          <w:bCs w:val="false"/>
        </w:rPr>
        <w:t xml:space="preserve">), a set of tag-SNPs and a set of singletons were derived. Tag-SNPs were defined as those with a linkage disequilibrium (r2) greater than or equal to 0.8 between markers, while singletons were those with an r2 less than 0.2. From this analysis, a total of 103,080 tag-SNPs and 128,660 singletons were derived. This analysis is described by </w:t>
      </w:r>
      <w:r>
        <w:rPr>
          <w:rStyle w:val="Destaquemayor"/>
          <w:b w:val="false"/>
          <w:bCs w:val="false"/>
          <w:shd w:fill="B2B2B2" w:val="clear"/>
        </w:rPr>
        <w:t>Díaz et al. (2016)</w:t>
      </w:r>
      <w:r>
        <w:rPr>
          <w:rStyle w:val="Destaquemayor"/>
          <w:b w:val="false"/>
          <w:bCs w:val="false"/>
        </w:rPr>
        <w:t>.</w:t>
      </w:r>
    </w:p>
    <w:p>
      <w:pPr>
        <w:pStyle w:val="Normal"/>
        <w:bidi w:val="0"/>
        <w:spacing w:before="0" w:after="0"/>
        <w:jc w:val="both"/>
        <w:rPr>
          <w:rStyle w:val="Destaquemayor"/>
          <w:b w:val="false"/>
          <w:b w:val="false"/>
          <w:bCs w:val="false"/>
        </w:rPr>
      </w:pPr>
      <w:r>
        <w:rPr>
          <w:b w:val="false"/>
          <w:bCs w:val="false"/>
        </w:rPr>
      </w:r>
    </w:p>
    <w:p>
      <w:pPr>
        <w:pStyle w:val="Cuerpodetexto"/>
        <w:bidi w:val="0"/>
        <w:spacing w:before="0" w:after="0"/>
        <w:jc w:val="both"/>
        <w:rPr/>
      </w:pPr>
      <w:r>
        <w:rPr>
          <w:rStyle w:val="Destaquemayor"/>
        </w:rPr>
        <w:t>2.2. Scenarios for the Estimation</w:t>
      </w:r>
    </w:p>
    <w:p>
      <w:pPr>
        <w:pStyle w:val="Cuerpodetexto"/>
        <w:bidi w:val="0"/>
        <w:spacing w:before="0" w:after="0"/>
        <w:jc w:val="both"/>
        <w:rPr>
          <w:rStyle w:val="Destaquemayor"/>
          <w:b w:val="false"/>
          <w:b w:val="false"/>
          <w:bCs w:val="false"/>
        </w:rPr>
      </w:pPr>
      <w:r>
        <w:rPr>
          <w:b w:val="false"/>
          <w:bCs w:val="false"/>
        </w:rPr>
      </w:r>
    </w:p>
    <w:p>
      <w:pPr>
        <w:pStyle w:val="Cuerpodetexto"/>
        <w:bidi w:val="0"/>
        <w:spacing w:before="0" w:after="0"/>
        <w:jc w:val="both"/>
        <w:rPr/>
      </w:pPr>
      <w:r>
        <w:rPr>
          <w:rStyle w:val="Destaquemayor"/>
          <w:b w:val="false"/>
          <w:bCs w:val="false"/>
        </w:rPr>
        <w:t xml:space="preserve">A total of nine scenarios using markers of different densities were evaluated. In scenarios one and two (referred to as E1 and E2), the genotypic information consisted of 43,421 and 579,424 markers, respectively. E1 is considered the desirable scenario, as genomic prediction in cattle is mainly performed using a medium density of markers. Based on the tag-SNPs and singletons mentioned earlier, four additional scenarios were formed: E3, E4, E5, and E6. In E3, the genotypic information comprised the tag-SNPs present in E1, while in E4 the genotypes consisted of the tag-SNPs present in E2, resulting in densities of 5,534 and 97,779 markers in E3 and E4, respectively. In scenarios E5 and E6, the genotypic information included both tag-SNPs and singletons, resulting in densities of 13,961 and 203,612 markers in E5 and E6, respectively. Scenarios E3, E4, E5, and E6 were implemented with the aim of evaluating genomic prediction in contexts where the genotypic information consists of informative (tag-SNPs) and independent (singletons) markers. Additionally, using the genotypes in E1, two sets of markers were selected based on two criteria: SNPs uniformly distributed and informative (with MAF equal to 0.5), following a methodology similar to that of </w:t>
      </w:r>
      <w:r>
        <w:rPr>
          <w:rStyle w:val="Destaquemayor"/>
          <w:b w:val="false"/>
          <w:bCs w:val="false"/>
          <w:shd w:fill="B2B2B2" w:val="clear"/>
        </w:rPr>
        <w:t>Rodriguez-Neira et al. (2022)</w:t>
      </w:r>
      <w:r>
        <w:rPr>
          <w:rStyle w:val="Destaquemayor"/>
          <w:b w:val="false"/>
          <w:bCs w:val="false"/>
        </w:rPr>
        <w:t>. This selection was performed using the R package selectSNPs (</w:t>
      </w:r>
      <w:r>
        <w:rPr>
          <w:rStyle w:val="Destaquemayor"/>
          <w:b w:val="false"/>
          <w:bCs w:val="false"/>
          <w:shd w:fill="B2B2B2" w:val="clear"/>
        </w:rPr>
        <w:t>Wu et al., 2020</w:t>
      </w:r>
      <w:r>
        <w:rPr>
          <w:rStyle w:val="Destaquemayor"/>
          <w:b w:val="false"/>
          <w:bCs w:val="false"/>
        </w:rPr>
        <w:t xml:space="preserve">), resulting in two additional scenarios: E7 with a density of 5,000 markers and E8 with a density of 13,999 markers. </w:t>
      </w:r>
      <w:r>
        <w:rPr>
          <w:rStyle w:val="Destaquemayor"/>
          <w:b w:val="false"/>
          <w:bCs w:val="false"/>
          <w:shd w:fill="auto" w:val="clear"/>
        </w:rPr>
        <w:t>Finally, to compare genomic prediction by including genomic information, scenario E0 was established without genotypes.</w:t>
      </w:r>
    </w:p>
    <w:p>
      <w:pPr>
        <w:pStyle w:val="Cuerpodetexto"/>
        <w:bidi w:val="0"/>
        <w:spacing w:before="0" w:after="0"/>
        <w:jc w:val="both"/>
        <w:rPr>
          <w:rStyle w:val="Destaquemayor"/>
          <w:b w:val="false"/>
          <w:b w:val="false"/>
          <w:bCs w:val="false"/>
          <w:highlight w:val="none"/>
          <w:shd w:fill="auto" w:val="clear"/>
        </w:rPr>
      </w:pPr>
      <w:r>
        <w:rPr>
          <w:b w:val="false"/>
          <w:bCs w:val="false"/>
          <w:shd w:fill="auto" w:val="clear"/>
        </w:rPr>
      </w:r>
    </w:p>
    <w:p>
      <w:pPr>
        <w:pStyle w:val="Cuerpodetexto"/>
        <w:bidi w:val="0"/>
        <w:spacing w:before="0" w:after="0"/>
        <w:jc w:val="both"/>
        <w:rPr/>
      </w:pPr>
      <w:r>
        <w:rPr>
          <w:rStyle w:val="Destaquemayor"/>
          <w:b/>
          <w:bCs/>
          <w:shd w:fill="auto" w:val="clear"/>
        </w:rPr>
        <w:t>2.3. Prediction Models</w:t>
      </w:r>
    </w:p>
    <w:p>
      <w:pPr>
        <w:pStyle w:val="Cuerpodetexto"/>
        <w:bidi w:val="0"/>
        <w:spacing w:before="0" w:after="0"/>
        <w:jc w:val="both"/>
        <w:rPr>
          <w:rStyle w:val="Destaquemayor"/>
          <w:b w:val="false"/>
          <w:b w:val="false"/>
          <w:bCs w:val="false"/>
          <w:highlight w:val="none"/>
          <w:shd w:fill="auto" w:val="clear"/>
        </w:rPr>
      </w:pPr>
      <w:r>
        <w:rPr>
          <w:b w:val="false"/>
          <w:bCs w:val="false"/>
          <w:shd w:fill="auto" w:val="clear"/>
        </w:rPr>
      </w:r>
    </w:p>
    <w:p>
      <w:pPr>
        <w:pStyle w:val="Normal"/>
        <w:bidi w:val="0"/>
        <w:jc w:val="both"/>
        <w:rPr/>
      </w:pPr>
      <w:r>
        <w:rPr/>
        <w:t>Two different models were used. In the first model, the trait weaning weight was treated as a variable determined not only by the genotype and environmental conditions of the individual but also by those of its mother (animal model with maternal effect). It is described below.</w:t>
      </w:r>
    </w:p>
    <w:p>
      <w:pPr>
        <w:pStyle w:val="Normal"/>
        <w:bidi w:val="0"/>
        <w:jc w:val="both"/>
        <w:rPr/>
      </w:pPr>
      <w:r>
        <w:rPr/>
      </w:r>
    </w:p>
    <w:p>
      <w:pPr>
        <w:pStyle w:val="Normal"/>
        <w:bidi w:val="0"/>
        <w:jc w:val="left"/>
        <w:rPr/>
      </w:pPr>
      <w:r>
        <w:rPr/>
      </w:r>
      <m:oMathPara xmlns:m="http://schemas.openxmlformats.org/officeDocument/2006/math">
        <m:oMathParaPr>
          <m:jc m:val="left"/>
        </m:oMathParaPr>
        <m:oMath>
          <m:r>
            <w:rPr>
              <w:rFonts w:ascii="Cambria Math" w:hAnsi="Cambria Math"/>
            </w:rPr>
            <m:t xml:space="preserve">y</m:t>
          </m:r>
          <m:r>
            <w:rPr>
              <w:rFonts w:ascii="Cambria Math" w:hAnsi="Cambria Math"/>
            </w:rPr>
            <m:t xml:space="preserve">=</m:t>
          </m:r>
          <m:r>
            <w:rPr>
              <w:rFonts w:ascii="Cambria Math" w:hAnsi="Cambria Math"/>
            </w:rPr>
            <m:t xml:space="preserve">Xb</m:t>
          </m:r>
          <m:r>
            <w:rPr>
              <w:rFonts w:ascii="Cambria Math" w:hAnsi="Cambria Math"/>
            </w:rPr>
            <m:t xml:space="preserve">+</m:t>
          </m:r>
          <m:sSub>
            <m:e>
              <m:r>
                <w:rPr>
                  <w:rFonts w:ascii="Cambria Math" w:hAnsi="Cambria Math"/>
                </w:rPr>
                <m:t xml:space="preserve">Z</m:t>
              </m:r>
            </m:e>
            <m:sub>
              <m:r>
                <w:rPr>
                  <w:rFonts w:ascii="Cambria Math" w:hAnsi="Cambria Math"/>
                </w:rPr>
                <m:t xml:space="preserve">1</m:t>
              </m:r>
            </m:sub>
          </m:sSub>
          <m:r>
            <w:rPr>
              <w:rFonts w:ascii="Cambria Math" w:hAnsi="Cambria Math"/>
            </w:rPr>
            <m:t xml:space="preserve">a</m:t>
          </m:r>
          <m:r>
            <w:rPr>
              <w:rFonts w:ascii="Cambria Math" w:hAnsi="Cambria Math"/>
            </w:rPr>
            <m:t xml:space="preserve">+</m:t>
          </m:r>
          <m:sSub>
            <m:e>
              <m:r>
                <w:rPr>
                  <w:rFonts w:ascii="Cambria Math" w:hAnsi="Cambria Math"/>
                </w:rPr>
                <m:t xml:space="preserve">Z</m:t>
              </m:r>
            </m:e>
            <m:sub>
              <m:r>
                <w:rPr>
                  <w:rFonts w:ascii="Cambria Math" w:hAnsi="Cambria Math"/>
                </w:rPr>
                <m:t xml:space="preserve">2</m:t>
              </m:r>
            </m:sub>
          </m:sSub>
          <m:r>
            <w:rPr>
              <w:rFonts w:ascii="Cambria Math" w:hAnsi="Cambria Math"/>
            </w:rPr>
            <m:t xml:space="preserve">m</m:t>
          </m:r>
          <m:r>
            <w:rPr>
              <w:rFonts w:ascii="Cambria Math" w:hAnsi="Cambria Math"/>
            </w:rPr>
            <m:t xml:space="preserve">+</m:t>
          </m:r>
          <m:sSub>
            <m:e>
              <m:r>
                <w:rPr>
                  <w:rFonts w:ascii="Cambria Math" w:hAnsi="Cambria Math"/>
                </w:rPr>
                <m:t xml:space="preserve">Z</m:t>
              </m:r>
            </m:e>
            <m:sub>
              <m:r>
                <w:rPr>
                  <w:rFonts w:ascii="Cambria Math" w:hAnsi="Cambria Math"/>
                </w:rPr>
                <m:t xml:space="preserve">3</m:t>
              </m:r>
            </m:sub>
          </m:sSub>
          <m:r>
            <w:rPr>
              <w:rFonts w:ascii="Cambria Math" w:hAnsi="Cambria Math"/>
            </w:rPr>
            <m:t xml:space="preserve">c</m:t>
          </m:r>
          <m:r>
            <w:rPr>
              <w:rFonts w:ascii="Cambria Math" w:hAnsi="Cambria Math"/>
            </w:rPr>
            <m:t xml:space="preserve">+</m:t>
          </m:r>
          <m:r>
            <w:rPr>
              <w:rFonts w:ascii="Cambria Math" w:hAnsi="Cambria Math"/>
            </w:rPr>
            <m:t xml:space="preserve">e</m:t>
          </m:r>
        </m:oMath>
      </m:oMathPara>
    </w:p>
    <w:p>
      <w:pPr>
        <w:pStyle w:val="Normal"/>
        <w:bidi w:val="0"/>
        <w:jc w:val="both"/>
        <w:rPr/>
      </w:pPr>
      <w:r>
        <w:rPr/>
      </w:r>
    </w:p>
    <w:p>
      <w:pPr>
        <w:pStyle w:val="Normal"/>
        <w:bidi w:val="0"/>
        <w:spacing w:before="0" w:after="0"/>
        <w:jc w:val="both"/>
        <w:rPr/>
      </w:pPr>
      <w:r>
        <w:rPr>
          <w:rStyle w:val="Destaquemayor"/>
          <w:b w:val="false"/>
          <w:bCs w:val="false"/>
          <w:shd w:fill="auto" w:val="clear"/>
        </w:rPr>
        <w:t>where y is a vector of observations for the trait, b, a, m, and c are the vectors of fixed effects, direct genetic effects, maternal genetic effects, and permanent maternal environmental effects, respectively. The matrices X, Z</w:t>
      </w:r>
      <w:r>
        <w:rPr>
          <w:rStyle w:val="Destaquemayor"/>
          <w:b w:val="false"/>
          <w:bCs w:val="false"/>
          <w:shd w:fill="auto" w:val="clear"/>
          <w:vertAlign w:val="subscript"/>
        </w:rPr>
        <w:t>1</w:t>
      </w:r>
      <w:r>
        <w:rPr>
          <w:rStyle w:val="Destaquemayor"/>
          <w:b w:val="false"/>
          <w:bCs w:val="false"/>
          <w:shd w:fill="auto" w:val="clear"/>
        </w:rPr>
        <w:t>, Z</w:t>
      </w:r>
      <w:r>
        <w:rPr>
          <w:rStyle w:val="Destaquemayor"/>
          <w:b w:val="false"/>
          <w:bCs w:val="false"/>
          <w:shd w:fill="auto" w:val="clear"/>
          <w:vertAlign w:val="subscript"/>
        </w:rPr>
        <w:t>2</w:t>
      </w:r>
      <w:r>
        <w:rPr>
          <w:rStyle w:val="Destaquemayor"/>
          <w:b w:val="false"/>
          <w:bCs w:val="false"/>
          <w:shd w:fill="auto" w:val="clear"/>
        </w:rPr>
        <w:t>, and Z</w:t>
      </w:r>
      <w:r>
        <w:rPr>
          <w:rStyle w:val="Destaquemayor"/>
          <w:b w:val="false"/>
          <w:bCs w:val="false"/>
          <w:shd w:fill="auto" w:val="clear"/>
          <w:vertAlign w:val="subscript"/>
        </w:rPr>
        <w:t>3</w:t>
      </w:r>
      <w:r>
        <w:rPr>
          <w:rStyle w:val="Destaquemayor"/>
          <w:b w:val="false"/>
          <w:bCs w:val="false"/>
          <w:shd w:fill="auto" w:val="clear"/>
        </w:rPr>
        <w:t xml:space="preserve"> are the incidence matrices that relate these effects to the observation vector, and e is the vector of residual effects.</w:t>
      </w:r>
    </w:p>
    <w:p>
      <w:pPr>
        <w:pStyle w:val="Normal"/>
        <w:bidi w:val="0"/>
        <w:spacing w:before="0" w:after="0"/>
        <w:jc w:val="both"/>
        <w:rPr>
          <w:rStyle w:val="Destaquemayor"/>
          <w:b w:val="false"/>
          <w:b w:val="false"/>
          <w:bCs w:val="false"/>
          <w:highlight w:val="none"/>
          <w:shd w:fill="auto" w:val="clear"/>
        </w:rPr>
      </w:pPr>
      <w:r>
        <w:rPr>
          <w:b w:val="false"/>
          <w:bCs w:val="false"/>
          <w:shd w:fill="auto" w:val="clear"/>
        </w:rPr>
      </w:r>
    </w:p>
    <w:p>
      <w:pPr>
        <w:pStyle w:val="Normal"/>
        <w:bidi w:val="0"/>
        <w:jc w:val="both"/>
        <w:rPr/>
      </w:pPr>
      <w:r>
        <w:rPr/>
        <w:t>In the second model, the traits age at first calving and interval between the first and second calving were treated as correlated traits using a bi-trait  animal model described below.</w:t>
      </w:r>
    </w:p>
    <w:p>
      <w:pPr>
        <w:pStyle w:val="Normal"/>
        <w:bidi w:val="0"/>
        <w:jc w:val="both"/>
        <w:rPr/>
      </w:pPr>
      <w:r>
        <w:rPr/>
      </w:r>
    </w:p>
    <w:p>
      <w:pPr>
        <w:pStyle w:val="Normal"/>
        <w:bidi w:val="0"/>
        <w:jc w:val="left"/>
        <w:rPr/>
      </w:pPr>
      <w:r>
        <w:rPr/>
      </w:r>
      <m:oMathPara xmlns:m="http://schemas.openxmlformats.org/officeDocument/2006/math">
        <m:oMathParaPr>
          <m:jc m:val="left"/>
        </m:oMathParaPr>
        <m:oMath>
          <m:r>
            <w:rPr>
              <w:rFonts w:ascii="Cambria Math" w:hAnsi="Cambria Math"/>
            </w:rPr>
            <m:t xml:space="preserve">y</m:t>
          </m:r>
          <m:r>
            <w:rPr>
              <w:rFonts w:ascii="Cambria Math" w:hAnsi="Cambria Math"/>
            </w:rPr>
            <m:t xml:space="preserve">=</m:t>
          </m:r>
          <m:r>
            <w:rPr>
              <w:rFonts w:ascii="Cambria Math" w:hAnsi="Cambria Math"/>
            </w:rPr>
            <m:t xml:space="preserve">Xb</m:t>
          </m:r>
          <m:r>
            <w:rPr>
              <w:rFonts w:ascii="Cambria Math" w:hAnsi="Cambria Math"/>
            </w:rPr>
            <m:t xml:space="preserve">+</m:t>
          </m:r>
          <m:sSub>
            <m:e>
              <m:r>
                <w:rPr>
                  <w:rFonts w:ascii="Cambria Math" w:hAnsi="Cambria Math"/>
                </w:rPr>
                <m:t xml:space="preserve">Z</m:t>
              </m:r>
            </m:e>
            <m:sub>
              <m:r>
                <w:rPr>
                  <w:rFonts w:ascii="Cambria Math" w:hAnsi="Cambria Math"/>
                </w:rPr>
                <m:t xml:space="preserve">1</m:t>
              </m:r>
            </m:sub>
          </m:sSub>
          <m:r>
            <w:rPr>
              <w:rFonts w:ascii="Cambria Math" w:hAnsi="Cambria Math"/>
            </w:rPr>
            <m:t xml:space="preserve">a</m:t>
          </m:r>
          <m:r>
            <w:rPr>
              <w:rFonts w:ascii="Cambria Math" w:hAnsi="Cambria Math"/>
            </w:rPr>
            <m:t xml:space="preserve">+</m:t>
          </m:r>
          <m:sSub>
            <m:e>
              <m:r>
                <w:rPr>
                  <w:rFonts w:ascii="Cambria Math" w:hAnsi="Cambria Math"/>
                </w:rPr>
                <m:t xml:space="preserve">Z</m:t>
              </m:r>
            </m:e>
            <m:sub>
              <m:r>
                <w:rPr>
                  <w:rFonts w:ascii="Cambria Math" w:hAnsi="Cambria Math"/>
                </w:rPr>
                <m:t xml:space="preserve">4</m:t>
              </m:r>
            </m:sub>
          </m:sSub>
          <m:r>
            <w:rPr>
              <w:rFonts w:ascii="Cambria Math" w:hAnsi="Cambria Math"/>
            </w:rPr>
            <m:t xml:space="preserve">s</m:t>
          </m:r>
          <m:r>
            <w:rPr>
              <w:rFonts w:ascii="Cambria Math" w:hAnsi="Cambria Math"/>
            </w:rPr>
            <m:t xml:space="preserve">+</m:t>
          </m:r>
          <m:r>
            <w:rPr>
              <w:rFonts w:ascii="Cambria Math" w:hAnsi="Cambria Math"/>
            </w:rPr>
            <m:t xml:space="preserve">e</m:t>
          </m:r>
        </m:oMath>
      </m:oMathPara>
    </w:p>
    <w:p>
      <w:pPr>
        <w:pStyle w:val="Normal"/>
        <w:bidi w:val="0"/>
        <w:jc w:val="both"/>
        <w:rPr/>
      </w:pPr>
      <w:r>
        <w:rPr/>
      </w:r>
    </w:p>
    <w:p>
      <w:pPr>
        <w:pStyle w:val="Normal"/>
        <w:bidi w:val="0"/>
        <w:spacing w:before="0" w:after="0"/>
        <w:jc w:val="both"/>
        <w:rPr/>
      </w:pPr>
      <w:r>
        <w:rPr>
          <w:rStyle w:val="Destaquemayor"/>
          <w:b w:val="false"/>
          <w:bCs w:val="false"/>
          <w:shd w:fill="auto" w:val="clear"/>
        </w:rPr>
        <w:t>where y is the vector of observations for the two traits, b, a, and s are the vectors of fixed effects, direct genetic effects, and permanent environmental effects of the bull, respectively. The matrices X, Z</w:t>
      </w:r>
      <w:r>
        <w:rPr>
          <w:rStyle w:val="Destaquemayor"/>
          <w:b w:val="false"/>
          <w:bCs w:val="false"/>
          <w:shd w:fill="auto" w:val="clear"/>
          <w:vertAlign w:val="subscript"/>
        </w:rPr>
        <w:t>1</w:t>
      </w:r>
      <w:r>
        <w:rPr>
          <w:rStyle w:val="Destaquemayor"/>
          <w:b w:val="false"/>
          <w:bCs w:val="false"/>
          <w:shd w:fill="auto" w:val="clear"/>
        </w:rPr>
        <w:t>, and Z</w:t>
      </w:r>
      <w:r>
        <w:rPr>
          <w:rStyle w:val="Destaquemayor"/>
          <w:b w:val="false"/>
          <w:bCs w:val="false"/>
          <w:shd w:fill="auto" w:val="clear"/>
          <w:vertAlign w:val="subscript"/>
        </w:rPr>
        <w:t>4</w:t>
      </w:r>
      <w:r>
        <w:rPr>
          <w:rStyle w:val="Destaquemayor"/>
          <w:b w:val="false"/>
          <w:bCs w:val="false"/>
          <w:shd w:fill="auto" w:val="clear"/>
        </w:rPr>
        <w:t xml:space="preserve"> are the incidence matrices that relate these effects to the observation vector, respectively, and e is the vector of residual effects.</w:t>
      </w:r>
    </w:p>
    <w:p>
      <w:pPr>
        <w:pStyle w:val="Normal"/>
        <w:bidi w:val="0"/>
        <w:spacing w:before="0" w:after="0"/>
        <w:jc w:val="both"/>
        <w:rPr>
          <w:rStyle w:val="Destaquemayor"/>
          <w:b w:val="false"/>
          <w:b w:val="false"/>
          <w:bCs w:val="false"/>
          <w:highlight w:val="none"/>
          <w:shd w:fill="auto" w:val="clear"/>
        </w:rPr>
      </w:pPr>
      <w:r>
        <w:rPr>
          <w:b w:val="false"/>
          <w:bCs w:val="false"/>
          <w:shd w:fill="auto" w:val="clear"/>
        </w:rPr>
      </w:r>
    </w:p>
    <w:p>
      <w:pPr>
        <w:pStyle w:val="Normal"/>
        <w:bidi w:val="0"/>
        <w:spacing w:before="0" w:after="0"/>
        <w:jc w:val="both"/>
        <w:rPr/>
      </w:pPr>
      <w:r>
        <w:rPr>
          <w:rStyle w:val="Destaquemayor"/>
          <w:b w:val="false"/>
          <w:bCs w:val="false"/>
          <w:shd w:fill="auto" w:val="clear"/>
        </w:rPr>
        <w:t>The single-step Genomic Best Linear Unbiased Predictor (ssGBLUP) implemented in the BLUPF90 software (</w:t>
      </w:r>
      <w:r>
        <w:rPr>
          <w:rStyle w:val="Destaquemayor"/>
          <w:b w:val="false"/>
          <w:bCs w:val="false"/>
          <w:shd w:fill="B2B2B2" w:val="clear"/>
        </w:rPr>
        <w:t>Aguilar et al., 2018</w:t>
      </w:r>
      <w:r>
        <w:rPr>
          <w:rStyle w:val="Destaquemayor"/>
          <w:b w:val="false"/>
          <w:bCs w:val="false"/>
          <w:shd w:fill="auto" w:val="clear"/>
        </w:rPr>
        <w:t>) was used for all scenarios described in the previous section to obtain the genomic estimated breeding values (GEBV). In ssGBLUP, the inverse of the pedigree-based relationship matrix (A</w:t>
      </w:r>
      <w:r>
        <w:rPr>
          <w:rStyle w:val="Destaquemayor"/>
          <w:b w:val="false"/>
          <w:bCs w:val="false"/>
          <w:shd w:fill="auto" w:val="clear"/>
          <w:vertAlign w:val="superscript"/>
        </w:rPr>
        <w:t>−1</w:t>
      </w:r>
      <w:r>
        <w:rPr>
          <w:rStyle w:val="Destaquemayor"/>
          <w:b w:val="false"/>
          <w:bCs w:val="false"/>
          <w:shd w:fill="auto" w:val="clear"/>
        </w:rPr>
        <w:t>) is replaced by the inverse of the combined relationship matrix (H</w:t>
      </w:r>
      <w:r>
        <w:rPr>
          <w:rStyle w:val="Destaquemayor"/>
          <w:b w:val="false"/>
          <w:bCs w:val="false"/>
          <w:shd w:fill="auto" w:val="clear"/>
          <w:vertAlign w:val="superscript"/>
        </w:rPr>
        <w:t>−1</w:t>
      </w:r>
      <w:r>
        <w:rPr>
          <w:rStyle w:val="Destaquemayor"/>
          <w:b w:val="false"/>
          <w:bCs w:val="false"/>
          <w:shd w:fill="auto" w:val="clear"/>
        </w:rPr>
        <w:t>), which is a function of A</w:t>
      </w:r>
      <w:r>
        <w:rPr>
          <w:rStyle w:val="Destaquemayor"/>
          <w:b w:val="false"/>
          <w:bCs w:val="false"/>
          <w:shd w:fill="auto" w:val="clear"/>
          <w:vertAlign w:val="superscript"/>
        </w:rPr>
        <w:t>-1</w:t>
      </w:r>
      <w:r>
        <w:rPr>
          <w:rStyle w:val="Destaquemayor"/>
          <w:b w:val="false"/>
          <w:bCs w:val="false"/>
          <w:shd w:fill="auto" w:val="clear"/>
        </w:rPr>
        <w:t xml:space="preserve"> and the inverse of the genomic relationship matrix (G</w:t>
      </w:r>
      <w:r>
        <w:rPr>
          <w:rStyle w:val="Destaquemayor"/>
          <w:b w:val="false"/>
          <w:bCs w:val="false"/>
          <w:shd w:fill="auto" w:val="clear"/>
          <w:vertAlign w:val="superscript"/>
        </w:rPr>
        <w:t>-1</w:t>
      </w:r>
      <w:r>
        <w:rPr>
          <w:rStyle w:val="Destaquemayor"/>
          <w:b w:val="false"/>
          <w:bCs w:val="false"/>
          <w:shd w:fill="auto" w:val="clear"/>
        </w:rPr>
        <w:t>) (</w:t>
      </w:r>
      <w:r>
        <w:rPr>
          <w:rStyle w:val="Destaquemayor"/>
          <w:b w:val="false"/>
          <w:bCs w:val="false"/>
          <w:shd w:fill="B2B2B2" w:val="clear"/>
        </w:rPr>
        <w:t>Misztal, Legarra, and Aguilar, 2009</w:t>
      </w:r>
      <w:r>
        <w:rPr>
          <w:rStyle w:val="Destaquemayor"/>
          <w:b w:val="false"/>
          <w:bCs w:val="false"/>
          <w:shd w:fill="auto" w:val="clear"/>
        </w:rPr>
        <w:t>), and is defined as follows.</w:t>
      </w:r>
    </w:p>
    <w:p>
      <w:pPr>
        <w:pStyle w:val="Normal"/>
        <w:bidi w:val="0"/>
        <w:spacing w:before="0" w:after="0"/>
        <w:jc w:val="both"/>
        <w:rPr>
          <w:rStyle w:val="Destaquemayor"/>
          <w:b w:val="false"/>
          <w:b w:val="false"/>
          <w:bCs w:val="false"/>
          <w:highlight w:val="none"/>
          <w:shd w:fill="auto" w:val="clear"/>
        </w:rPr>
      </w:pPr>
      <w:r>
        <w:rPr>
          <w:b w:val="false"/>
          <w:bCs w:val="false"/>
          <w:shd w:fill="auto" w:val="clear"/>
        </w:rPr>
      </w:r>
    </w:p>
    <w:p>
      <w:pPr>
        <w:pStyle w:val="Normal"/>
        <w:bidi w:val="0"/>
        <w:jc w:val="left"/>
        <w:rPr/>
      </w:pPr>
      <w:r>
        <w:rPr/>
      </w:r>
      <m:oMathPara xmlns:m="http://schemas.openxmlformats.org/officeDocument/2006/math">
        <m:oMathParaPr>
          <m:jc m:val="left"/>
        </m:oMathParaPr>
        <m:oMath>
          <m:sSup>
            <m:e>
              <m:r>
                <w:rPr>
                  <w:rFonts w:ascii="Cambria Math" w:hAnsi="Cambria Math"/>
                </w:rPr>
                <m:t xml:space="preserve">H</m:t>
              </m:r>
            </m:e>
            <m:sup>
              <m:r>
                <w:rPr>
                  <w:rFonts w:ascii="Cambria Math" w:hAnsi="Cambria Math"/>
                </w:rPr>
                <m:t xml:space="preserve">−</m:t>
              </m:r>
              <m:r>
                <w:rPr>
                  <w:rFonts w:ascii="Cambria Math" w:hAnsi="Cambria Math"/>
                </w:rPr>
                <m:t xml:space="preserve">1</m:t>
              </m:r>
            </m:sup>
          </m:sSup>
          <m:r>
            <w:rPr>
              <w:rFonts w:ascii="Cambria Math" w:hAnsi="Cambria Math"/>
            </w:rPr>
            <m:t xml:space="preserve">=</m:t>
          </m:r>
          <m:sSup>
            <m:e>
              <m:r>
                <w:rPr>
                  <w:rFonts w:ascii="Cambria Math" w:hAnsi="Cambria Math"/>
                </w:rPr>
                <m:t xml:space="preserve">A</m:t>
              </m:r>
            </m:e>
            <m:sup>
              <m:r>
                <w:rPr>
                  <w:rFonts w:ascii="Cambria Math" w:hAnsi="Cambria Math"/>
                </w:rPr>
                <m:t xml:space="preserve">−</m:t>
              </m:r>
              <m:r>
                <w:rPr>
                  <w:rFonts w:ascii="Cambria Math" w:hAnsi="Cambria Math"/>
                </w:rPr>
                <m:t xml:space="preserve">1</m:t>
              </m:r>
            </m:sup>
          </m:sSup>
          <m:r>
            <w:rPr>
              <w:rFonts w:ascii="Cambria Math" w:hAnsi="Cambria Math"/>
            </w:rPr>
            <m:t xml:space="preserve">+</m:t>
          </m:r>
          <m:d>
            <m:dPr>
              <m:begChr m:val="["/>
              <m:endChr m:val="]"/>
            </m:dPr>
            <m:e>
              <m:m>
                <m:mr>
                  <m:e>
                    <m:r>
                      <w:rPr>
                        <w:rFonts w:ascii="Cambria Math" w:hAnsi="Cambria Math"/>
                      </w:rPr>
                      <m:t xml:space="preserve">0</m:t>
                    </m:r>
                  </m:e>
                  <m:e>
                    <m:r>
                      <w:rPr>
                        <w:rFonts w:ascii="Cambria Math" w:hAnsi="Cambria Math"/>
                      </w:rPr>
                      <m:t xml:space="preserve">0</m:t>
                    </m:r>
                  </m:e>
                </m:mr>
                <m:mr>
                  <m:e>
                    <m:r>
                      <w:rPr>
                        <w:rFonts w:ascii="Cambria Math" w:hAnsi="Cambria Math"/>
                      </w:rPr>
                      <m:t xml:space="preserve">0</m:t>
                    </m:r>
                  </m:e>
                  <m:e>
                    <m:sSup>
                      <m:e>
                        <m:r>
                          <w:rPr>
                            <w:rFonts w:ascii="Cambria Math" w:hAnsi="Cambria Math"/>
                          </w:rPr>
                          <m:t xml:space="preserve">G</m:t>
                        </m:r>
                      </m:e>
                      <m:sup>
                        <m:r>
                          <w:rPr>
                            <w:rFonts w:ascii="Cambria Math" w:hAnsi="Cambria Math"/>
                          </w:rPr>
                          <m:t xml:space="preserve">−</m:t>
                        </m:r>
                        <m:r>
                          <w:rPr>
                            <w:rFonts w:ascii="Cambria Math" w:hAnsi="Cambria Math"/>
                          </w:rPr>
                          <m:t xml:space="preserve">1</m:t>
                        </m:r>
                      </m:sup>
                    </m:sSup>
                    <m:r>
                      <w:rPr>
                        <w:rFonts w:ascii="Cambria Math" w:hAnsi="Cambria Math"/>
                      </w:rPr>
                      <m:t xml:space="preserve">−</m:t>
                    </m:r>
                    <m:sSubSup>
                      <m:e>
                        <m:r>
                          <w:rPr>
                            <w:rFonts w:ascii="Cambria Math" w:hAnsi="Cambria Math"/>
                          </w:rPr>
                          <m:t xml:space="preserve">A</m:t>
                        </m:r>
                      </m:e>
                      <m:sub>
                        <m:r>
                          <w:rPr>
                            <w:rFonts w:ascii="Cambria Math" w:hAnsi="Cambria Math"/>
                          </w:rPr>
                          <m:t xml:space="preserve">22</m:t>
                        </m:r>
                      </m:sub>
                      <m:sup>
                        <m:r>
                          <w:rPr>
                            <w:rFonts w:ascii="Cambria Math" w:hAnsi="Cambria Math"/>
                          </w:rPr>
                          <m:t xml:space="preserve">−</m:t>
                        </m:r>
                        <m:r>
                          <w:rPr>
                            <w:rFonts w:ascii="Cambria Math" w:hAnsi="Cambria Math"/>
                          </w:rPr>
                          <m:t xml:space="preserve">1</m:t>
                        </m:r>
                      </m:sup>
                    </m:sSubSup>
                  </m:e>
                </m:mr>
              </m:m>
            </m:e>
          </m:d>
        </m:oMath>
      </m:oMathPara>
    </w:p>
    <w:p>
      <w:pPr>
        <w:pStyle w:val="Normal"/>
        <w:bidi w:val="0"/>
        <w:jc w:val="both"/>
        <w:rPr/>
      </w:pPr>
      <w:r>
        <w:rPr/>
      </w:r>
    </w:p>
    <w:p>
      <w:pPr>
        <w:pStyle w:val="Cuerpodetexto"/>
        <w:bidi w:val="0"/>
        <w:spacing w:before="0" w:after="0"/>
        <w:jc w:val="both"/>
        <w:rPr/>
      </w:pPr>
      <w:r>
        <w:rPr>
          <w:rStyle w:val="Destaquemayor"/>
          <w:b w:val="false"/>
          <w:bCs w:val="false"/>
          <w:shd w:fill="auto" w:val="clear"/>
        </w:rPr>
        <w:t>where A</w:t>
      </w:r>
      <w:r>
        <w:rPr>
          <w:rStyle w:val="Destaquemayor"/>
          <w:b w:val="false"/>
          <w:bCs w:val="false"/>
          <w:shd w:fill="auto" w:val="clear"/>
          <w:vertAlign w:val="superscript"/>
        </w:rPr>
        <w:t>−1</w:t>
      </w:r>
      <w:r>
        <w:rPr>
          <w:rStyle w:val="Destaquemayor"/>
          <w:b w:val="false"/>
          <w:bCs w:val="false"/>
          <w:shd w:fill="auto" w:val="clear"/>
          <w:vertAlign w:val="subscript"/>
        </w:rPr>
        <w:t>22</w:t>
      </w:r>
      <w:r>
        <w:rPr>
          <w:rStyle w:val="Destaquemayor"/>
          <w:b w:val="false"/>
          <w:bCs w:val="false"/>
          <w:shd w:fill="auto" w:val="clear"/>
        </w:rPr>
        <w:t xml:space="preserve"> is the inverse of the matrix containing the genomic relationships among genotyped individuals. The matrix G was obtained according to the </w:t>
      </w:r>
      <w:r>
        <w:rPr>
          <w:rStyle w:val="Destaquemayor"/>
          <w:b w:val="false"/>
          <w:bCs w:val="false"/>
          <w:shd w:fill="B2B2B2" w:val="clear"/>
        </w:rPr>
        <w:t>VanRaden method (2008)</w:t>
      </w:r>
      <w:r>
        <w:rPr>
          <w:rStyle w:val="Destaquemayor"/>
          <w:b w:val="false"/>
          <w:bCs w:val="false"/>
          <w:shd w:fill="auto" w:val="clear"/>
        </w:rPr>
        <w:t xml:space="preserve">, that is, </w:t>
      </w:r>
      <w:r>
        <w:rPr/>
      </w:r>
      <m:oMath xmlns:m="http://schemas.openxmlformats.org/officeDocument/2006/math">
        <m:r>
          <w:rPr>
            <w:rFonts w:ascii="Cambria Math" w:hAnsi="Cambria Math"/>
          </w:rPr>
          <m:t xml:space="preserve">G</m:t>
        </m:r>
        <m:r>
          <w:rPr>
            <w:rFonts w:ascii="Cambria Math" w:hAnsi="Cambria Math"/>
          </w:rPr>
          <m:t xml:space="preserve">=</m:t>
        </m:r>
        <m:f>
          <m:num>
            <m:r>
              <w:rPr>
                <w:rFonts w:ascii="Cambria Math" w:hAnsi="Cambria Math"/>
              </w:rPr>
              <m:t xml:space="preserve">MM</m:t>
            </m:r>
            <m:r>
              <w:rPr>
                <w:rFonts w:ascii="Cambria Math" w:hAnsi="Cambria Math"/>
              </w:rPr>
              <m:t xml:space="preserve">'</m:t>
            </m:r>
          </m:num>
          <m:den>
            <m:r>
              <w:rPr>
                <w:rFonts w:ascii="Cambria Math" w:hAnsi="Cambria Math"/>
              </w:rPr>
              <m:t xml:space="preserve">2</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m</m:t>
                </m:r>
              </m:sup>
              <m:e>
                <m:sSub>
                  <m:e>
                    <m:r>
                      <w:rPr>
                        <w:rFonts w:ascii="Cambria Math" w:hAnsi="Cambria Math"/>
                      </w:rPr>
                      <m:t xml:space="preserve">p</m:t>
                    </m:r>
                  </m:e>
                  <m:sub>
                    <m:r>
                      <w:rPr>
                        <w:rFonts w:ascii="Cambria Math" w:hAnsi="Cambria Math"/>
                      </w:rPr>
                      <m:t xml:space="preserve">i</m:t>
                    </m:r>
                  </m:sub>
                </m:sSub>
              </m:e>
            </m:nary>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p</m:t>
                    </m:r>
                  </m:e>
                  <m:sub>
                    <m:r>
                      <w:rPr>
                        <w:rFonts w:ascii="Cambria Math" w:hAnsi="Cambria Math"/>
                      </w:rPr>
                      <m:t xml:space="preserve">i</m:t>
                    </m:r>
                  </m:sub>
                </m:sSub>
              </m:e>
            </m:d>
          </m:den>
        </m:f>
      </m:oMath>
      <w:r>
        <w:rPr>
          <w:rStyle w:val="Destaquemayor"/>
          <w:b w:val="false"/>
          <w:bCs w:val="false"/>
          <w:shd w:fill="auto" w:val="clear"/>
        </w:rPr>
        <w:t xml:space="preserve"> , where M is a matrix with n rows and m columns containing the genotypes, p</w:t>
      </w:r>
      <w:r>
        <w:rPr>
          <w:rStyle w:val="Destaquemayor"/>
          <w:b w:val="false"/>
          <w:bCs w:val="false"/>
          <w:shd w:fill="auto" w:val="clear"/>
          <w:vertAlign w:val="subscript"/>
        </w:rPr>
        <w:t>i</w:t>
      </w:r>
      <w:r>
        <w:rPr>
          <w:rStyle w:val="Destaquemayor"/>
          <w:b w:val="false"/>
          <w:bCs w:val="false"/>
          <w:shd w:fill="auto" w:val="clear"/>
        </w:rPr>
        <w:t xml:space="preserve"> is the frequency of the i-th marker, n is the number of genotyped individuals, and m represents the total number of markers.</w:t>
      </w:r>
    </w:p>
    <w:p>
      <w:pPr>
        <w:pStyle w:val="Cuerpodetexto"/>
        <w:bidi w:val="0"/>
        <w:spacing w:before="0" w:after="0"/>
        <w:jc w:val="both"/>
        <w:rPr>
          <w:rStyle w:val="Destaquemayor"/>
          <w:b w:val="false"/>
          <w:b w:val="false"/>
          <w:bCs w:val="false"/>
          <w:highlight w:val="none"/>
          <w:shd w:fill="auto" w:val="clear"/>
        </w:rPr>
      </w:pPr>
      <w:r>
        <w:rPr>
          <w:b w:val="false"/>
          <w:bCs w:val="false"/>
          <w:shd w:fill="auto" w:val="clear"/>
        </w:rPr>
      </w:r>
    </w:p>
    <w:p>
      <w:pPr>
        <w:pStyle w:val="Cuerpodetexto"/>
        <w:bidi w:val="0"/>
        <w:spacing w:before="0" w:after="0"/>
        <w:jc w:val="both"/>
        <w:rPr/>
      </w:pPr>
      <w:r>
        <w:rPr>
          <w:rStyle w:val="Destaquemayor"/>
          <w:b w:val="false"/>
          <w:bCs w:val="false"/>
          <w:shd w:fill="auto" w:val="clear"/>
        </w:rPr>
        <w:t>In the BLUP (best linear unbiased predictor) model adjusted for scenario E0, H</w:t>
      </w:r>
      <w:r>
        <w:rPr>
          <w:rStyle w:val="Destaquemayor"/>
          <w:b w:val="false"/>
          <w:bCs w:val="false"/>
          <w:shd w:fill="auto" w:val="clear"/>
          <w:vertAlign w:val="superscript"/>
        </w:rPr>
        <w:t>−1</w:t>
      </w:r>
      <w:r>
        <w:rPr>
          <w:rStyle w:val="Destaquemayor"/>
          <w:b w:val="false"/>
          <w:bCs w:val="false"/>
          <w:shd w:fill="auto" w:val="clear"/>
        </w:rPr>
        <w:t xml:space="preserve"> is replaced by the matrix A</w:t>
      </w:r>
      <w:r>
        <w:rPr>
          <w:rStyle w:val="Destaquemayor"/>
          <w:b w:val="false"/>
          <w:bCs w:val="false"/>
          <w:shd w:fill="auto" w:val="clear"/>
          <w:vertAlign w:val="superscript"/>
        </w:rPr>
        <w:t>−1</w:t>
      </w:r>
      <w:r>
        <w:rPr>
          <w:rStyle w:val="Destaquemayor"/>
          <w:b w:val="false"/>
          <w:bCs w:val="false"/>
          <w:shd w:fill="auto" w:val="clear"/>
        </w:rPr>
        <w:t xml:space="preserve"> of the same dimension as the first matrix.</w:t>
      </w:r>
    </w:p>
    <w:p>
      <w:pPr>
        <w:pStyle w:val="Cuerpodetexto"/>
        <w:bidi w:val="0"/>
        <w:spacing w:before="0" w:after="0"/>
        <w:jc w:val="both"/>
        <w:rPr>
          <w:rStyle w:val="Destaquemayor"/>
          <w:b w:val="false"/>
          <w:b w:val="false"/>
          <w:bCs w:val="false"/>
          <w:highlight w:val="none"/>
          <w:shd w:fill="auto" w:val="clear"/>
        </w:rPr>
      </w:pPr>
      <w:r>
        <w:rPr>
          <w:b w:val="false"/>
          <w:bCs w:val="false"/>
          <w:shd w:fill="auto" w:val="clear"/>
        </w:rPr>
      </w:r>
    </w:p>
    <w:p>
      <w:pPr>
        <w:pStyle w:val="Normal"/>
        <w:bidi w:val="0"/>
        <w:spacing w:before="0" w:after="0"/>
        <w:jc w:val="both"/>
        <w:rPr/>
      </w:pPr>
      <w:r>
        <w:rPr>
          <w:rStyle w:val="Destaquemayor"/>
          <w:b w:val="false"/>
          <w:bCs w:val="false"/>
          <w:shd w:fill="auto" w:val="clear"/>
        </w:rPr>
        <w:t>The GEBV were estimated using Gibbs sampling, which comprised 200,000 rounds where samples was saved every 50 iterations of the Gibbs algorithm. After discarding the first 50,000 samples as burn-in, posterior statistics were calculated.</w:t>
      </w:r>
    </w:p>
    <w:p>
      <w:pPr>
        <w:pStyle w:val="Normal"/>
        <w:bidi w:val="0"/>
        <w:spacing w:before="0" w:after="0"/>
        <w:jc w:val="both"/>
        <w:rPr>
          <w:rStyle w:val="Destaquemayor"/>
          <w:b w:val="false"/>
          <w:b w:val="false"/>
          <w:bCs w:val="false"/>
          <w:highlight w:val="none"/>
          <w:shd w:fill="auto" w:val="clear"/>
        </w:rPr>
      </w:pPr>
      <w:r>
        <w:rPr>
          <w:b w:val="false"/>
          <w:bCs w:val="false"/>
          <w:shd w:fill="auto" w:val="clear"/>
        </w:rPr>
      </w:r>
    </w:p>
    <w:p>
      <w:pPr>
        <w:pStyle w:val="Cuerpodetexto"/>
        <w:bidi w:val="0"/>
        <w:spacing w:before="0" w:after="0"/>
        <w:jc w:val="both"/>
        <w:rPr/>
      </w:pPr>
      <w:r>
        <w:rPr>
          <w:rStyle w:val="Destaquemayor"/>
          <w:shd w:fill="auto" w:val="clear"/>
        </w:rPr>
        <w:t>2.4. Scenario Comparison</w:t>
      </w:r>
    </w:p>
    <w:p>
      <w:pPr>
        <w:pStyle w:val="Normal"/>
        <w:bidi w:val="0"/>
        <w:spacing w:before="0" w:after="0"/>
        <w:jc w:val="both"/>
        <w:rPr>
          <w:rStyle w:val="Destaquemayor"/>
          <w:b w:val="false"/>
          <w:b w:val="false"/>
          <w:bCs w:val="false"/>
          <w:highlight w:val="none"/>
          <w:shd w:fill="auto" w:val="clear"/>
        </w:rPr>
      </w:pPr>
      <w:r>
        <w:rPr>
          <w:b w:val="false"/>
          <w:bCs w:val="false"/>
          <w:shd w:fill="auto" w:val="clear"/>
        </w:rPr>
      </w:r>
    </w:p>
    <w:p>
      <w:pPr>
        <w:pStyle w:val="Normal"/>
        <w:bidi w:val="0"/>
        <w:spacing w:before="0" w:after="0"/>
        <w:jc w:val="both"/>
        <w:rPr/>
      </w:pPr>
      <w:r>
        <w:rPr>
          <w:rStyle w:val="Destaquemayor"/>
          <w:b w:val="false"/>
          <w:bCs w:val="false"/>
          <w:shd w:fill="auto" w:val="clear"/>
        </w:rPr>
        <w:t>Scenarios were compared using the bias (</w:t>
      </w:r>
      <w:r>
        <w:rPr/>
      </w:r>
      <m:oMath xmlns:m="http://schemas.openxmlformats.org/officeDocument/2006/math">
        <m:acc>
          <m:accPr>
            <m:chr m:val="^"/>
          </m:accPr>
          <m:e>
            <m:sSub>
              <m:e>
                <m:r>
                  <w:rPr>
                    <w:rFonts w:ascii="Cambria Math" w:hAnsi="Cambria Math"/>
                  </w:rPr>
                  <m:t xml:space="preserve">Δ</m:t>
                </m:r>
              </m:e>
              <m:sub>
                <m:r>
                  <w:rPr>
                    <w:rFonts w:ascii="Cambria Math" w:hAnsi="Cambria Math"/>
                  </w:rPr>
                  <m:t xml:space="preserve">w</m:t>
                </m:r>
                <m:r>
                  <w:rPr>
                    <w:rFonts w:ascii="Cambria Math" w:hAnsi="Cambria Math"/>
                  </w:rPr>
                  <m:t xml:space="preserve">,</m:t>
                </m:r>
                <m:r>
                  <w:rPr>
                    <w:rFonts w:ascii="Cambria Math" w:hAnsi="Cambria Math"/>
                  </w:rPr>
                  <m:t xml:space="preserve">p</m:t>
                </m:r>
              </m:sub>
            </m:sSub>
          </m:e>
        </m:acc>
      </m:oMath>
      <w:r>
        <w:rPr>
          <w:rStyle w:val="Destaquemayor"/>
          <w:b w:val="false"/>
          <w:bCs w:val="false"/>
          <w:shd w:fill="auto" w:val="clear"/>
        </w:rPr>
        <w:t>), dispersion (</w:t>
      </w:r>
      <w:r>
        <w:rPr/>
      </w:r>
      <m:oMath xmlns:m="http://schemas.openxmlformats.org/officeDocument/2006/math">
        <m:acc>
          <m:accPr>
            <m:chr m:val="^"/>
          </m:accPr>
          <m:e>
            <m:sSub>
              <m:e>
                <m:r>
                  <w:rPr>
                    <w:rFonts w:ascii="Cambria Math" w:hAnsi="Cambria Math"/>
                  </w:rPr>
                  <m:t xml:space="preserve">b</m:t>
                </m:r>
              </m:e>
              <m:sub>
                <m:r>
                  <w:rPr>
                    <w:rFonts w:ascii="Cambria Math" w:hAnsi="Cambria Math"/>
                  </w:rPr>
                  <m:t xml:space="preserve">w</m:t>
                </m:r>
                <m:r>
                  <w:rPr>
                    <w:rFonts w:ascii="Cambria Math" w:hAnsi="Cambria Math"/>
                  </w:rPr>
                  <m:t xml:space="preserve">,</m:t>
                </m:r>
                <m:r>
                  <w:rPr>
                    <w:rFonts w:ascii="Cambria Math" w:hAnsi="Cambria Math"/>
                  </w:rPr>
                  <m:t xml:space="preserve">p</m:t>
                </m:r>
              </m:sub>
            </m:sSub>
          </m:e>
        </m:acc>
      </m:oMath>
      <w:r>
        <w:rPr>
          <w:rStyle w:val="Destaquemayor"/>
          <w:b w:val="false"/>
          <w:bCs w:val="false"/>
          <w:shd w:fill="auto" w:val="clear"/>
        </w:rPr>
        <w:t>), and accuracy (</w:t>
      </w:r>
      <w:r>
        <w:rPr/>
      </w:r>
      <m:oMath xmlns:m="http://schemas.openxmlformats.org/officeDocument/2006/math">
        <m:acc>
          <m:accPr>
            <m:chr m:val="^"/>
          </m:accPr>
          <m:e>
            <m:sSub>
              <m:e>
                <m:r>
                  <w:rPr>
                    <w:rFonts w:ascii="Cambria Math" w:hAnsi="Cambria Math"/>
                  </w:rPr>
                  <m:t xml:space="preserve">acc</m:t>
                </m:r>
              </m:e>
              <m:sub>
                <m:r>
                  <w:rPr>
                    <w:rFonts w:ascii="Cambria Math" w:hAnsi="Cambria Math"/>
                  </w:rPr>
                  <m:t xml:space="preserve">w</m:t>
                </m:r>
                <m:r>
                  <w:rPr>
                    <w:rFonts w:ascii="Cambria Math" w:hAnsi="Cambria Math"/>
                  </w:rPr>
                  <m:t xml:space="preserve">,</m:t>
                </m:r>
                <m:r>
                  <w:rPr>
                    <w:rFonts w:ascii="Cambria Math" w:hAnsi="Cambria Math"/>
                  </w:rPr>
                  <m:t xml:space="preserve">p</m:t>
                </m:r>
              </m:sub>
            </m:sSub>
          </m:e>
        </m:acc>
      </m:oMath>
      <w:r>
        <w:rPr>
          <w:rStyle w:val="Destaquemayor"/>
          <w:b w:val="false"/>
          <w:bCs w:val="false"/>
          <w:shd w:fill="auto" w:val="clear"/>
        </w:rPr>
        <w:t xml:space="preserve">) estimators from the linear regression (LR) method proposed by </w:t>
      </w:r>
      <w:r>
        <w:rPr>
          <w:rStyle w:val="Destaquemayor"/>
          <w:b w:val="false"/>
          <w:bCs w:val="false"/>
          <w:shd w:fill="B2B2B2" w:val="clear"/>
        </w:rPr>
        <w:t>Legarra and Reverter (2018)</w:t>
      </w:r>
      <w:r>
        <w:rPr>
          <w:rStyle w:val="Destaquemayor"/>
          <w:b w:val="false"/>
          <w:bCs w:val="false"/>
          <w:shd w:fill="auto" w:val="clear"/>
        </w:rPr>
        <w:t>. For each scenario, two subsets of data and a subset of focal or validation individuals were used. A complete data subset (w), which contained all phenotypes, and a partial data subset (p), where phenotypes of focal individuals were masked. Focal individuals, defined as a group of individuals of interest who could potentially be selected at a given time, consisted of individuals born between 2017 and 2023, of which 220, 189, and 131 individuals were genotyped according to the evaluated trait (weaning weight, age at first calving, and interval between the first and second calving, respectively).</w:t>
      </w:r>
    </w:p>
    <w:p>
      <w:pPr>
        <w:pStyle w:val="Normal"/>
        <w:bidi w:val="0"/>
        <w:spacing w:before="0" w:after="0"/>
        <w:jc w:val="both"/>
        <w:rPr>
          <w:rStyle w:val="Destaquemayor"/>
          <w:b w:val="false"/>
          <w:b w:val="false"/>
          <w:bCs w:val="false"/>
          <w:highlight w:val="none"/>
          <w:shd w:fill="auto" w:val="clear"/>
        </w:rPr>
      </w:pPr>
      <w:r>
        <w:rPr>
          <w:b w:val="false"/>
          <w:bCs w:val="false"/>
          <w:shd w:fill="auto" w:val="clear"/>
        </w:rPr>
      </w:r>
    </w:p>
    <w:p>
      <w:pPr>
        <w:pStyle w:val="Normal"/>
        <w:bidi w:val="0"/>
        <w:jc w:val="both"/>
        <w:rPr/>
      </w:pPr>
      <w:r>
        <w:rPr/>
        <w:t xml:space="preserve">Let </w:t>
      </w:r>
      <w:r>
        <w:rPr/>
      </w:r>
      <m:oMath xmlns:m="http://schemas.openxmlformats.org/officeDocument/2006/math">
        <m:bar>
          <m:barPr>
            <m:pos m:val="top"/>
          </m:barPr>
          <m:e>
            <m:acc>
              <m:accPr>
                <m:chr m:val="^"/>
              </m:accPr>
              <m:e>
                <m:sSub>
                  <m:e>
                    <m:r>
                      <w:rPr>
                        <w:rFonts w:ascii="Cambria Math" w:hAnsi="Cambria Math"/>
                      </w:rPr>
                      <m:t xml:space="preserve">µ</m:t>
                    </m:r>
                  </m:e>
                  <m:sub>
                    <m:r>
                      <w:rPr>
                        <w:rFonts w:ascii="Cambria Math" w:hAnsi="Cambria Math"/>
                      </w:rPr>
                      <m:t xml:space="preserve">p</m:t>
                    </m:r>
                  </m:sub>
                </m:sSub>
              </m:e>
            </m:acc>
          </m:e>
        </m:bar>
      </m:oMath>
      <w:r>
        <w:rPr/>
        <w:t xml:space="preserve"> be the average GEBV in the partial data subset and </w:t>
      </w:r>
      <w:r>
        <w:rPr/>
      </w:r>
      <m:oMath xmlns:m="http://schemas.openxmlformats.org/officeDocument/2006/math">
        <m:bar>
          <m:barPr>
            <m:pos m:val="top"/>
          </m:barPr>
          <m:e>
            <m:acc>
              <m:accPr>
                <m:chr m:val="^"/>
              </m:accPr>
              <m:e>
                <m:sSub>
                  <m:e>
                    <m:r>
                      <w:rPr>
                        <w:rFonts w:ascii="Cambria Math" w:hAnsi="Cambria Math"/>
                      </w:rPr>
                      <m:t xml:space="preserve">µ</m:t>
                    </m:r>
                  </m:e>
                  <m:sub>
                    <m:r>
                      <w:rPr>
                        <w:rFonts w:ascii="Cambria Math" w:hAnsi="Cambria Math"/>
                      </w:rPr>
                      <m:t xml:space="preserve">w</m:t>
                    </m:r>
                  </m:sub>
                </m:sSub>
              </m:e>
            </m:acc>
          </m:e>
        </m:bar>
      </m:oMath>
      <w:r>
        <w:rPr/>
        <w:t xml:space="preserve"> be the average GEBV in the complete data subset. The estimators of the LR method were calculated using the following expressions:</w:t>
      </w:r>
    </w:p>
    <w:p>
      <w:pPr>
        <w:pStyle w:val="Normal"/>
        <w:bidi w:val="0"/>
        <w:jc w:val="both"/>
        <w:rPr/>
      </w:pPr>
      <w:r>
        <w:rPr/>
      </w:r>
    </w:p>
    <w:p>
      <w:pPr>
        <w:pStyle w:val="Normal"/>
        <w:bidi w:val="0"/>
        <w:spacing w:before="0" w:after="0"/>
        <w:jc w:val="left"/>
        <w:rPr>
          <w:rFonts w:ascii="Liberation Serif" w:hAnsi="Liberation Serif"/>
          <w:b w:val="false"/>
          <w:b w:val="false"/>
          <w:i w:val="false"/>
          <w:i w:val="false"/>
          <w:caps w:val="false"/>
          <w:smallCaps w:val="false"/>
          <w:color w:val="000000"/>
          <w:spacing w:val="0"/>
          <w:sz w:val="24"/>
          <w:szCs w:val="24"/>
          <w:shd w:fill="auto" w:val="clear"/>
        </w:rPr>
      </w:pPr>
      <w:r>
        <w:rPr/>
      </w:r>
      <m:oMathPara xmlns:m="http://schemas.openxmlformats.org/officeDocument/2006/math">
        <m:oMathParaPr>
          <m:jc m:val="left"/>
        </m:oMathParaPr>
        <m:oMath>
          <m:acc>
            <m:accPr>
              <m:chr m:val="^"/>
            </m:accPr>
            <m:e>
              <m:sSub>
                <m:e>
                  <m:r>
                    <w:rPr>
                      <w:rFonts w:ascii="Cambria Math" w:hAnsi="Cambria Math"/>
                    </w:rPr>
                    <m:t xml:space="preserve">Δ</m:t>
                  </m:r>
                </m:e>
                <m:sub>
                  <m:r>
                    <w:rPr>
                      <w:rFonts w:ascii="Cambria Math" w:hAnsi="Cambria Math"/>
                    </w:rPr>
                    <m:t xml:space="preserve">w</m:t>
                  </m:r>
                  <m:r>
                    <w:rPr>
                      <w:rFonts w:ascii="Cambria Math" w:hAnsi="Cambria Math"/>
                    </w:rPr>
                    <m:t xml:space="preserve">,</m:t>
                  </m:r>
                  <m:r>
                    <w:rPr>
                      <w:rFonts w:ascii="Cambria Math" w:hAnsi="Cambria Math"/>
                    </w:rPr>
                    <m:t xml:space="preserve">p</m:t>
                  </m:r>
                </m:sub>
              </m:sSub>
            </m:e>
          </m:acc>
          <m:r>
            <w:rPr>
              <w:rFonts w:ascii="Cambria Math" w:hAnsi="Cambria Math"/>
            </w:rPr>
            <m:t xml:space="preserve">=</m:t>
          </m:r>
          <m:f>
            <m:num>
              <m:bar>
                <m:barPr>
                  <m:pos m:val="top"/>
                </m:barPr>
                <m:e>
                  <m:acc>
                    <m:accPr>
                      <m:chr m:val="^"/>
                    </m:accPr>
                    <m:e>
                      <m:sSub>
                        <m:e>
                          <m:r>
                            <w:rPr>
                              <w:rFonts w:ascii="Cambria Math" w:hAnsi="Cambria Math"/>
                            </w:rPr>
                            <m:t xml:space="preserve">µ</m:t>
                          </m:r>
                        </m:e>
                        <m:sub>
                          <m:r>
                            <w:rPr>
                              <w:rFonts w:ascii="Cambria Math" w:hAnsi="Cambria Math"/>
                            </w:rPr>
                            <m:t xml:space="preserve">p</m:t>
                          </m:r>
                        </m:sub>
                      </m:sSub>
                    </m:e>
                  </m:acc>
                </m:e>
              </m:bar>
              <m:r>
                <w:rPr>
                  <w:rFonts w:ascii="Cambria Math" w:hAnsi="Cambria Math"/>
                </w:rPr>
                <m:t xml:space="preserve">−</m:t>
              </m:r>
              <m:bar>
                <m:barPr>
                  <m:pos m:val="top"/>
                </m:barPr>
                <m:e>
                  <m:acc>
                    <m:accPr>
                      <m:chr m:val="^"/>
                    </m:accPr>
                    <m:e>
                      <m:sSub>
                        <m:e>
                          <m:r>
                            <w:rPr>
                              <w:rFonts w:ascii="Cambria Math" w:hAnsi="Cambria Math"/>
                            </w:rPr>
                            <m:t xml:space="preserve">µ</m:t>
                          </m:r>
                        </m:e>
                        <m:sub>
                          <m:r>
                            <w:rPr>
                              <w:rFonts w:ascii="Cambria Math" w:hAnsi="Cambria Math"/>
                            </w:rPr>
                            <m:t xml:space="preserve">w</m:t>
                          </m:r>
                        </m:sub>
                      </m:sSub>
                    </m:e>
                  </m:acc>
                </m:e>
              </m:bar>
            </m:num>
            <m:den>
              <m:acc>
                <m:accPr>
                  <m:chr m:val="^"/>
                </m:accPr>
                <m:e>
                  <m:sSub>
                    <m:e>
                      <m:r>
                        <w:rPr>
                          <w:rFonts w:ascii="Cambria Math" w:hAnsi="Cambria Math"/>
                        </w:rPr>
                        <m:t xml:space="preserve">σ</m:t>
                      </m:r>
                    </m:e>
                    <m:sub>
                      <m:r>
                        <w:rPr>
                          <w:rFonts w:ascii="Cambria Math" w:hAnsi="Cambria Math"/>
                        </w:rPr>
                        <m:t xml:space="preserve">u</m:t>
                      </m:r>
                    </m:sub>
                  </m:sSub>
                </m:e>
              </m:acc>
            </m:den>
          </m:f>
        </m:oMath>
      </m:oMathPara>
    </w:p>
    <w:p>
      <w:pPr>
        <w:pStyle w:val="Normal"/>
        <w:bidi w:val="0"/>
        <w:spacing w:before="0" w:after="0"/>
        <w:jc w:val="both"/>
        <w:rPr>
          <w:rFonts w:ascii="Liberation Serif" w:hAnsi="Liberation Serif"/>
          <w:b w:val="false"/>
          <w:b w:val="false"/>
          <w:i w:val="false"/>
          <w:i w:val="false"/>
          <w:caps w:val="false"/>
          <w:smallCaps w:val="false"/>
          <w:color w:val="000000"/>
          <w:spacing w:val="0"/>
          <w:sz w:val="24"/>
          <w:szCs w:val="24"/>
          <w:shd w:fill="auto" w:val="clear"/>
        </w:rPr>
      </w:pPr>
      <w:r>
        <w:rPr>
          <w:b w:val="false"/>
          <w:i w:val="false"/>
          <w:caps w:val="false"/>
          <w:smallCaps w:val="false"/>
          <w:color w:val="000000"/>
          <w:spacing w:val="0"/>
          <w:sz w:val="24"/>
          <w:szCs w:val="24"/>
          <w:shd w:fill="auto" w:val="clear"/>
        </w:rPr>
      </w:r>
    </w:p>
    <w:p>
      <w:pPr>
        <w:pStyle w:val="Normal"/>
        <w:bidi w:val="0"/>
        <w:spacing w:before="0" w:after="0"/>
        <w:jc w:val="left"/>
        <w:rPr>
          <w:rFonts w:ascii="Liberation Serif" w:hAnsi="Liberation Serif"/>
          <w:b w:val="false"/>
          <w:b w:val="false"/>
          <w:i w:val="false"/>
          <w:i w:val="false"/>
          <w:caps w:val="false"/>
          <w:smallCaps w:val="false"/>
          <w:color w:val="000000"/>
          <w:spacing w:val="0"/>
          <w:sz w:val="24"/>
          <w:szCs w:val="24"/>
          <w:shd w:fill="auto" w:val="clear"/>
        </w:rPr>
      </w:pPr>
      <w:r>
        <w:rPr/>
      </w:r>
      <m:oMathPara xmlns:m="http://schemas.openxmlformats.org/officeDocument/2006/math">
        <m:oMathParaPr>
          <m:jc m:val="left"/>
        </m:oMathParaPr>
        <m:oMath>
          <m:acc>
            <m:accPr>
              <m:chr m:val="^"/>
            </m:accPr>
            <m:e>
              <m:sSub>
                <m:e>
                  <m:r>
                    <w:rPr>
                      <w:rFonts w:ascii="Cambria Math" w:hAnsi="Cambria Math"/>
                    </w:rPr>
                    <m:t xml:space="preserve">b</m:t>
                  </m:r>
                </m:e>
                <m:sub>
                  <m:r>
                    <w:rPr>
                      <w:rFonts w:ascii="Cambria Math" w:hAnsi="Cambria Math"/>
                    </w:rPr>
                    <m:t xml:space="preserve">w</m:t>
                  </m:r>
                  <m:r>
                    <w:rPr>
                      <w:rFonts w:ascii="Cambria Math" w:hAnsi="Cambria Math"/>
                    </w:rPr>
                    <m:t xml:space="preserve">,</m:t>
                  </m:r>
                  <m:r>
                    <w:rPr>
                      <w:rFonts w:ascii="Cambria Math" w:hAnsi="Cambria Math"/>
                    </w:rPr>
                    <m:t xml:space="preserve">p</m:t>
                  </m:r>
                </m:sub>
              </m:sSub>
            </m:e>
          </m:acc>
          <m:r>
            <w:rPr>
              <w:rFonts w:ascii="Cambria Math" w:hAnsi="Cambria Math"/>
            </w:rPr>
            <m:t xml:space="preserve">=</m:t>
          </m:r>
          <m:f>
            <m:num>
              <m:r>
                <w:rPr>
                  <w:rFonts w:ascii="Cambria Math" w:hAnsi="Cambria Math"/>
                </w:rPr>
                <m:t xml:space="preserve">cov</m:t>
              </m:r>
              <m:d>
                <m:dPr>
                  <m:begChr m:val="("/>
                  <m:endChr m:val=")"/>
                </m:dPr>
                <m:e>
                  <m:acc>
                    <m:accPr>
                      <m:chr m:val="^"/>
                    </m:accPr>
                    <m:e>
                      <m:sSub>
                        <m:e>
                          <m:r>
                            <w:rPr>
                              <w:rFonts w:ascii="Cambria Math" w:hAnsi="Cambria Math"/>
                            </w:rPr>
                            <m:t xml:space="preserve">µ</m:t>
                          </m:r>
                        </m:e>
                        <m:sub>
                          <m:r>
                            <w:rPr>
                              <w:rFonts w:ascii="Cambria Math" w:hAnsi="Cambria Math"/>
                            </w:rPr>
                            <m:t xml:space="preserve">p</m:t>
                          </m:r>
                        </m:sub>
                      </m:sSub>
                    </m:e>
                  </m:acc>
                  <m:r>
                    <w:rPr>
                      <w:rFonts w:ascii="Cambria Math" w:hAnsi="Cambria Math"/>
                    </w:rPr>
                    <m:t xml:space="preserve">,</m:t>
                  </m:r>
                  <m:acc>
                    <m:accPr>
                      <m:chr m:val="^"/>
                    </m:accPr>
                    <m:e>
                      <m:sSub>
                        <m:e>
                          <m:r>
                            <w:rPr>
                              <w:rFonts w:ascii="Cambria Math" w:hAnsi="Cambria Math"/>
                            </w:rPr>
                            <m:t xml:space="preserve">µ</m:t>
                          </m:r>
                        </m:e>
                        <m:sub>
                          <m:r>
                            <w:rPr>
                              <w:rFonts w:ascii="Cambria Math" w:hAnsi="Cambria Math"/>
                            </w:rPr>
                            <m:t xml:space="preserve">w</m:t>
                          </m:r>
                        </m:sub>
                      </m:sSub>
                    </m:e>
                  </m:acc>
                </m:e>
              </m:d>
            </m:num>
            <m:den>
              <m:r>
                <w:rPr>
                  <w:rFonts w:ascii="Cambria Math" w:hAnsi="Cambria Math"/>
                </w:rPr>
                <m:t xml:space="preserve">var</m:t>
              </m:r>
              <m:d>
                <m:dPr>
                  <m:begChr m:val="("/>
                  <m:endChr m:val=")"/>
                </m:dPr>
                <m:e>
                  <m:acc>
                    <m:accPr>
                      <m:chr m:val="^"/>
                    </m:accPr>
                    <m:e>
                      <m:sSub>
                        <m:e>
                          <m:r>
                            <w:rPr>
                              <w:rFonts w:ascii="Cambria Math" w:hAnsi="Cambria Math"/>
                            </w:rPr>
                            <m:t xml:space="preserve">µ</m:t>
                          </m:r>
                        </m:e>
                        <m:sub>
                          <m:r>
                            <w:rPr>
                              <w:rFonts w:ascii="Cambria Math" w:hAnsi="Cambria Math"/>
                            </w:rPr>
                            <m:t xml:space="preserve">p</m:t>
                          </m:r>
                        </m:sub>
                      </m:sSub>
                    </m:e>
                  </m:acc>
                </m:e>
              </m:d>
            </m:den>
          </m:f>
        </m:oMath>
      </m:oMathPara>
    </w:p>
    <w:p>
      <w:pPr>
        <w:pStyle w:val="Normal"/>
        <w:bidi w:val="0"/>
        <w:spacing w:before="0" w:after="0"/>
        <w:jc w:val="both"/>
        <w:rPr>
          <w:rFonts w:ascii="Liberation Serif" w:hAnsi="Liberation Serif"/>
          <w:b w:val="false"/>
          <w:b w:val="false"/>
          <w:i w:val="false"/>
          <w:i w:val="false"/>
          <w:caps w:val="false"/>
          <w:smallCaps w:val="false"/>
          <w:color w:val="000000"/>
          <w:spacing w:val="0"/>
          <w:sz w:val="24"/>
          <w:szCs w:val="24"/>
          <w:shd w:fill="auto" w:val="clear"/>
        </w:rPr>
      </w:pPr>
      <w:r>
        <w:rPr>
          <w:b w:val="false"/>
          <w:i w:val="false"/>
          <w:caps w:val="false"/>
          <w:smallCaps w:val="false"/>
          <w:color w:val="000000"/>
          <w:spacing w:val="0"/>
          <w:sz w:val="24"/>
          <w:szCs w:val="24"/>
          <w:shd w:fill="auto" w:val="clear"/>
        </w:rPr>
      </w:r>
    </w:p>
    <w:p>
      <w:pPr>
        <w:pStyle w:val="Normal"/>
        <w:bidi w:val="0"/>
        <w:spacing w:before="0" w:after="0"/>
        <w:jc w:val="left"/>
        <w:rPr>
          <w:rFonts w:ascii="Liberation Serif" w:hAnsi="Liberation Serif"/>
          <w:b w:val="false"/>
          <w:b w:val="false"/>
          <w:bCs w:val="false"/>
          <w:i w:val="false"/>
          <w:i w:val="false"/>
          <w:iCs w:val="false"/>
          <w:caps w:val="false"/>
          <w:smallCaps w:val="false"/>
          <w:color w:val="000000"/>
          <w:spacing w:val="0"/>
          <w:sz w:val="24"/>
          <w:szCs w:val="24"/>
          <w:shd w:fill="auto" w:val="clear"/>
        </w:rPr>
      </w:pPr>
      <w:r>
        <w:rPr/>
      </w:r>
      <m:oMathPara xmlns:m="http://schemas.openxmlformats.org/officeDocument/2006/math">
        <m:oMathParaPr>
          <m:jc m:val="left"/>
        </m:oMathParaPr>
        <m:oMath>
          <m:acc>
            <m:accPr>
              <m:chr m:val="^"/>
            </m:accPr>
            <m:e>
              <m:sSub>
                <m:e>
                  <m:r>
                    <w:rPr>
                      <w:rFonts w:ascii="Cambria Math" w:hAnsi="Cambria Math"/>
                    </w:rPr>
                    <m:t xml:space="preserve">acc</m:t>
                  </m:r>
                </m:e>
                <m:sub>
                  <m:r>
                    <w:rPr>
                      <w:rFonts w:ascii="Cambria Math" w:hAnsi="Cambria Math"/>
                    </w:rPr>
                    <m:t xml:space="preserve">w</m:t>
                  </m:r>
                  <m:r>
                    <w:rPr>
                      <w:rFonts w:ascii="Cambria Math" w:hAnsi="Cambria Math"/>
                    </w:rPr>
                    <m:t xml:space="preserve">,</m:t>
                  </m:r>
                  <m:r>
                    <w:rPr>
                      <w:rFonts w:ascii="Cambria Math" w:hAnsi="Cambria Math"/>
                    </w:rPr>
                    <m:t xml:space="preserve">p</m:t>
                  </m:r>
                </m:sub>
              </m:sSub>
            </m:e>
          </m:acc>
          <m:r>
            <w:rPr>
              <w:rFonts w:ascii="Cambria Math" w:hAnsi="Cambria Math"/>
            </w:rPr>
            <m:t xml:space="preserve">=</m:t>
          </m:r>
          <m:rad>
            <m:radPr>
              <m:degHide m:val="1"/>
            </m:radPr>
            <m:deg/>
            <m:e>
              <m:f>
                <m:num>
                  <m:r>
                    <w:rPr>
                      <w:rFonts w:ascii="Cambria Math" w:hAnsi="Cambria Math"/>
                    </w:rPr>
                    <m:t xml:space="preserve">cov</m:t>
                  </m:r>
                  <m:d>
                    <m:dPr>
                      <m:begChr m:val="("/>
                      <m:endChr m:val=")"/>
                    </m:dPr>
                    <m:e>
                      <m:acc>
                        <m:accPr>
                          <m:chr m:val="^"/>
                        </m:accPr>
                        <m:e>
                          <m:sSub>
                            <m:e>
                              <m:r>
                                <w:rPr>
                                  <w:rFonts w:ascii="Cambria Math" w:hAnsi="Cambria Math"/>
                                </w:rPr>
                                <m:t xml:space="preserve">µ</m:t>
                              </m:r>
                            </m:e>
                            <m:sub>
                              <m:r>
                                <w:rPr>
                                  <w:rFonts w:ascii="Cambria Math" w:hAnsi="Cambria Math"/>
                                </w:rPr>
                                <m:t xml:space="preserve">p</m:t>
                              </m:r>
                            </m:sub>
                          </m:sSub>
                        </m:e>
                      </m:acc>
                      <m:r>
                        <w:rPr>
                          <w:rFonts w:ascii="Cambria Math" w:hAnsi="Cambria Math"/>
                        </w:rPr>
                        <m:t xml:space="preserve">,</m:t>
                      </m:r>
                      <m:acc>
                        <m:accPr>
                          <m:chr m:val="^"/>
                        </m:accPr>
                        <m:e>
                          <m:sSub>
                            <m:e>
                              <m:r>
                                <w:rPr>
                                  <w:rFonts w:ascii="Cambria Math" w:hAnsi="Cambria Math"/>
                                </w:rPr>
                                <m:t xml:space="preserve">µ</m:t>
                              </m:r>
                            </m:e>
                            <m:sub>
                              <m:r>
                                <w:rPr>
                                  <w:rFonts w:ascii="Cambria Math" w:hAnsi="Cambria Math"/>
                                </w:rPr>
                                <m:t xml:space="preserve">w</m:t>
                              </m:r>
                            </m:sub>
                          </m:sSub>
                        </m:e>
                      </m:acc>
                    </m:e>
                  </m:d>
                </m:num>
                <m:den>
                  <m:d>
                    <m:dPr>
                      <m:begChr m:val="("/>
                      <m:endChr m:val=")"/>
                    </m:dPr>
                    <m:e>
                      <m:r>
                        <w:rPr>
                          <w:rFonts w:ascii="Cambria Math" w:hAnsi="Cambria Math"/>
                        </w:rPr>
                        <m:t xml:space="preserve">1</m:t>
                      </m:r>
                      <m:r>
                        <w:rPr>
                          <w:rFonts w:ascii="Cambria Math" w:hAnsi="Cambria Math"/>
                        </w:rPr>
                        <m:t xml:space="preserve">−</m:t>
                      </m:r>
                      <m:acc>
                        <m:accPr>
                          <m:chr m:val="¯"/>
                        </m:accPr>
                        <m:e>
                          <m:r>
                            <w:rPr>
                              <w:rFonts w:ascii="Cambria Math" w:hAnsi="Cambria Math"/>
                            </w:rPr>
                            <m:t xml:space="preserve">F</m:t>
                          </m:r>
                        </m:e>
                      </m:acc>
                    </m:e>
                  </m:d>
                  <m:acc>
                    <m:accPr>
                      <m:chr m:val="^"/>
                    </m:accPr>
                    <m:e>
                      <m:sSubSup>
                        <m:e>
                          <m:r>
                            <w:rPr>
                              <w:rFonts w:ascii="Cambria Math" w:hAnsi="Cambria Math"/>
                            </w:rPr>
                            <m:t xml:space="preserve">σ</m:t>
                          </m:r>
                        </m:e>
                        <m:sub>
                          <m:r>
                            <w:rPr>
                              <w:rFonts w:ascii="Cambria Math" w:hAnsi="Cambria Math"/>
                            </w:rPr>
                            <m:t xml:space="preserve">u</m:t>
                          </m:r>
                        </m:sub>
                        <m:sup>
                          <m:r>
                            <w:rPr>
                              <w:rFonts w:ascii="Cambria Math" w:hAnsi="Cambria Math"/>
                            </w:rPr>
                            <m:t xml:space="preserve">2</m:t>
                          </m:r>
                        </m:sup>
                      </m:sSubSup>
                    </m:e>
                  </m:acc>
                </m:den>
              </m:f>
            </m:e>
          </m:rad>
        </m:oMath>
      </m:oMathPara>
    </w:p>
    <w:p>
      <w:pPr>
        <w:pStyle w:val="Normal"/>
        <w:bidi w:val="0"/>
        <w:jc w:val="both"/>
        <w:rPr/>
      </w:pPr>
      <w:r>
        <w:rPr/>
      </w:r>
    </w:p>
    <w:p>
      <w:pPr>
        <w:pStyle w:val="Normal"/>
        <w:bidi w:val="0"/>
        <w:spacing w:before="0" w:after="0"/>
        <w:jc w:val="both"/>
        <w:rPr/>
      </w:pPr>
      <w:r>
        <w:rPr>
          <w:rStyle w:val="Destaquemayor"/>
          <w:b w:val="false"/>
          <w:bCs w:val="false"/>
          <w:shd w:fill="auto" w:val="clear"/>
        </w:rPr>
        <w:t xml:space="preserve">where </w:t>
      </w:r>
      <w:r>
        <w:rPr/>
      </w:r>
      <m:oMath xmlns:m="http://schemas.openxmlformats.org/officeDocument/2006/math">
        <m:acc>
          <m:accPr>
            <m:chr m:val="^"/>
          </m:accPr>
          <m:e>
            <m:sSub>
              <m:e>
                <m:r>
                  <w:rPr>
                    <w:rFonts w:ascii="Cambria Math" w:hAnsi="Cambria Math"/>
                  </w:rPr>
                  <m:t xml:space="preserve">σ</m:t>
                </m:r>
              </m:e>
              <m:sub>
                <m:r>
                  <w:rPr>
                    <w:rFonts w:ascii="Cambria Math" w:hAnsi="Cambria Math"/>
                  </w:rPr>
                  <m:t xml:space="preserve">u</m:t>
                </m:r>
              </m:sub>
            </m:sSub>
          </m:e>
        </m:acc>
      </m:oMath>
      <w:r>
        <w:rPr>
          <w:rStyle w:val="Destaquemayor"/>
          <w:b w:val="false"/>
          <w:bCs w:val="false"/>
          <w:shd w:fill="auto" w:val="clear"/>
        </w:rPr>
        <w:t xml:space="preserve"> is the square root of the additive genetic variance of the trait, </w:t>
      </w:r>
      <w:r>
        <w:rPr/>
      </w:r>
      <m:oMath xmlns:m="http://schemas.openxmlformats.org/officeDocument/2006/math">
        <m:acc>
          <m:accPr>
            <m:chr m:val="¯"/>
          </m:accPr>
          <m:e>
            <m:r>
              <w:rPr>
                <w:rFonts w:ascii="Cambria Math" w:hAnsi="Cambria Math"/>
              </w:rPr>
              <m:t xml:space="preserve">F</m:t>
            </m:r>
          </m:e>
        </m:acc>
      </m:oMath>
      <w:r>
        <w:rPr>
          <w:rStyle w:val="Destaquemayor"/>
          <w:b w:val="false"/>
          <w:bCs w:val="false"/>
          <w:shd w:fill="auto" w:val="clear"/>
        </w:rPr>
        <w:t xml:space="preserve"> is the average inbreeding coefficient, and </w:t>
      </w:r>
      <w:r>
        <w:rPr/>
      </w:r>
      <m:oMath xmlns:m="http://schemas.openxmlformats.org/officeDocument/2006/math">
        <m:acc>
          <m:accPr>
            <m:chr m:val="^"/>
          </m:accPr>
          <m:e>
            <m:sSubSup>
              <m:e>
                <m:r>
                  <w:rPr>
                    <w:rFonts w:ascii="Cambria Math" w:hAnsi="Cambria Math"/>
                  </w:rPr>
                  <m:t xml:space="preserve">σ</m:t>
                </m:r>
              </m:e>
              <m:sub>
                <m:r>
                  <w:rPr>
                    <w:rFonts w:ascii="Cambria Math" w:hAnsi="Cambria Math"/>
                  </w:rPr>
                  <m:t xml:space="preserve">u</m:t>
                </m:r>
              </m:sub>
              <m:sup>
                <m:r>
                  <w:rPr>
                    <w:rFonts w:ascii="Cambria Math" w:hAnsi="Cambria Math"/>
                  </w:rPr>
                  <m:t xml:space="preserve">2</m:t>
                </m:r>
              </m:sup>
            </m:sSubSup>
          </m:e>
        </m:acc>
      </m:oMath>
      <w:r>
        <w:rPr>
          <w:rStyle w:val="Destaquemayor"/>
          <w:b w:val="false"/>
          <w:bCs w:val="false"/>
          <w:shd w:fill="auto" w:val="clear"/>
        </w:rPr>
        <w:t xml:space="preserve"> is the additive genetic variance of the trait. The calculation of these estimators was carried out using the function </w:t>
      </w:r>
      <w:r>
        <w:rPr>
          <w:rStyle w:val="Destaquemayor"/>
          <w:b w:val="false"/>
          <w:bCs w:val="false"/>
          <w:i w:val="false"/>
          <w:iCs w:val="false"/>
          <w:caps w:val="false"/>
          <w:smallCaps w:val="false"/>
          <w:color w:val="000000"/>
          <w:spacing w:val="0"/>
          <w:sz w:val="24"/>
          <w:szCs w:val="24"/>
          <w:u w:val="none"/>
          <w:shd w:fill="auto" w:val="clear"/>
        </w:rPr>
        <w:t xml:space="preserve">compute_LR_stats </w:t>
      </w:r>
      <w:r>
        <w:rPr>
          <w:rStyle w:val="Destaquemayor"/>
          <w:b w:val="false"/>
          <w:bCs w:val="false"/>
          <w:shd w:fill="auto" w:val="clear"/>
        </w:rPr>
        <w:t xml:space="preserve">available in the TuttiFrutty GitHub repository, developed by </w:t>
      </w:r>
      <w:r>
        <w:rPr>
          <w:rStyle w:val="Destaquemayor"/>
          <w:b w:val="false"/>
          <w:bCs w:val="false"/>
          <w:shd w:fill="B2B2B2" w:val="clear"/>
        </w:rPr>
        <w:t>Bonifazi (2023)</w:t>
      </w:r>
      <w:r>
        <w:rPr>
          <w:rStyle w:val="Destaquemayor"/>
          <w:b w:val="false"/>
          <w:bCs w:val="false"/>
          <w:shd w:fill="auto" w:val="clear"/>
        </w:rPr>
        <w:t>. A 95% confidence interval for the accuracy estimate was also obtained using bootstrap, generating 10,000 datasets by sampling with replacement from the focal or validation individuals.</w:t>
      </w:r>
    </w:p>
    <w:p>
      <w:pPr>
        <w:pStyle w:val="Normal"/>
        <w:bidi w:val="0"/>
        <w:spacing w:before="0" w:after="0"/>
        <w:jc w:val="both"/>
        <w:rPr>
          <w:rStyle w:val="Destaquemayor"/>
          <w:b w:val="false"/>
          <w:b w:val="false"/>
          <w:bCs w:val="false"/>
          <w:highlight w:val="none"/>
          <w:shd w:fill="auto" w:val="clear"/>
        </w:rPr>
      </w:pPr>
      <w:r>
        <w:rPr>
          <w:b w:val="false"/>
          <w:bCs w:val="false"/>
          <w:shd w:fill="auto" w:val="clear"/>
        </w:rPr>
      </w:r>
    </w:p>
    <w:p>
      <w:pPr>
        <w:pStyle w:val="Normal"/>
        <w:bidi w:val="0"/>
        <w:jc w:val="both"/>
        <w:rPr>
          <w:b/>
          <w:b/>
          <w:bCs/>
        </w:rPr>
      </w:pPr>
      <w:r>
        <w:rPr>
          <w:b/>
          <w:bCs/>
        </w:rPr>
        <w:t>3. Results</w:t>
      </w:r>
    </w:p>
    <w:p>
      <w:pPr>
        <w:pStyle w:val="Normal"/>
        <w:bidi w:val="0"/>
        <w:jc w:val="both"/>
        <w:rPr/>
      </w:pPr>
      <w:r>
        <w:rPr/>
      </w:r>
    </w:p>
    <w:p>
      <w:pPr>
        <w:pStyle w:val="Normal"/>
        <w:bidi w:val="0"/>
        <w:spacing w:before="0" w:after="0"/>
        <w:jc w:val="both"/>
        <w:rPr>
          <w:rFonts w:ascii="Liberation Serif" w:hAnsi="Liberation Serif"/>
          <w:b w:val="false"/>
          <w:b w:val="false"/>
          <w:i w:val="false"/>
          <w:i w:val="false"/>
          <w:caps w:val="false"/>
          <w:smallCaps w:val="false"/>
          <w:color w:val="000000"/>
          <w:spacing w:val="0"/>
          <w:sz w:val="24"/>
        </w:rPr>
      </w:pPr>
      <w:r>
        <w:rPr>
          <w:rFonts w:eastAsia="Noto Serif CJK SC" w:cs="Lohit Devanagari"/>
          <w:b/>
          <w:bCs/>
          <w:i w:val="false"/>
          <w:iCs w:val="false"/>
          <w:caps w:val="false"/>
          <w:smallCaps w:val="false"/>
          <w:color w:val="000000"/>
          <w:spacing w:val="0"/>
          <w:kern w:val="2"/>
          <w:sz w:val="24"/>
          <w:szCs w:val="24"/>
          <w:u w:val="none"/>
          <w:shd w:fill="auto" w:val="clear"/>
          <w:lang w:val="es-ES" w:eastAsia="zh-CN" w:bidi="hi-IN"/>
        </w:rPr>
        <w:t>3.1. Accuracy, Bias, and Dispersion</w:t>
      </w:r>
      <w:r>
        <w:rPr>
          <w:rFonts w:eastAsia="Noto Serif CJK SC" w:cs="Lohit Devanagari"/>
          <w:b w:val="false"/>
          <w:bCs/>
          <w:i w:val="false"/>
          <w:iCs w:val="false"/>
          <w:caps w:val="false"/>
          <w:smallCaps w:val="false"/>
          <w:color w:val="000000"/>
          <w:spacing w:val="0"/>
          <w:kern w:val="2"/>
          <w:sz w:val="24"/>
          <w:szCs w:val="24"/>
          <w:u w:val="none"/>
          <w:shd w:fill="auto" w:val="clear"/>
          <w:lang w:val="es-ES" w:eastAsia="zh-CN" w:bidi="hi-IN"/>
        </w:rPr>
        <w:t xml:space="preserve"> (</w:t>
      </w:r>
      <w:r>
        <w:rPr>
          <w:rFonts w:eastAsia="Noto Serif CJK SC" w:cs="Lohit Devanagari"/>
          <w:b w:val="false"/>
          <w:bCs/>
          <w:i w:val="false"/>
          <w:iCs w:val="false"/>
          <w:caps w:val="false"/>
          <w:smallCaps w:val="false"/>
          <w:color w:val="000000"/>
          <w:spacing w:val="0"/>
          <w:kern w:val="2"/>
          <w:sz w:val="24"/>
          <w:szCs w:val="24"/>
          <w:u w:val="none"/>
          <w:shd w:fill="FF8000" w:val="clear"/>
          <w:lang w:val="es-ES" w:eastAsia="zh-CN" w:bidi="hi-IN"/>
        </w:rPr>
        <w:t>NOTA: no se si sea necesario incluir un titulo de resultado al ser solo un titulo</w:t>
      </w:r>
      <w:r>
        <w:rPr>
          <w:rFonts w:eastAsia="Noto Serif CJK SC" w:cs="Lohit Devanagari"/>
          <w:b w:val="false"/>
          <w:bCs/>
          <w:i w:val="false"/>
          <w:iCs w:val="false"/>
          <w:caps w:val="false"/>
          <w:smallCaps w:val="false"/>
          <w:color w:val="000000"/>
          <w:spacing w:val="0"/>
          <w:kern w:val="2"/>
          <w:sz w:val="24"/>
          <w:szCs w:val="24"/>
          <w:u w:val="none"/>
          <w:shd w:fill="auto" w:val="clear"/>
          <w:lang w:val="es-ES" w:eastAsia="zh-CN" w:bidi="hi-IN"/>
        </w:rPr>
        <w:t>)</w:t>
      </w:r>
    </w:p>
    <w:p>
      <w:pPr>
        <w:pStyle w:val="Normal"/>
        <w:bidi w:val="0"/>
        <w:jc w:val="both"/>
        <w:rPr/>
      </w:pPr>
      <w:r>
        <w:rPr/>
      </w:r>
    </w:p>
    <w:p>
      <w:pPr>
        <w:pStyle w:val="Normal"/>
        <w:bidi w:val="0"/>
        <w:jc w:val="both"/>
        <w:rPr/>
      </w:pPr>
      <w:r>
        <w:rPr/>
        <w:t>Figure 2 shows the accuracy in each of the evaluated scenarios for the trait age at first calving. In general, as expected, the accuracy of genomic prediction was higher in scenarios where pedigree and genomic information (ssGBLUP) were combined compared to scenario E0, which was based solely on pedigree information (BLUP). Specifically, scenarios E1 to E8 showed an improvement in accuracy, with scenario E7 standing out with the highest accuracy (0.47796), closely followed by E3 (0.47168). The confidence intervals provide a measure of the uncertainty associated with each estimate, being smaller in E0. This highlights that the integration of genomic data can increase the accuracy of GEBV but may also increase the variability of these estimates.</w:t>
      </w:r>
    </w:p>
    <w:p>
      <w:pPr>
        <w:pStyle w:val="Normal"/>
        <w:bidi w:val="0"/>
        <w:jc w:val="both"/>
        <w:rPr/>
      </w:pPr>
      <w:r>
        <w:rPr/>
      </w:r>
    </w:p>
    <w:p>
      <w:pPr>
        <w:pStyle w:val="Normal"/>
        <w:bidi w:val="0"/>
        <w:jc w:val="both"/>
        <w:rPr/>
      </w:pPr>
      <w:r>
        <w:rPr/>
        <w:drawing>
          <wp:anchor behindDoc="0" distT="0" distB="0" distL="0" distR="0" simplePos="0" locked="0" layoutInCell="0" allowOverlap="1" relativeHeight="20">
            <wp:simplePos x="0" y="0"/>
            <wp:positionH relativeFrom="column">
              <wp:align>center</wp:align>
            </wp:positionH>
            <wp:positionV relativeFrom="paragraph">
              <wp:posOffset>635</wp:posOffset>
            </wp:positionV>
            <wp:extent cx="6332220" cy="3161665"/>
            <wp:effectExtent l="0" t="0" r="0" b="0"/>
            <wp:wrapSquare wrapText="largest"/>
            <wp:docPr id="2" name="Imagen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6" descr=""/>
                    <pic:cNvPicPr>
                      <a:picLocks noChangeAspect="1" noChangeArrowheads="1"/>
                    </pic:cNvPicPr>
                  </pic:nvPicPr>
                  <pic:blipFill>
                    <a:blip r:embed="rId3"/>
                    <a:stretch>
                      <a:fillRect/>
                    </a:stretch>
                  </pic:blipFill>
                  <pic:spPr bwMode="auto">
                    <a:xfrm>
                      <a:off x="0" y="0"/>
                      <a:ext cx="6332220" cy="3161665"/>
                    </a:xfrm>
                    <a:prstGeom prst="rect">
                      <a:avLst/>
                    </a:prstGeom>
                  </pic:spPr>
                </pic:pic>
              </a:graphicData>
            </a:graphic>
          </wp:anchor>
        </w:drawing>
      </w:r>
    </w:p>
    <w:p>
      <w:pPr>
        <w:pStyle w:val="Normal"/>
        <w:bidi w:val="0"/>
        <w:spacing w:before="0" w:after="0"/>
        <w:jc w:val="both"/>
        <w:rPr>
          <w:b w:val="false"/>
          <w:b w:val="false"/>
          <w:bCs w:val="false"/>
          <w:i w:val="false"/>
          <w:i w:val="false"/>
          <w:caps w:val="false"/>
          <w:smallCaps w:val="false"/>
          <w:color w:val="000000"/>
          <w:spacing w:val="0"/>
          <w:sz w:val="24"/>
          <w:szCs w:val="24"/>
        </w:rPr>
      </w:pPr>
      <w:r>
        <w:rPr>
          <w:b/>
          <w:bCs/>
          <w:i w:val="false"/>
          <w:caps w:val="false"/>
          <w:smallCaps w:val="false"/>
          <w:color w:val="000000"/>
          <w:spacing w:val="0"/>
          <w:sz w:val="24"/>
          <w:szCs w:val="24"/>
        </w:rPr>
        <w:t>Figure 2.</w:t>
      </w:r>
      <w:r>
        <w:rPr>
          <w:b w:val="false"/>
          <w:bCs w:val="false"/>
          <w:i w:val="false"/>
          <w:caps w:val="false"/>
          <w:smallCaps w:val="false"/>
          <w:color w:val="000000"/>
          <w:spacing w:val="0"/>
          <w:sz w:val="24"/>
          <w:szCs w:val="24"/>
        </w:rPr>
        <w:t xml:space="preserve"> Estimates of accuracy for the trait age at first calving. The bar chart (bottom part of the graph) shows the accuracy estimate, while the error bars (top part of the graph) indicate the 95% confidence interval (UCI, Upper Confidence Interval; LCI, Lower Confidence Interval).</w:t>
      </w:r>
    </w:p>
    <w:p>
      <w:pPr>
        <w:pStyle w:val="Normal"/>
        <w:bidi w:val="0"/>
        <w:jc w:val="both"/>
        <w:rPr/>
      </w:pPr>
      <w:r>
        <w:rPr/>
      </w:r>
    </w:p>
    <w:p>
      <w:pPr>
        <w:pStyle w:val="Normal"/>
        <w:bidi w:val="0"/>
        <w:spacing w:before="0" w:after="0"/>
        <w:jc w:val="both"/>
        <w:rPr>
          <w:b w:val="false"/>
          <w:b w:val="false"/>
          <w:bCs w:val="false"/>
          <w:i w:val="false"/>
          <w:i w:val="false"/>
          <w:caps w:val="false"/>
          <w:smallCaps w:val="false"/>
          <w:color w:val="000000"/>
          <w:spacing w:val="0"/>
          <w:sz w:val="24"/>
          <w:szCs w:val="24"/>
        </w:rPr>
      </w:pPr>
      <w:r>
        <w:rPr>
          <w:b w:val="false"/>
          <w:bCs w:val="false"/>
          <w:i w:val="false"/>
          <w:caps w:val="false"/>
          <w:smallCaps w:val="false"/>
          <w:color w:val="000000"/>
          <w:spacing w:val="0"/>
          <w:sz w:val="24"/>
          <w:szCs w:val="24"/>
        </w:rPr>
        <w:t>The bias and dispersion estimates for the trait of age at first calving can be seen in Table 1. Generally, across all scenarios, undesirable results were observed according to the expected measures (bias equal to 0 in the absence of bias and dispersion equal to 1 in the absence of dispersion). Comparing bias across scenarios, it was higher in E0, while in E7, the GEBV showed the least overestimation (0.08977). Regarding dispersion, there was apparent overdispersion of the GEBV, which was higher in scenarios E6 (1.11394) and E0 (1.10880), and lower in E7 (1.00012).</w:t>
      </w:r>
    </w:p>
    <w:p>
      <w:pPr>
        <w:pStyle w:val="Normal"/>
        <w:bidi w:val="0"/>
        <w:spacing w:before="0" w:after="0"/>
        <w:jc w:val="both"/>
        <w:rPr>
          <w:b w:val="false"/>
          <w:b w:val="false"/>
          <w:bCs w:val="false"/>
          <w:i w:val="false"/>
          <w:i w:val="false"/>
          <w:caps w:val="false"/>
          <w:smallCaps w:val="false"/>
          <w:color w:val="000000"/>
          <w:spacing w:val="0"/>
          <w:sz w:val="24"/>
          <w:szCs w:val="24"/>
        </w:rPr>
      </w:pPr>
      <w:r>
        <w:rPr>
          <w:b w:val="false"/>
          <w:bCs w:val="false"/>
          <w:i w:val="false"/>
          <w:caps w:val="false"/>
          <w:smallCaps w:val="false"/>
          <w:color w:val="000000"/>
          <w:spacing w:val="0"/>
          <w:sz w:val="24"/>
          <w:szCs w:val="24"/>
        </w:rPr>
      </w:r>
    </w:p>
    <w:p>
      <w:pPr>
        <w:pStyle w:val="Normal"/>
        <w:bidi w:val="0"/>
        <w:spacing w:before="0" w:after="0"/>
        <w:jc w:val="both"/>
        <w:rPr/>
      </w:pPr>
      <w:r>
        <w:rPr>
          <w:b/>
          <w:bCs/>
          <w:i w:val="false"/>
          <w:caps w:val="false"/>
          <w:smallCaps w:val="false"/>
          <w:color w:val="000000"/>
          <w:spacing w:val="0"/>
          <w:sz w:val="24"/>
          <w:szCs w:val="24"/>
          <w:shd w:fill="auto" w:val="clear"/>
        </w:rPr>
        <w:t>Table 1.</w:t>
      </w:r>
      <w:r>
        <w:rPr>
          <w:b w:val="false"/>
          <w:bCs w:val="false"/>
          <w:i w:val="false"/>
          <w:caps w:val="false"/>
          <w:smallCaps w:val="false"/>
          <w:color w:val="000000"/>
          <w:spacing w:val="0"/>
          <w:sz w:val="24"/>
          <w:szCs w:val="24"/>
          <w:shd w:fill="auto" w:val="clear"/>
        </w:rPr>
        <w:t xml:space="preserve"> Estimates of bias and dispersion for the trait age at first calving.</w:t>
      </w:r>
    </w:p>
    <w:p>
      <w:pPr>
        <w:pStyle w:val="Normal"/>
        <w:bidi w:val="0"/>
        <w:spacing w:before="0" w:after="0"/>
        <w:jc w:val="both"/>
        <w:rPr>
          <w:rFonts w:ascii="Liberation Serif" w:hAnsi="Liberation Serif"/>
          <w:b w:val="false"/>
          <w:b w:val="false"/>
          <w:bCs w:val="false"/>
          <w:i w:val="false"/>
          <w:i w:val="false"/>
          <w:caps w:val="false"/>
          <w:smallCaps w:val="false"/>
          <w:color w:val="000000"/>
          <w:spacing w:val="0"/>
          <w:sz w:val="20"/>
          <w:szCs w:val="20"/>
        </w:rPr>
      </w:pPr>
      <w:r>
        <w:rPr>
          <w:b w:val="false"/>
          <w:bCs w:val="false"/>
          <w:i w:val="false"/>
          <w:caps w:val="false"/>
          <w:smallCaps w:val="false"/>
          <w:color w:val="000000"/>
          <w:spacing w:val="0"/>
          <w:sz w:val="20"/>
          <w:szCs w:val="20"/>
        </w:rPr>
      </w:r>
    </w:p>
    <w:tbl>
      <w:tblPr>
        <w:tblW w:w="5000" w:type="pct"/>
        <w:jc w:val="left"/>
        <w:tblInd w:w="0" w:type="dxa"/>
        <w:tblLayout w:type="fixed"/>
        <w:tblCellMar>
          <w:top w:w="0" w:type="dxa"/>
          <w:left w:w="0" w:type="dxa"/>
          <w:bottom w:w="0" w:type="dxa"/>
          <w:right w:w="0" w:type="dxa"/>
        </w:tblCellMar>
      </w:tblPr>
      <w:tblGrid>
        <w:gridCol w:w="3324"/>
        <w:gridCol w:w="3324"/>
        <w:gridCol w:w="3324"/>
      </w:tblGrid>
      <w:tr>
        <w:trPr/>
        <w:tc>
          <w:tcPr>
            <w:tcW w:w="3324" w:type="dxa"/>
            <w:tcBorders>
              <w:top w:val="single" w:sz="6" w:space="0" w:color="000000"/>
              <w:bottom w:val="single" w:sz="6" w:space="0" w:color="000000"/>
            </w:tcBorders>
          </w:tcPr>
          <w:p>
            <w:pPr>
              <w:pStyle w:val="Contenidodelatabla"/>
              <w:widowControl w:val="false"/>
              <w:bidi w:val="0"/>
              <w:jc w:val="center"/>
              <w:rPr>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Scenarios</w:t>
            </w:r>
          </w:p>
        </w:tc>
        <w:tc>
          <w:tcPr>
            <w:tcW w:w="3324" w:type="dxa"/>
            <w:tcBorders>
              <w:top w:val="single" w:sz="6" w:space="0" w:color="000000"/>
              <w:bottom w:val="single" w:sz="6" w:space="0" w:color="000000"/>
            </w:tcBorders>
          </w:tcPr>
          <w:p>
            <w:pPr>
              <w:pStyle w:val="Contenidodelatabla"/>
              <w:widowControl w:val="false"/>
              <w:bidi w:val="0"/>
              <w:jc w:val="center"/>
              <w:rPr>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Bias</w:t>
            </w:r>
          </w:p>
        </w:tc>
        <w:tc>
          <w:tcPr>
            <w:tcW w:w="3324" w:type="dxa"/>
            <w:tcBorders>
              <w:top w:val="single" w:sz="6" w:space="0" w:color="000000"/>
              <w:bottom w:val="single" w:sz="6" w:space="0" w:color="000000"/>
            </w:tcBorders>
          </w:tcPr>
          <w:p>
            <w:pPr>
              <w:pStyle w:val="Contenidodelatabla"/>
              <w:widowControl w:val="false"/>
              <w:bidi w:val="0"/>
              <w:jc w:val="center"/>
              <w:rPr>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Dispersion</w:t>
            </w:r>
          </w:p>
        </w:tc>
      </w:tr>
      <w:tr>
        <w:trPr/>
        <w:tc>
          <w:tcPr>
            <w:tcW w:w="3324" w:type="dxa"/>
            <w:tcBorders/>
          </w:tcPr>
          <w:p>
            <w:pPr>
              <w:pStyle w:val="Contenidodelatabla"/>
              <w:widowControl w:val="false"/>
              <w:bidi w:val="0"/>
              <w:jc w:val="center"/>
              <w:rPr>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E0</w:t>
            </w:r>
          </w:p>
        </w:tc>
        <w:tc>
          <w:tcPr>
            <w:tcW w:w="3324"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5</w:t>
            </w:r>
            <w:r>
              <w:rPr>
                <w:b w:val="false"/>
                <w:bCs w:val="false"/>
                <w:i w:val="false"/>
                <w:iCs w:val="false"/>
                <w:strike w:val="false"/>
                <w:dstrike w:val="false"/>
                <w:outline w:val="false"/>
                <w:shadow w:val="false"/>
                <w:color w:val="000000"/>
                <w:sz w:val="24"/>
                <w:szCs w:val="24"/>
                <w:u w:val="none"/>
              </w:rPr>
              <w:t>.</w:t>
            </w:r>
            <w:r>
              <w:rPr>
                <w:b w:val="false"/>
                <w:bCs w:val="false"/>
                <w:i w:val="false"/>
                <w:iCs w:val="false"/>
                <w:strike w:val="false"/>
                <w:dstrike w:val="false"/>
                <w:outline w:val="false"/>
                <w:shadow w:val="false"/>
                <w:color w:val="000000"/>
                <w:sz w:val="24"/>
                <w:szCs w:val="24"/>
                <w:u w:val="none"/>
              </w:rPr>
              <w:t>39</w:t>
            </w:r>
          </w:p>
        </w:tc>
        <w:tc>
          <w:tcPr>
            <w:tcW w:w="3324"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w:t>
            </w:r>
            <w:r>
              <w:rPr>
                <w:b w:val="false"/>
                <w:bCs w:val="false"/>
                <w:i w:val="false"/>
                <w:iCs w:val="false"/>
                <w:strike w:val="false"/>
                <w:dstrike w:val="false"/>
                <w:outline w:val="false"/>
                <w:shadow w:val="false"/>
                <w:color w:val="000000"/>
                <w:sz w:val="24"/>
                <w:szCs w:val="24"/>
                <w:u w:val="none"/>
              </w:rPr>
              <w:t>06</w:t>
            </w:r>
          </w:p>
        </w:tc>
      </w:tr>
      <w:tr>
        <w:trPr/>
        <w:tc>
          <w:tcPr>
            <w:tcW w:w="3324" w:type="dxa"/>
            <w:tcBorders/>
          </w:tcPr>
          <w:p>
            <w:pPr>
              <w:pStyle w:val="Contenidodelatabla"/>
              <w:widowControl w:val="false"/>
              <w:bidi w:val="0"/>
              <w:jc w:val="center"/>
              <w:rPr>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E1</w:t>
            </w:r>
          </w:p>
        </w:tc>
        <w:tc>
          <w:tcPr>
            <w:tcW w:w="3324"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4</w:t>
            </w:r>
            <w:r>
              <w:rPr>
                <w:b w:val="false"/>
                <w:bCs w:val="false"/>
                <w:i w:val="false"/>
                <w:iCs w:val="false"/>
                <w:strike w:val="false"/>
                <w:dstrike w:val="false"/>
                <w:outline w:val="false"/>
                <w:shadow w:val="false"/>
                <w:color w:val="000000"/>
                <w:sz w:val="24"/>
                <w:szCs w:val="24"/>
                <w:u w:val="none"/>
              </w:rPr>
              <w:t>.</w:t>
            </w:r>
            <w:r>
              <w:rPr>
                <w:b w:val="false"/>
                <w:bCs w:val="false"/>
                <w:i w:val="false"/>
                <w:iCs w:val="false"/>
                <w:strike w:val="false"/>
                <w:dstrike w:val="false"/>
                <w:outline w:val="false"/>
                <w:shadow w:val="false"/>
                <w:color w:val="000000"/>
                <w:sz w:val="24"/>
                <w:szCs w:val="24"/>
                <w:u w:val="none"/>
              </w:rPr>
              <w:t>8</w:t>
            </w:r>
            <w:r>
              <w:rPr>
                <w:b w:val="false"/>
                <w:bCs w:val="false"/>
                <w:i w:val="false"/>
                <w:iCs w:val="false"/>
                <w:strike w:val="false"/>
                <w:dstrike w:val="false"/>
                <w:outline w:val="false"/>
                <w:shadow w:val="false"/>
                <w:color w:val="000000"/>
                <w:sz w:val="24"/>
                <w:szCs w:val="24"/>
                <w:u w:val="none"/>
              </w:rPr>
              <w:t>9</w:t>
            </w:r>
          </w:p>
        </w:tc>
        <w:tc>
          <w:tcPr>
            <w:tcW w:w="3324"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1.0</w:t>
            </w:r>
            <w:r>
              <w:rPr>
                <w:b w:val="false"/>
                <w:bCs w:val="false"/>
                <w:i w:val="false"/>
                <w:iCs w:val="false"/>
                <w:strike w:val="false"/>
                <w:dstrike w:val="false"/>
                <w:outline w:val="false"/>
                <w:shadow w:val="false"/>
                <w:color w:val="000000"/>
                <w:sz w:val="24"/>
                <w:szCs w:val="24"/>
                <w:u w:val="none"/>
              </w:rPr>
              <w:t>3</w:t>
            </w:r>
          </w:p>
        </w:tc>
      </w:tr>
      <w:tr>
        <w:trPr/>
        <w:tc>
          <w:tcPr>
            <w:tcW w:w="3324" w:type="dxa"/>
            <w:tcBorders/>
          </w:tcPr>
          <w:p>
            <w:pPr>
              <w:pStyle w:val="Contenidodelatabla"/>
              <w:widowControl w:val="false"/>
              <w:bidi w:val="0"/>
              <w:jc w:val="center"/>
              <w:rPr>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E2</w:t>
            </w:r>
          </w:p>
        </w:tc>
        <w:tc>
          <w:tcPr>
            <w:tcW w:w="3324"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5</w:t>
            </w:r>
            <w:r>
              <w:rPr>
                <w:b w:val="false"/>
                <w:bCs w:val="false"/>
                <w:i w:val="false"/>
                <w:iCs w:val="false"/>
                <w:strike w:val="false"/>
                <w:dstrike w:val="false"/>
                <w:outline w:val="false"/>
                <w:shadow w:val="false"/>
                <w:color w:val="000000"/>
                <w:sz w:val="24"/>
                <w:szCs w:val="24"/>
                <w:u w:val="none"/>
              </w:rPr>
              <w:t>.</w:t>
            </w:r>
            <w:r>
              <w:rPr>
                <w:b w:val="false"/>
                <w:bCs w:val="false"/>
                <w:i w:val="false"/>
                <w:iCs w:val="false"/>
                <w:strike w:val="false"/>
                <w:dstrike w:val="false"/>
                <w:outline w:val="false"/>
                <w:shadow w:val="false"/>
                <w:color w:val="000000"/>
                <w:sz w:val="24"/>
                <w:szCs w:val="24"/>
                <w:u w:val="none"/>
              </w:rPr>
              <w:t>08</w:t>
            </w:r>
          </w:p>
        </w:tc>
        <w:tc>
          <w:tcPr>
            <w:tcW w:w="3324"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1.09</w:t>
            </w:r>
          </w:p>
        </w:tc>
      </w:tr>
      <w:tr>
        <w:trPr/>
        <w:tc>
          <w:tcPr>
            <w:tcW w:w="3324" w:type="dxa"/>
            <w:tcBorders/>
          </w:tcPr>
          <w:p>
            <w:pPr>
              <w:pStyle w:val="Contenidodelatabla"/>
              <w:widowControl w:val="false"/>
              <w:bidi w:val="0"/>
              <w:jc w:val="center"/>
              <w:rPr>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E3</w:t>
            </w:r>
          </w:p>
        </w:tc>
        <w:tc>
          <w:tcPr>
            <w:tcW w:w="3324"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4</w:t>
            </w:r>
            <w:r>
              <w:rPr>
                <w:b w:val="false"/>
                <w:bCs w:val="false"/>
                <w:i w:val="false"/>
                <w:iCs w:val="false"/>
                <w:strike w:val="false"/>
                <w:dstrike w:val="false"/>
                <w:outline w:val="false"/>
                <w:shadow w:val="false"/>
                <w:color w:val="000000"/>
                <w:sz w:val="24"/>
                <w:szCs w:val="24"/>
                <w:u w:val="none"/>
              </w:rPr>
              <w:t>.</w:t>
            </w:r>
            <w:r>
              <w:rPr>
                <w:b w:val="false"/>
                <w:bCs w:val="false"/>
                <w:i w:val="false"/>
                <w:iCs w:val="false"/>
                <w:strike w:val="false"/>
                <w:dstrike w:val="false"/>
                <w:outline w:val="false"/>
                <w:shadow w:val="false"/>
                <w:color w:val="000000"/>
                <w:sz w:val="24"/>
                <w:szCs w:val="24"/>
                <w:u w:val="none"/>
              </w:rPr>
              <w:t>4</w:t>
            </w:r>
            <w:r>
              <w:rPr>
                <w:b w:val="false"/>
                <w:bCs w:val="false"/>
                <w:i w:val="false"/>
                <w:iCs w:val="false"/>
                <w:strike w:val="false"/>
                <w:dstrike w:val="false"/>
                <w:outline w:val="false"/>
                <w:shadow w:val="false"/>
                <w:color w:val="000000"/>
                <w:sz w:val="24"/>
                <w:szCs w:val="24"/>
                <w:u w:val="none"/>
              </w:rPr>
              <w:t>6</w:t>
            </w:r>
          </w:p>
        </w:tc>
        <w:tc>
          <w:tcPr>
            <w:tcW w:w="3324"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w:t>
            </w:r>
            <w:r>
              <w:rPr>
                <w:b w:val="false"/>
                <w:bCs w:val="false"/>
                <w:i w:val="false"/>
                <w:iCs w:val="false"/>
                <w:strike w:val="false"/>
                <w:dstrike w:val="false"/>
                <w:outline w:val="false"/>
                <w:shadow w:val="false"/>
                <w:color w:val="000000"/>
                <w:sz w:val="24"/>
                <w:szCs w:val="24"/>
                <w:u w:val="none"/>
              </w:rPr>
              <w:t>.</w:t>
            </w:r>
            <w:r>
              <w:rPr>
                <w:b w:val="false"/>
                <w:bCs w:val="false"/>
                <w:i w:val="false"/>
                <w:iCs w:val="false"/>
                <w:strike w:val="false"/>
                <w:dstrike w:val="false"/>
                <w:outline w:val="false"/>
                <w:shadow w:val="false"/>
                <w:color w:val="000000"/>
                <w:sz w:val="24"/>
                <w:szCs w:val="24"/>
                <w:u w:val="none"/>
              </w:rPr>
              <w:t>0</w:t>
            </w:r>
          </w:p>
        </w:tc>
      </w:tr>
      <w:tr>
        <w:trPr/>
        <w:tc>
          <w:tcPr>
            <w:tcW w:w="3324" w:type="dxa"/>
            <w:tcBorders/>
          </w:tcPr>
          <w:p>
            <w:pPr>
              <w:pStyle w:val="Contenidodelatabla"/>
              <w:widowControl w:val="false"/>
              <w:bidi w:val="0"/>
              <w:jc w:val="center"/>
              <w:rPr>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E4</w:t>
            </w:r>
          </w:p>
        </w:tc>
        <w:tc>
          <w:tcPr>
            <w:tcW w:w="3324"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4</w:t>
            </w:r>
            <w:r>
              <w:rPr>
                <w:b w:val="false"/>
                <w:bCs w:val="false"/>
                <w:i w:val="false"/>
                <w:iCs w:val="false"/>
                <w:strike w:val="false"/>
                <w:dstrike w:val="false"/>
                <w:outline w:val="false"/>
                <w:shadow w:val="false"/>
                <w:color w:val="000000"/>
                <w:sz w:val="24"/>
                <w:szCs w:val="24"/>
                <w:u w:val="none"/>
              </w:rPr>
              <w:t>.</w:t>
            </w:r>
            <w:r>
              <w:rPr>
                <w:b w:val="false"/>
                <w:bCs w:val="false"/>
                <w:i w:val="false"/>
                <w:iCs w:val="false"/>
                <w:strike w:val="false"/>
                <w:dstrike w:val="false"/>
                <w:outline w:val="false"/>
                <w:shadow w:val="false"/>
                <w:color w:val="000000"/>
                <w:sz w:val="24"/>
                <w:szCs w:val="24"/>
                <w:u w:val="none"/>
              </w:rPr>
              <w:t>96</w:t>
            </w:r>
          </w:p>
        </w:tc>
        <w:tc>
          <w:tcPr>
            <w:tcW w:w="3324"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w:t>
            </w:r>
            <w:r>
              <w:rPr>
                <w:b w:val="false"/>
                <w:bCs w:val="false"/>
                <w:i w:val="false"/>
                <w:iCs w:val="false"/>
                <w:strike w:val="false"/>
                <w:dstrike w:val="false"/>
                <w:outline w:val="false"/>
                <w:shadow w:val="false"/>
                <w:color w:val="000000"/>
                <w:sz w:val="24"/>
                <w:szCs w:val="24"/>
                <w:u w:val="none"/>
              </w:rPr>
              <w:t>.0</w:t>
            </w:r>
            <w:r>
              <w:rPr>
                <w:b w:val="false"/>
                <w:bCs w:val="false"/>
                <w:i w:val="false"/>
                <w:iCs w:val="false"/>
                <w:strike w:val="false"/>
                <w:dstrike w:val="false"/>
                <w:outline w:val="false"/>
                <w:shadow w:val="false"/>
                <w:color w:val="000000"/>
                <w:sz w:val="24"/>
                <w:szCs w:val="24"/>
                <w:u w:val="none"/>
              </w:rPr>
              <w:t>8</w:t>
            </w:r>
          </w:p>
        </w:tc>
      </w:tr>
      <w:tr>
        <w:trPr/>
        <w:tc>
          <w:tcPr>
            <w:tcW w:w="3324" w:type="dxa"/>
            <w:tcBorders/>
          </w:tcPr>
          <w:p>
            <w:pPr>
              <w:pStyle w:val="Contenidodelatabla"/>
              <w:widowControl w:val="false"/>
              <w:bidi w:val="0"/>
              <w:jc w:val="center"/>
              <w:rPr>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E5</w:t>
            </w:r>
          </w:p>
        </w:tc>
        <w:tc>
          <w:tcPr>
            <w:tcW w:w="3324"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4</w:t>
            </w:r>
            <w:r>
              <w:rPr>
                <w:b w:val="false"/>
                <w:bCs w:val="false"/>
                <w:i w:val="false"/>
                <w:iCs w:val="false"/>
                <w:strike w:val="false"/>
                <w:dstrike w:val="false"/>
                <w:outline w:val="false"/>
                <w:shadow w:val="false"/>
                <w:color w:val="000000"/>
                <w:sz w:val="24"/>
                <w:szCs w:val="24"/>
                <w:u w:val="none"/>
              </w:rPr>
              <w:t>.</w:t>
            </w:r>
            <w:r>
              <w:rPr>
                <w:b w:val="false"/>
                <w:bCs w:val="false"/>
                <w:i w:val="false"/>
                <w:iCs w:val="false"/>
                <w:strike w:val="false"/>
                <w:dstrike w:val="false"/>
                <w:outline w:val="false"/>
                <w:shadow w:val="false"/>
                <w:color w:val="000000"/>
                <w:sz w:val="24"/>
                <w:szCs w:val="24"/>
                <w:u w:val="none"/>
              </w:rPr>
              <w:t>87</w:t>
            </w:r>
          </w:p>
        </w:tc>
        <w:tc>
          <w:tcPr>
            <w:tcW w:w="3324"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1.0</w:t>
            </w:r>
            <w:r>
              <w:rPr>
                <w:b w:val="false"/>
                <w:bCs w:val="false"/>
                <w:i w:val="false"/>
                <w:iCs w:val="false"/>
                <w:strike w:val="false"/>
                <w:dstrike w:val="false"/>
                <w:outline w:val="false"/>
                <w:shadow w:val="false"/>
                <w:color w:val="000000"/>
                <w:sz w:val="24"/>
                <w:szCs w:val="24"/>
                <w:u w:val="none"/>
              </w:rPr>
              <w:t>4</w:t>
            </w:r>
          </w:p>
        </w:tc>
      </w:tr>
      <w:tr>
        <w:trPr/>
        <w:tc>
          <w:tcPr>
            <w:tcW w:w="3324" w:type="dxa"/>
            <w:tcBorders/>
          </w:tcPr>
          <w:p>
            <w:pPr>
              <w:pStyle w:val="Contenidodelatabla"/>
              <w:widowControl w:val="false"/>
              <w:bidi w:val="0"/>
              <w:jc w:val="center"/>
              <w:rPr>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E6</w:t>
            </w:r>
          </w:p>
        </w:tc>
        <w:tc>
          <w:tcPr>
            <w:tcW w:w="3324"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5</w:t>
            </w:r>
            <w:r>
              <w:rPr>
                <w:b w:val="false"/>
                <w:bCs w:val="false"/>
                <w:i w:val="false"/>
                <w:iCs w:val="false"/>
                <w:strike w:val="false"/>
                <w:dstrike w:val="false"/>
                <w:outline w:val="false"/>
                <w:shadow w:val="false"/>
                <w:color w:val="000000"/>
                <w:sz w:val="24"/>
                <w:szCs w:val="24"/>
                <w:u w:val="none"/>
              </w:rPr>
              <w:t>.</w:t>
            </w:r>
            <w:r>
              <w:rPr>
                <w:b w:val="false"/>
                <w:bCs w:val="false"/>
                <w:i w:val="false"/>
                <w:iCs w:val="false"/>
                <w:strike w:val="false"/>
                <w:dstrike w:val="false"/>
                <w:outline w:val="false"/>
                <w:shadow w:val="false"/>
                <w:color w:val="000000"/>
                <w:sz w:val="24"/>
                <w:szCs w:val="24"/>
                <w:u w:val="none"/>
              </w:rPr>
              <w:t>07</w:t>
            </w:r>
          </w:p>
        </w:tc>
        <w:tc>
          <w:tcPr>
            <w:tcW w:w="3324"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1.1</w:t>
            </w:r>
            <w:r>
              <w:rPr>
                <w:b w:val="false"/>
                <w:bCs w:val="false"/>
                <w:i w:val="false"/>
                <w:iCs w:val="false"/>
                <w:strike w:val="false"/>
                <w:dstrike w:val="false"/>
                <w:outline w:val="false"/>
                <w:shadow w:val="false"/>
                <w:color w:val="000000"/>
                <w:sz w:val="24"/>
                <w:szCs w:val="24"/>
                <w:u w:val="none"/>
              </w:rPr>
              <w:t>0</w:t>
            </w:r>
          </w:p>
        </w:tc>
      </w:tr>
      <w:tr>
        <w:trPr/>
        <w:tc>
          <w:tcPr>
            <w:tcW w:w="3324" w:type="dxa"/>
            <w:tcBorders/>
          </w:tcPr>
          <w:p>
            <w:pPr>
              <w:pStyle w:val="Contenidodelatabla"/>
              <w:widowControl w:val="false"/>
              <w:bidi w:val="0"/>
              <w:jc w:val="center"/>
              <w:rPr>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E7</w:t>
            </w:r>
          </w:p>
        </w:tc>
        <w:tc>
          <w:tcPr>
            <w:tcW w:w="3324"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4</w:t>
            </w:r>
            <w:r>
              <w:rPr>
                <w:b w:val="false"/>
                <w:bCs w:val="false"/>
                <w:i w:val="false"/>
                <w:iCs w:val="false"/>
                <w:strike w:val="false"/>
                <w:dstrike w:val="false"/>
                <w:outline w:val="false"/>
                <w:shadow w:val="false"/>
                <w:color w:val="000000"/>
                <w:sz w:val="24"/>
                <w:szCs w:val="24"/>
                <w:u w:val="none"/>
              </w:rPr>
              <w:t>.</w:t>
            </w:r>
            <w:r>
              <w:rPr>
                <w:b w:val="false"/>
                <w:bCs w:val="false"/>
                <w:i w:val="false"/>
                <w:iCs w:val="false"/>
                <w:strike w:val="false"/>
                <w:dstrike w:val="false"/>
                <w:outline w:val="false"/>
                <w:shadow w:val="false"/>
                <w:color w:val="000000"/>
                <w:sz w:val="24"/>
                <w:szCs w:val="24"/>
                <w:u w:val="none"/>
              </w:rPr>
              <w:t>43</w:t>
            </w:r>
          </w:p>
        </w:tc>
        <w:tc>
          <w:tcPr>
            <w:tcW w:w="3324"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0</w:t>
            </w:r>
            <w:r>
              <w:rPr>
                <w:b w:val="false"/>
                <w:bCs w:val="false"/>
                <w:i w:val="false"/>
                <w:iCs w:val="false"/>
                <w:strike w:val="false"/>
                <w:dstrike w:val="false"/>
                <w:outline w:val="false"/>
                <w:shadow w:val="false"/>
                <w:color w:val="000000"/>
                <w:sz w:val="24"/>
                <w:szCs w:val="24"/>
                <w:u w:val="none"/>
              </w:rPr>
              <w:t>.</w:t>
            </w:r>
            <w:r>
              <w:rPr>
                <w:b w:val="false"/>
                <w:bCs w:val="false"/>
                <w:i w:val="false"/>
                <w:iCs w:val="false"/>
                <w:strike w:val="false"/>
                <w:dstrike w:val="false"/>
                <w:outline w:val="false"/>
                <w:shadow w:val="false"/>
                <w:color w:val="000000"/>
                <w:sz w:val="24"/>
                <w:szCs w:val="24"/>
                <w:u w:val="none"/>
              </w:rPr>
              <w:t>99</w:t>
            </w:r>
          </w:p>
        </w:tc>
      </w:tr>
      <w:tr>
        <w:trPr/>
        <w:tc>
          <w:tcPr>
            <w:tcW w:w="3324" w:type="dxa"/>
            <w:tcBorders>
              <w:bottom w:val="single" w:sz="6" w:space="0" w:color="000000"/>
            </w:tcBorders>
          </w:tcPr>
          <w:p>
            <w:pPr>
              <w:pStyle w:val="Contenidodelatabla"/>
              <w:widowControl w:val="false"/>
              <w:bidi w:val="0"/>
              <w:jc w:val="center"/>
              <w:rPr>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E8</w:t>
            </w:r>
          </w:p>
        </w:tc>
        <w:tc>
          <w:tcPr>
            <w:tcW w:w="3324" w:type="dxa"/>
            <w:tcBorders>
              <w:bottom w:val="single" w:sz="6" w:space="0" w:color="000000"/>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4</w:t>
            </w:r>
            <w:r>
              <w:rPr>
                <w:b w:val="false"/>
                <w:bCs w:val="false"/>
                <w:i w:val="false"/>
                <w:iCs w:val="false"/>
                <w:strike w:val="false"/>
                <w:dstrike w:val="false"/>
                <w:outline w:val="false"/>
                <w:shadow w:val="false"/>
                <w:color w:val="000000"/>
                <w:sz w:val="24"/>
                <w:szCs w:val="24"/>
                <w:u w:val="none"/>
              </w:rPr>
              <w:t>.</w:t>
            </w:r>
            <w:r>
              <w:rPr>
                <w:b w:val="false"/>
                <w:bCs w:val="false"/>
                <w:i w:val="false"/>
                <w:iCs w:val="false"/>
                <w:strike w:val="false"/>
                <w:dstrike w:val="false"/>
                <w:outline w:val="false"/>
                <w:shadow w:val="false"/>
                <w:color w:val="000000"/>
                <w:sz w:val="24"/>
                <w:szCs w:val="24"/>
                <w:u w:val="none"/>
              </w:rPr>
              <w:t>60</w:t>
            </w:r>
          </w:p>
        </w:tc>
        <w:tc>
          <w:tcPr>
            <w:tcW w:w="3324" w:type="dxa"/>
            <w:tcBorders>
              <w:bottom w:val="single" w:sz="6" w:space="0" w:color="000000"/>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1.0</w:t>
            </w:r>
            <w:r>
              <w:rPr>
                <w:b w:val="false"/>
                <w:bCs w:val="false"/>
                <w:i w:val="false"/>
                <w:iCs w:val="false"/>
                <w:strike w:val="false"/>
                <w:dstrike w:val="false"/>
                <w:outline w:val="false"/>
                <w:shadow w:val="false"/>
                <w:color w:val="000000"/>
                <w:sz w:val="24"/>
                <w:szCs w:val="24"/>
                <w:u w:val="none"/>
              </w:rPr>
              <w:t>2</w:t>
            </w:r>
          </w:p>
        </w:tc>
      </w:tr>
    </w:tbl>
    <w:p>
      <w:pPr>
        <w:pStyle w:val="Normal"/>
        <w:bidi w:val="0"/>
        <w:spacing w:before="0" w:after="0"/>
        <w:jc w:val="both"/>
        <w:rPr>
          <w:b w:val="false"/>
          <w:b w:val="false"/>
          <w:bCs w:val="false"/>
          <w:i w:val="false"/>
          <w:i w:val="false"/>
          <w:caps w:val="false"/>
          <w:smallCaps w:val="false"/>
          <w:color w:val="000000"/>
          <w:spacing w:val="0"/>
          <w:sz w:val="20"/>
          <w:szCs w:val="20"/>
        </w:rPr>
      </w:pPr>
      <w:r>
        <w:rPr>
          <w:b w:val="false"/>
          <w:bCs w:val="false"/>
          <w:i w:val="false"/>
          <w:caps w:val="false"/>
          <w:smallCaps w:val="false"/>
          <w:color w:val="000000"/>
          <w:spacing w:val="0"/>
          <w:sz w:val="20"/>
          <w:szCs w:val="20"/>
        </w:rPr>
        <w:t>E0, without genotype information; E1, genotypes with a density of 43,421 markers; E2, genotypes with a density of 579,424 markers; E3, genotypes with a density of 5,534 markers; E4, genotypes with a density of 97,779 markers; E5, genotypes with a density of 13,961 markers; E6, genotypes with a density of 203,612 markers; E7, genotypes with a density of 5,000 markers; E8, genotypes with a density of 13,999 markers.</w:t>
      </w:r>
    </w:p>
    <w:p>
      <w:pPr>
        <w:pStyle w:val="Normal"/>
        <w:bidi w:val="0"/>
        <w:spacing w:before="0" w:after="0"/>
        <w:jc w:val="both"/>
        <w:rPr>
          <w:b w:val="false"/>
          <w:b w:val="false"/>
          <w:bCs w:val="false"/>
          <w:i w:val="false"/>
          <w:i w:val="false"/>
          <w:caps w:val="false"/>
          <w:smallCaps w:val="false"/>
          <w:color w:val="000000"/>
          <w:spacing w:val="0"/>
          <w:sz w:val="24"/>
          <w:szCs w:val="24"/>
        </w:rPr>
      </w:pPr>
      <w:r>
        <w:rPr>
          <w:b w:val="false"/>
          <w:bCs w:val="false"/>
          <w:i w:val="false"/>
          <w:caps w:val="false"/>
          <w:smallCaps w:val="false"/>
          <w:color w:val="000000"/>
          <w:spacing w:val="0"/>
          <w:sz w:val="24"/>
          <w:szCs w:val="24"/>
        </w:rPr>
      </w:r>
    </w:p>
    <w:p>
      <w:pPr>
        <w:pStyle w:val="Normal"/>
        <w:bidi w:val="0"/>
        <w:spacing w:before="0" w:after="0"/>
        <w:jc w:val="both"/>
        <w:rPr>
          <w:b w:val="false"/>
          <w:b w:val="false"/>
          <w:bCs w:val="false"/>
          <w:i w:val="false"/>
          <w:i w:val="false"/>
          <w:caps w:val="false"/>
          <w:smallCaps w:val="false"/>
          <w:color w:val="000000"/>
          <w:spacing w:val="0"/>
          <w:sz w:val="24"/>
          <w:szCs w:val="24"/>
        </w:rPr>
      </w:pPr>
      <w:r>
        <w:rPr>
          <w:b w:val="false"/>
          <w:bCs w:val="false"/>
          <w:i w:val="false"/>
          <w:caps w:val="false"/>
          <w:smallCaps w:val="false"/>
          <w:color w:val="000000"/>
          <w:spacing w:val="0"/>
          <w:sz w:val="24"/>
          <w:szCs w:val="24"/>
        </w:rPr>
        <w:t>For the trait of the interval between the first and second calving (Figure 3), a generally similar pattern was observed as previously presented for the age at first calving. The accuracy of the GEBV was higher in scenario E7, and overall, this accuracy was greater in scenarios where ssGBLUP was used, with values ranging from 0.39320 to 0.41911, compared to BLUP (0.34921). However, the uncertainty associated with the estimation of the GEBV was lower in scenario E0.</w:t>
      </w:r>
    </w:p>
    <w:p>
      <w:pPr>
        <w:pStyle w:val="Normal"/>
        <w:bidi w:val="0"/>
        <w:spacing w:before="0" w:after="0"/>
        <w:jc w:val="both"/>
        <w:rPr>
          <w:b w:val="false"/>
          <w:b w:val="false"/>
          <w:bCs w:val="false"/>
          <w:i w:val="false"/>
          <w:i w:val="false"/>
          <w:caps w:val="false"/>
          <w:smallCaps w:val="false"/>
          <w:color w:val="000000"/>
          <w:spacing w:val="0"/>
          <w:sz w:val="24"/>
          <w:szCs w:val="24"/>
        </w:rPr>
      </w:pPr>
      <w:r>
        <w:rPr>
          <w:b w:val="false"/>
          <w:bCs w:val="false"/>
          <w:i w:val="false"/>
          <w:caps w:val="false"/>
          <w:smallCaps w:val="false"/>
          <w:color w:val="000000"/>
          <w:spacing w:val="0"/>
          <w:sz w:val="24"/>
          <w:szCs w:val="24"/>
        </w:rPr>
      </w:r>
    </w:p>
    <w:p>
      <w:pPr>
        <w:pStyle w:val="Normal"/>
        <w:bidi w:val="0"/>
        <w:spacing w:before="0" w:after="0"/>
        <w:jc w:val="both"/>
        <w:rPr>
          <w:b w:val="false"/>
          <w:b w:val="false"/>
          <w:bCs w:val="false"/>
          <w:i w:val="false"/>
          <w:i w:val="false"/>
          <w:caps w:val="false"/>
          <w:smallCaps w:val="false"/>
          <w:color w:val="000000"/>
          <w:spacing w:val="0"/>
          <w:sz w:val="20"/>
          <w:szCs w:val="20"/>
        </w:rPr>
      </w:pPr>
      <w:r>
        <w:rPr>
          <w:b w:val="false"/>
          <w:bCs w:val="false"/>
          <w:i w:val="false"/>
          <w:caps w:val="false"/>
          <w:smallCaps w:val="false"/>
          <w:color w:val="000000"/>
          <w:spacing w:val="0"/>
          <w:sz w:val="20"/>
          <w:szCs w:val="20"/>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20130" cy="3055620"/>
            <wp:effectExtent l="0" t="0" r="0" b="0"/>
            <wp:wrapSquare wrapText="largest"/>
            <wp:docPr id="3"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1" descr=""/>
                    <pic:cNvPicPr>
                      <a:picLocks noChangeAspect="1" noChangeArrowheads="1"/>
                    </pic:cNvPicPr>
                  </pic:nvPicPr>
                  <pic:blipFill>
                    <a:blip r:embed="rId4"/>
                    <a:stretch>
                      <a:fillRect/>
                    </a:stretch>
                  </pic:blipFill>
                  <pic:spPr bwMode="auto">
                    <a:xfrm>
                      <a:off x="0" y="0"/>
                      <a:ext cx="6120130" cy="3055620"/>
                    </a:xfrm>
                    <a:prstGeom prst="rect">
                      <a:avLst/>
                    </a:prstGeom>
                  </pic:spPr>
                </pic:pic>
              </a:graphicData>
            </a:graphic>
          </wp:anchor>
        </w:drawing>
      </w:r>
    </w:p>
    <w:p>
      <w:pPr>
        <w:pStyle w:val="Normal"/>
        <w:bidi w:val="0"/>
        <w:spacing w:before="0" w:after="0"/>
        <w:jc w:val="both"/>
        <w:rPr>
          <w:b w:val="false"/>
          <w:b w:val="false"/>
          <w:bCs w:val="false"/>
          <w:i w:val="false"/>
          <w:i w:val="false"/>
          <w:caps w:val="false"/>
          <w:smallCaps w:val="false"/>
          <w:color w:val="000000"/>
          <w:spacing w:val="0"/>
          <w:sz w:val="24"/>
          <w:szCs w:val="24"/>
        </w:rPr>
      </w:pPr>
      <w:r>
        <w:rPr>
          <w:b/>
          <w:bCs/>
          <w:i w:val="false"/>
          <w:caps w:val="false"/>
          <w:smallCaps w:val="false"/>
          <w:color w:val="000000"/>
          <w:spacing w:val="0"/>
          <w:sz w:val="24"/>
          <w:szCs w:val="24"/>
        </w:rPr>
        <w:t>Figure 3.</w:t>
      </w:r>
      <w:r>
        <w:rPr>
          <w:b w:val="false"/>
          <w:bCs w:val="false"/>
          <w:i w:val="false"/>
          <w:caps w:val="false"/>
          <w:smallCaps w:val="false"/>
          <w:color w:val="000000"/>
          <w:spacing w:val="0"/>
          <w:sz w:val="24"/>
          <w:szCs w:val="24"/>
        </w:rPr>
        <w:t xml:space="preserve"> Estimates of accuracy for the trait interval between the first and second calving. The bar chart (bottom part of the graph) shows the accuracy estimate, while the error bars (top part of the graph) indicate the 95% confidence interval (UCI, Upper Confidence Interval; LCI, Lower Confidence Interval).</w:t>
      </w:r>
    </w:p>
    <w:p>
      <w:pPr>
        <w:pStyle w:val="Normal"/>
        <w:bidi w:val="0"/>
        <w:spacing w:before="0" w:after="0"/>
        <w:jc w:val="both"/>
        <w:rPr>
          <w:b w:val="false"/>
          <w:b w:val="false"/>
          <w:bCs w:val="false"/>
          <w:i w:val="false"/>
          <w:i w:val="false"/>
          <w:caps w:val="false"/>
          <w:smallCaps w:val="false"/>
          <w:color w:val="000000"/>
          <w:spacing w:val="0"/>
          <w:sz w:val="24"/>
          <w:szCs w:val="24"/>
        </w:rPr>
      </w:pPr>
      <w:r>
        <w:rPr>
          <w:b w:val="false"/>
          <w:bCs w:val="false"/>
          <w:i w:val="false"/>
          <w:caps w:val="false"/>
          <w:smallCaps w:val="false"/>
          <w:color w:val="000000"/>
          <w:spacing w:val="0"/>
          <w:sz w:val="24"/>
          <w:szCs w:val="24"/>
        </w:rPr>
      </w:r>
    </w:p>
    <w:p>
      <w:pPr>
        <w:pStyle w:val="Normal"/>
        <w:bidi w:val="0"/>
        <w:spacing w:before="0" w:after="0"/>
        <w:jc w:val="both"/>
        <w:rPr>
          <w:b w:val="false"/>
          <w:b w:val="false"/>
          <w:bCs w:val="false"/>
          <w:i w:val="false"/>
          <w:i w:val="false"/>
          <w:caps w:val="false"/>
          <w:smallCaps w:val="false"/>
          <w:color w:val="000000"/>
          <w:spacing w:val="0"/>
          <w:sz w:val="24"/>
          <w:szCs w:val="24"/>
        </w:rPr>
      </w:pPr>
      <w:r>
        <w:rPr>
          <w:b w:val="false"/>
          <w:bCs w:val="false"/>
          <w:i w:val="false"/>
          <w:caps w:val="false"/>
          <w:smallCaps w:val="false"/>
          <w:color w:val="000000"/>
          <w:spacing w:val="0"/>
          <w:sz w:val="24"/>
          <w:szCs w:val="24"/>
        </w:rPr>
        <w:t>Regarding the bias estimates for the trait of the interval between the first and second calving (Table 2), all scenarios produced biased GEBV, with the least bias (closest to 0) observed in scenarios E2, E3, and E4. Additionally, the GEBV for this trait showed excessive dispersion, which was higher (further from 1) in scenario E0, where BLUP was used, with a value of 1.56294.</w:t>
      </w:r>
    </w:p>
    <w:p>
      <w:pPr>
        <w:pStyle w:val="Normal"/>
        <w:bidi w:val="0"/>
        <w:spacing w:before="0" w:after="0"/>
        <w:jc w:val="both"/>
        <w:rPr>
          <w:b w:val="false"/>
          <w:b w:val="false"/>
          <w:bCs w:val="false"/>
          <w:i w:val="false"/>
          <w:i w:val="false"/>
          <w:caps w:val="false"/>
          <w:smallCaps w:val="false"/>
          <w:color w:val="000000"/>
          <w:spacing w:val="0"/>
          <w:sz w:val="24"/>
          <w:szCs w:val="24"/>
        </w:rPr>
      </w:pPr>
      <w:r>
        <w:rPr>
          <w:b w:val="false"/>
          <w:bCs w:val="false"/>
          <w:i w:val="false"/>
          <w:caps w:val="false"/>
          <w:smallCaps w:val="false"/>
          <w:color w:val="000000"/>
          <w:spacing w:val="0"/>
          <w:sz w:val="24"/>
          <w:szCs w:val="24"/>
        </w:rPr>
      </w:r>
    </w:p>
    <w:p>
      <w:pPr>
        <w:pStyle w:val="Normal"/>
        <w:bidi w:val="0"/>
        <w:spacing w:before="0" w:after="0"/>
        <w:jc w:val="both"/>
        <w:rPr/>
      </w:pPr>
      <w:r>
        <w:rPr>
          <w:b/>
          <w:bCs/>
          <w:i w:val="false"/>
          <w:caps w:val="false"/>
          <w:smallCaps w:val="false"/>
          <w:color w:val="000000"/>
          <w:spacing w:val="0"/>
          <w:sz w:val="24"/>
          <w:szCs w:val="24"/>
          <w:shd w:fill="auto" w:val="clear"/>
        </w:rPr>
        <w:t>Table 2.</w:t>
      </w:r>
      <w:r>
        <w:rPr>
          <w:b w:val="false"/>
          <w:bCs w:val="false"/>
          <w:i w:val="false"/>
          <w:caps w:val="false"/>
          <w:smallCaps w:val="false"/>
          <w:color w:val="000000"/>
          <w:spacing w:val="0"/>
          <w:sz w:val="24"/>
          <w:szCs w:val="24"/>
          <w:shd w:fill="auto" w:val="clear"/>
        </w:rPr>
        <w:t xml:space="preserve"> Estimates of bias and dispersion for the trait interval between the first and second calving.</w:t>
      </w:r>
    </w:p>
    <w:p>
      <w:pPr>
        <w:pStyle w:val="Normal"/>
        <w:bidi w:val="0"/>
        <w:spacing w:before="0" w:after="0"/>
        <w:jc w:val="both"/>
        <w:rPr>
          <w:rFonts w:ascii="Liberation Serif" w:hAnsi="Liberation Serif"/>
          <w:b w:val="false"/>
          <w:b w:val="false"/>
          <w:bCs w:val="false"/>
          <w:i w:val="false"/>
          <w:i w:val="false"/>
          <w:caps w:val="false"/>
          <w:smallCaps w:val="false"/>
          <w:color w:val="000000"/>
          <w:spacing w:val="0"/>
          <w:sz w:val="20"/>
          <w:szCs w:val="20"/>
        </w:rPr>
      </w:pPr>
      <w:r>
        <w:rPr>
          <w:b w:val="false"/>
          <w:bCs w:val="false"/>
          <w:i w:val="false"/>
          <w:caps w:val="false"/>
          <w:smallCaps w:val="false"/>
          <w:color w:val="000000"/>
          <w:spacing w:val="0"/>
          <w:sz w:val="20"/>
          <w:szCs w:val="20"/>
        </w:rPr>
      </w:r>
    </w:p>
    <w:tbl>
      <w:tblPr>
        <w:tblW w:w="5000" w:type="pct"/>
        <w:jc w:val="left"/>
        <w:tblInd w:w="0" w:type="dxa"/>
        <w:tblLayout w:type="fixed"/>
        <w:tblCellMar>
          <w:top w:w="0" w:type="dxa"/>
          <w:left w:w="0" w:type="dxa"/>
          <w:bottom w:w="0" w:type="dxa"/>
          <w:right w:w="0" w:type="dxa"/>
        </w:tblCellMar>
      </w:tblPr>
      <w:tblGrid>
        <w:gridCol w:w="3324"/>
        <w:gridCol w:w="3324"/>
        <w:gridCol w:w="3324"/>
      </w:tblGrid>
      <w:tr>
        <w:trPr/>
        <w:tc>
          <w:tcPr>
            <w:tcW w:w="3324" w:type="dxa"/>
            <w:tcBorders>
              <w:top w:val="single" w:sz="6" w:space="0" w:color="000000"/>
              <w:bottom w:val="single" w:sz="6" w:space="0" w:color="000000"/>
            </w:tcBorders>
          </w:tcPr>
          <w:p>
            <w:pPr>
              <w:pStyle w:val="Contenidodelatabla"/>
              <w:widowControl w:val="false"/>
              <w:bidi w:val="0"/>
              <w:jc w:val="center"/>
              <w:rPr>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Scenarios</w:t>
            </w:r>
          </w:p>
        </w:tc>
        <w:tc>
          <w:tcPr>
            <w:tcW w:w="3324" w:type="dxa"/>
            <w:tcBorders>
              <w:top w:val="single" w:sz="6" w:space="0" w:color="000000"/>
              <w:bottom w:val="single" w:sz="6" w:space="0" w:color="000000"/>
            </w:tcBorders>
          </w:tcPr>
          <w:p>
            <w:pPr>
              <w:pStyle w:val="Contenidodelatabla"/>
              <w:widowControl w:val="false"/>
              <w:bidi w:val="0"/>
              <w:jc w:val="center"/>
              <w:rPr>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Bias</w:t>
            </w:r>
          </w:p>
        </w:tc>
        <w:tc>
          <w:tcPr>
            <w:tcW w:w="3324" w:type="dxa"/>
            <w:tcBorders>
              <w:top w:val="single" w:sz="6" w:space="0" w:color="000000"/>
              <w:bottom w:val="single" w:sz="6" w:space="0" w:color="000000"/>
            </w:tcBorders>
          </w:tcPr>
          <w:p>
            <w:pPr>
              <w:pStyle w:val="Contenidodelatabla"/>
              <w:widowControl w:val="false"/>
              <w:bidi w:val="0"/>
              <w:jc w:val="center"/>
              <w:rPr>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Dispersion</w:t>
            </w:r>
          </w:p>
        </w:tc>
      </w:tr>
      <w:tr>
        <w:trPr/>
        <w:tc>
          <w:tcPr>
            <w:tcW w:w="3324" w:type="dxa"/>
            <w:tcBorders/>
          </w:tcPr>
          <w:p>
            <w:pPr>
              <w:pStyle w:val="Contenidodelatabla"/>
              <w:widowControl w:val="false"/>
              <w:bidi w:val="0"/>
              <w:jc w:val="center"/>
              <w:rPr>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E0</w:t>
            </w:r>
          </w:p>
        </w:tc>
        <w:tc>
          <w:tcPr>
            <w:tcW w:w="3324"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0.06765</w:t>
            </w:r>
          </w:p>
        </w:tc>
        <w:tc>
          <w:tcPr>
            <w:tcW w:w="3324"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1.56294</w:t>
            </w:r>
          </w:p>
        </w:tc>
      </w:tr>
      <w:tr>
        <w:trPr/>
        <w:tc>
          <w:tcPr>
            <w:tcW w:w="3324" w:type="dxa"/>
            <w:tcBorders/>
          </w:tcPr>
          <w:p>
            <w:pPr>
              <w:pStyle w:val="Contenidodelatabla"/>
              <w:widowControl w:val="false"/>
              <w:bidi w:val="0"/>
              <w:jc w:val="center"/>
              <w:rPr>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E1</w:t>
            </w:r>
          </w:p>
        </w:tc>
        <w:tc>
          <w:tcPr>
            <w:tcW w:w="3324"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0.07395</w:t>
            </w:r>
          </w:p>
        </w:tc>
        <w:tc>
          <w:tcPr>
            <w:tcW w:w="3324"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1.45721</w:t>
            </w:r>
          </w:p>
        </w:tc>
      </w:tr>
      <w:tr>
        <w:trPr/>
        <w:tc>
          <w:tcPr>
            <w:tcW w:w="3324" w:type="dxa"/>
            <w:tcBorders/>
          </w:tcPr>
          <w:p>
            <w:pPr>
              <w:pStyle w:val="Contenidodelatabla"/>
              <w:widowControl w:val="false"/>
              <w:bidi w:val="0"/>
              <w:jc w:val="center"/>
              <w:rPr>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E2</w:t>
            </w:r>
          </w:p>
        </w:tc>
        <w:tc>
          <w:tcPr>
            <w:tcW w:w="3324"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0.05830</w:t>
            </w:r>
          </w:p>
        </w:tc>
        <w:tc>
          <w:tcPr>
            <w:tcW w:w="3324"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1.46762</w:t>
            </w:r>
          </w:p>
        </w:tc>
      </w:tr>
      <w:tr>
        <w:trPr/>
        <w:tc>
          <w:tcPr>
            <w:tcW w:w="3324" w:type="dxa"/>
            <w:tcBorders/>
          </w:tcPr>
          <w:p>
            <w:pPr>
              <w:pStyle w:val="Contenidodelatabla"/>
              <w:widowControl w:val="false"/>
              <w:bidi w:val="0"/>
              <w:jc w:val="center"/>
              <w:rPr>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E3</w:t>
            </w:r>
          </w:p>
        </w:tc>
        <w:tc>
          <w:tcPr>
            <w:tcW w:w="3324"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0.07242</w:t>
            </w:r>
          </w:p>
        </w:tc>
        <w:tc>
          <w:tcPr>
            <w:tcW w:w="3324"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1.43608</w:t>
            </w:r>
          </w:p>
        </w:tc>
      </w:tr>
      <w:tr>
        <w:trPr/>
        <w:tc>
          <w:tcPr>
            <w:tcW w:w="3324" w:type="dxa"/>
            <w:tcBorders/>
          </w:tcPr>
          <w:p>
            <w:pPr>
              <w:pStyle w:val="Contenidodelatabla"/>
              <w:widowControl w:val="false"/>
              <w:bidi w:val="0"/>
              <w:jc w:val="center"/>
              <w:rPr>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E4</w:t>
            </w:r>
          </w:p>
        </w:tc>
        <w:tc>
          <w:tcPr>
            <w:tcW w:w="3324"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0.05800</w:t>
            </w:r>
          </w:p>
        </w:tc>
        <w:tc>
          <w:tcPr>
            <w:tcW w:w="3324"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1.46456</w:t>
            </w:r>
          </w:p>
        </w:tc>
      </w:tr>
      <w:tr>
        <w:trPr/>
        <w:tc>
          <w:tcPr>
            <w:tcW w:w="3324" w:type="dxa"/>
            <w:tcBorders/>
          </w:tcPr>
          <w:p>
            <w:pPr>
              <w:pStyle w:val="Contenidodelatabla"/>
              <w:widowControl w:val="false"/>
              <w:bidi w:val="0"/>
              <w:jc w:val="center"/>
              <w:rPr>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E5</w:t>
            </w:r>
          </w:p>
        </w:tc>
        <w:tc>
          <w:tcPr>
            <w:tcW w:w="3324"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0.06926</w:t>
            </w:r>
          </w:p>
        </w:tc>
        <w:tc>
          <w:tcPr>
            <w:tcW w:w="3324"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1.45914</w:t>
            </w:r>
          </w:p>
        </w:tc>
      </w:tr>
      <w:tr>
        <w:trPr/>
        <w:tc>
          <w:tcPr>
            <w:tcW w:w="3324" w:type="dxa"/>
            <w:tcBorders/>
          </w:tcPr>
          <w:p>
            <w:pPr>
              <w:pStyle w:val="Contenidodelatabla"/>
              <w:widowControl w:val="false"/>
              <w:bidi w:val="0"/>
              <w:jc w:val="center"/>
              <w:rPr>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E6</w:t>
            </w:r>
          </w:p>
        </w:tc>
        <w:tc>
          <w:tcPr>
            <w:tcW w:w="3324"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0.05612</w:t>
            </w:r>
          </w:p>
        </w:tc>
        <w:tc>
          <w:tcPr>
            <w:tcW w:w="3324"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1.46343</w:t>
            </w:r>
          </w:p>
        </w:tc>
      </w:tr>
      <w:tr>
        <w:trPr/>
        <w:tc>
          <w:tcPr>
            <w:tcW w:w="3324" w:type="dxa"/>
            <w:tcBorders/>
          </w:tcPr>
          <w:p>
            <w:pPr>
              <w:pStyle w:val="Contenidodelatabla"/>
              <w:widowControl w:val="false"/>
              <w:bidi w:val="0"/>
              <w:jc w:val="center"/>
              <w:rPr>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E7</w:t>
            </w:r>
          </w:p>
        </w:tc>
        <w:tc>
          <w:tcPr>
            <w:tcW w:w="3324"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0.06809</w:t>
            </w:r>
          </w:p>
        </w:tc>
        <w:tc>
          <w:tcPr>
            <w:tcW w:w="3324"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1.42884</w:t>
            </w:r>
          </w:p>
        </w:tc>
      </w:tr>
      <w:tr>
        <w:trPr/>
        <w:tc>
          <w:tcPr>
            <w:tcW w:w="3324" w:type="dxa"/>
            <w:tcBorders>
              <w:bottom w:val="single" w:sz="6" w:space="0" w:color="000000"/>
            </w:tcBorders>
          </w:tcPr>
          <w:p>
            <w:pPr>
              <w:pStyle w:val="Contenidodelatabla"/>
              <w:widowControl w:val="false"/>
              <w:bidi w:val="0"/>
              <w:jc w:val="center"/>
              <w:rPr>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E8</w:t>
            </w:r>
          </w:p>
        </w:tc>
        <w:tc>
          <w:tcPr>
            <w:tcW w:w="3324" w:type="dxa"/>
            <w:tcBorders>
              <w:bottom w:val="single" w:sz="6" w:space="0" w:color="000000"/>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0.07108</w:t>
            </w:r>
          </w:p>
        </w:tc>
        <w:tc>
          <w:tcPr>
            <w:tcW w:w="3324" w:type="dxa"/>
            <w:tcBorders>
              <w:bottom w:val="single" w:sz="6" w:space="0" w:color="000000"/>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1.43433</w:t>
            </w:r>
          </w:p>
        </w:tc>
      </w:tr>
    </w:tbl>
    <w:p>
      <w:pPr>
        <w:pStyle w:val="Normal"/>
        <w:bidi w:val="0"/>
        <w:spacing w:before="0" w:after="0"/>
        <w:jc w:val="both"/>
        <w:rPr>
          <w:b w:val="false"/>
          <w:b w:val="false"/>
          <w:bCs w:val="false"/>
          <w:i w:val="false"/>
          <w:i w:val="false"/>
          <w:caps w:val="false"/>
          <w:smallCaps w:val="false"/>
          <w:color w:val="000000"/>
          <w:spacing w:val="0"/>
          <w:sz w:val="20"/>
          <w:szCs w:val="20"/>
        </w:rPr>
      </w:pPr>
      <w:r>
        <w:rPr>
          <w:b w:val="false"/>
          <w:bCs w:val="false"/>
          <w:i w:val="false"/>
          <w:caps w:val="false"/>
          <w:smallCaps w:val="false"/>
          <w:color w:val="000000"/>
          <w:spacing w:val="0"/>
          <w:sz w:val="20"/>
          <w:szCs w:val="20"/>
        </w:rPr>
        <w:t>E0, without genotype information; E1, genotypes with a density of 43,421 markers; E2, genotypes with a density of 579,424 markers; E3, genotypes with a density of 5,534 markers; E4, genotypes with a density of 97,779 markers; E5, genotypes with a density of 13,961 markers; E6, genotypes with a density of 203,612 markers; E7, genotypes with a density of 5,000 markers; E8, genotypes with a density of 13,999 markers.</w:t>
      </w:r>
    </w:p>
    <w:p>
      <w:pPr>
        <w:pStyle w:val="Normal"/>
        <w:bidi w:val="0"/>
        <w:spacing w:before="0" w:after="0"/>
        <w:jc w:val="both"/>
        <w:rPr>
          <w:b w:val="false"/>
          <w:b w:val="false"/>
          <w:bCs w:val="false"/>
          <w:i w:val="false"/>
          <w:i w:val="false"/>
          <w:caps w:val="false"/>
          <w:smallCaps w:val="false"/>
          <w:color w:val="000000"/>
          <w:spacing w:val="0"/>
          <w:sz w:val="24"/>
          <w:szCs w:val="24"/>
        </w:rPr>
      </w:pPr>
      <w:r>
        <w:rPr>
          <w:b w:val="false"/>
          <w:bCs w:val="false"/>
          <w:i w:val="false"/>
          <w:caps w:val="false"/>
          <w:smallCaps w:val="false"/>
          <w:color w:val="000000"/>
          <w:spacing w:val="0"/>
          <w:sz w:val="24"/>
          <w:szCs w:val="24"/>
        </w:rPr>
      </w:r>
    </w:p>
    <w:p>
      <w:pPr>
        <w:pStyle w:val="Normal"/>
        <w:bidi w:val="0"/>
        <w:spacing w:before="0" w:after="0"/>
        <w:jc w:val="both"/>
        <w:rPr>
          <w:b w:val="false"/>
          <w:b w:val="false"/>
          <w:bCs w:val="false"/>
          <w:i w:val="false"/>
          <w:i w:val="false"/>
          <w:caps w:val="false"/>
          <w:smallCaps w:val="false"/>
          <w:color w:val="000000"/>
          <w:spacing w:val="0"/>
          <w:sz w:val="24"/>
          <w:szCs w:val="24"/>
        </w:rPr>
      </w:pPr>
      <w:r>
        <w:rPr>
          <w:b w:val="false"/>
          <w:bCs w:val="false"/>
          <w:i w:val="false"/>
          <w:caps w:val="false"/>
          <w:smallCaps w:val="false"/>
          <w:color w:val="000000"/>
          <w:spacing w:val="0"/>
          <w:sz w:val="24"/>
          <w:szCs w:val="24"/>
        </w:rPr>
        <w:t>The accuracy of GEBV for the trait of weaning weight derived from scenarios with markers of varying density is presented in Figure 4. For direct and maternal effects, the estimates ranged from 0.30376 (E0) to 0.40019 (E5) and from 0.30513 (E0) to 0.38741 (E3), respectively. Interestingly, the scenario with the highest accuracy was not the same for both direct and maternal effects, which could indicate that the accuracy of these estimates is dependent on the specific trait. Additionally, the uncertainty associated with the accuracy estimate was lower in scenario E0 compared to scenarios E1 to E8, indicating greater variability in the accuracy estimates when genomic information was used.</w:t>
      </w:r>
    </w:p>
    <w:p>
      <w:pPr>
        <w:pStyle w:val="Normal"/>
        <w:bidi w:val="0"/>
        <w:spacing w:before="0" w:after="0"/>
        <w:jc w:val="both"/>
        <w:rPr>
          <w:b w:val="false"/>
          <w:b w:val="false"/>
          <w:bCs w:val="false"/>
          <w:i w:val="false"/>
          <w:i w:val="false"/>
          <w:caps w:val="false"/>
          <w:smallCaps w:val="false"/>
          <w:color w:val="000000"/>
          <w:spacing w:val="0"/>
          <w:sz w:val="24"/>
          <w:szCs w:val="24"/>
        </w:rPr>
      </w:pPr>
      <w:r>
        <w:rPr>
          <w:b w:val="false"/>
          <w:bCs w:val="false"/>
          <w:i w:val="false"/>
          <w:caps w:val="false"/>
          <w:smallCaps w:val="false"/>
          <w:color w:val="000000"/>
          <w:spacing w:val="0"/>
          <w:sz w:val="24"/>
          <w:szCs w:val="24"/>
        </w:rPr>
      </w:r>
    </w:p>
    <w:p>
      <w:pPr>
        <w:pStyle w:val="Normal"/>
        <w:bidi w:val="0"/>
        <w:spacing w:before="0" w:after="0"/>
        <w:jc w:val="both"/>
        <w:rPr>
          <w:b w:val="false"/>
          <w:b w:val="false"/>
          <w:bCs w:val="false"/>
          <w:i w:val="false"/>
          <w:i w:val="false"/>
          <w:caps w:val="false"/>
          <w:smallCaps w:val="false"/>
          <w:color w:val="000000"/>
          <w:spacing w:val="0"/>
          <w:sz w:val="24"/>
          <w:szCs w:val="24"/>
        </w:rPr>
      </w:pPr>
      <w:r>
        <w:rPr>
          <w:b w:val="false"/>
          <w:bCs w:val="false"/>
          <w:i w:val="false"/>
          <w:caps w:val="false"/>
          <w:smallCaps w:val="false"/>
          <w:color w:val="000000"/>
          <w:spacing w:val="0"/>
          <w:sz w:val="24"/>
          <w:szCs w:val="24"/>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332220" cy="3161665"/>
            <wp:effectExtent l="0" t="0" r="0" b="0"/>
            <wp:wrapSquare wrapText="largest"/>
            <wp:docPr id="4"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3" descr=""/>
                    <pic:cNvPicPr>
                      <a:picLocks noChangeAspect="1" noChangeArrowheads="1"/>
                    </pic:cNvPicPr>
                  </pic:nvPicPr>
                  <pic:blipFill>
                    <a:blip r:embed="rId5"/>
                    <a:stretch>
                      <a:fillRect/>
                    </a:stretch>
                  </pic:blipFill>
                  <pic:spPr bwMode="auto">
                    <a:xfrm>
                      <a:off x="0" y="0"/>
                      <a:ext cx="6332220" cy="3161665"/>
                    </a:xfrm>
                    <a:prstGeom prst="rect">
                      <a:avLst/>
                    </a:prstGeom>
                  </pic:spPr>
                </pic:pic>
              </a:graphicData>
            </a:graphic>
          </wp:anchor>
        </w:drawing>
      </w:r>
    </w:p>
    <w:p>
      <w:pPr>
        <w:pStyle w:val="Cuerpodetexto"/>
        <w:bidi w:val="0"/>
        <w:spacing w:before="0" w:after="0"/>
        <w:jc w:val="both"/>
        <w:rPr>
          <w:b w:val="false"/>
          <w:b w:val="false"/>
          <w:bCs w:val="false"/>
          <w:i w:val="false"/>
          <w:i w:val="false"/>
          <w:caps w:val="false"/>
          <w:smallCaps w:val="false"/>
          <w:color w:val="000000"/>
          <w:spacing w:val="0"/>
          <w:sz w:val="24"/>
          <w:szCs w:val="24"/>
        </w:rPr>
      </w:pPr>
      <w:r>
        <w:rPr>
          <w:b/>
          <w:bCs/>
          <w:i w:val="false"/>
          <w:caps w:val="false"/>
          <w:smallCaps w:val="false"/>
          <w:color w:val="000000"/>
          <w:spacing w:val="0"/>
          <w:sz w:val="24"/>
          <w:szCs w:val="24"/>
        </w:rPr>
        <w:t>Figure 4.</w:t>
      </w:r>
      <w:r>
        <w:rPr>
          <w:b w:val="false"/>
          <w:bCs w:val="false"/>
          <w:i w:val="false"/>
          <w:caps w:val="false"/>
          <w:smallCaps w:val="false"/>
          <w:color w:val="000000"/>
          <w:spacing w:val="0"/>
          <w:sz w:val="24"/>
          <w:szCs w:val="24"/>
        </w:rPr>
        <w:t xml:space="preserve"> Estimates of accuracy for the trait weaning weight (direct and maternal effects). The bar chart (bottom part of the graph) shows the accuracy estimate, while the error bars (top part of the graph) indicate the 95% confidence interval (UCI, Upper Confidence Interval; LCI, Lower Confidence Interval).</w:t>
      </w:r>
    </w:p>
    <w:p>
      <w:pPr>
        <w:pStyle w:val="Normal"/>
        <w:bidi w:val="0"/>
        <w:spacing w:before="0" w:after="0"/>
        <w:jc w:val="both"/>
        <w:rPr>
          <w:b w:val="false"/>
          <w:b w:val="false"/>
          <w:bCs w:val="false"/>
          <w:i w:val="false"/>
          <w:i w:val="false"/>
          <w:caps w:val="false"/>
          <w:smallCaps w:val="false"/>
          <w:color w:val="000000"/>
          <w:spacing w:val="0"/>
          <w:sz w:val="24"/>
          <w:szCs w:val="24"/>
        </w:rPr>
      </w:pPr>
      <w:r>
        <w:rPr>
          <w:b w:val="false"/>
          <w:bCs w:val="false"/>
          <w:i w:val="false"/>
          <w:caps w:val="false"/>
          <w:smallCaps w:val="false"/>
          <w:color w:val="000000"/>
          <w:spacing w:val="0"/>
          <w:sz w:val="24"/>
          <w:szCs w:val="24"/>
        </w:rPr>
      </w:r>
    </w:p>
    <w:p>
      <w:pPr>
        <w:pStyle w:val="Normal"/>
        <w:bidi w:val="0"/>
        <w:spacing w:before="0" w:after="0"/>
        <w:jc w:val="both"/>
        <w:rPr>
          <w:b w:val="false"/>
          <w:b w:val="false"/>
          <w:bCs w:val="false"/>
          <w:i w:val="false"/>
          <w:i w:val="false"/>
          <w:caps w:val="false"/>
          <w:smallCaps w:val="false"/>
          <w:color w:val="000000"/>
          <w:spacing w:val="0"/>
          <w:sz w:val="24"/>
          <w:szCs w:val="24"/>
        </w:rPr>
      </w:pPr>
      <w:r>
        <w:rPr>
          <w:b w:val="false"/>
          <w:bCs w:val="false"/>
          <w:i w:val="false"/>
          <w:caps w:val="false"/>
          <w:smallCaps w:val="false"/>
          <w:color w:val="000000"/>
          <w:spacing w:val="0"/>
          <w:sz w:val="24"/>
          <w:szCs w:val="24"/>
        </w:rPr>
        <w:t>The bias and dispersion estimators for direct and maternal effects of weaning weight can be seen in Table 3. For the direct effect, bias ranged from 0.04949 (E5) to 0.07085 (E7), while dispersion varied from 0.81701 (E0) to 0.99295 (E5). These results suggest that, although some scenarios presented lower biases, dispersion close to the optimal value of 1 was more common in scenarios with genomic information (E1 to E8), with E5 being the best-performing scenario in terms of bias and dispersion. Regarding the maternal effect, bias ranged from -0.04060 (E5) to 0.01641 (E0), and dispersion fluctuated from 0.75496 (E0) to 0.91915 (E5). Once again, scenarios that included genomic information tended to show dispersion closer to 1, although they also presented more pronounced negative biases.</w:t>
      </w:r>
    </w:p>
    <w:p>
      <w:pPr>
        <w:pStyle w:val="Normal"/>
        <w:bidi w:val="0"/>
        <w:spacing w:before="0" w:after="0"/>
        <w:jc w:val="both"/>
        <w:rPr>
          <w:b w:val="false"/>
          <w:b w:val="false"/>
          <w:bCs w:val="false"/>
          <w:i w:val="false"/>
          <w:i w:val="false"/>
          <w:caps w:val="false"/>
          <w:smallCaps w:val="false"/>
          <w:color w:val="000000"/>
          <w:spacing w:val="0"/>
          <w:sz w:val="24"/>
          <w:szCs w:val="24"/>
        </w:rPr>
      </w:pPr>
      <w:r>
        <w:rPr>
          <w:b w:val="false"/>
          <w:bCs w:val="false"/>
          <w:i w:val="false"/>
          <w:caps w:val="false"/>
          <w:smallCaps w:val="false"/>
          <w:color w:val="000000"/>
          <w:spacing w:val="0"/>
          <w:sz w:val="24"/>
          <w:szCs w:val="24"/>
        </w:rPr>
      </w:r>
    </w:p>
    <w:p>
      <w:pPr>
        <w:pStyle w:val="Cuerpodetexto"/>
        <w:bidi w:val="0"/>
        <w:spacing w:before="0" w:after="0"/>
        <w:jc w:val="both"/>
        <w:rPr/>
      </w:pPr>
      <w:r>
        <w:rPr>
          <w:b/>
          <w:bCs/>
          <w:i w:val="false"/>
          <w:caps w:val="false"/>
          <w:smallCaps w:val="false"/>
          <w:color w:val="000000"/>
          <w:spacing w:val="0"/>
          <w:sz w:val="24"/>
          <w:szCs w:val="24"/>
          <w:shd w:fill="auto" w:val="clear"/>
        </w:rPr>
        <w:t>Table 3.</w:t>
      </w:r>
      <w:r>
        <w:rPr>
          <w:b w:val="false"/>
          <w:bCs w:val="false"/>
          <w:i w:val="false"/>
          <w:caps w:val="false"/>
          <w:smallCaps w:val="false"/>
          <w:color w:val="000000"/>
          <w:spacing w:val="0"/>
          <w:sz w:val="24"/>
          <w:szCs w:val="24"/>
          <w:shd w:fill="auto" w:val="clear"/>
        </w:rPr>
        <w:t xml:space="preserve"> Estimates of bias and dispersion for the trait weaning weight.</w:t>
      </w:r>
    </w:p>
    <w:p>
      <w:pPr>
        <w:pStyle w:val="Normal"/>
        <w:bidi w:val="0"/>
        <w:spacing w:before="0" w:after="0"/>
        <w:jc w:val="both"/>
        <w:rPr>
          <w:rFonts w:ascii="Liberation Serif" w:hAnsi="Liberation Serif"/>
          <w:b w:val="false"/>
          <w:b w:val="false"/>
          <w:bCs w:val="false"/>
          <w:i w:val="false"/>
          <w:i w:val="false"/>
          <w:caps w:val="false"/>
          <w:smallCaps w:val="false"/>
          <w:color w:val="000000"/>
          <w:spacing w:val="0"/>
          <w:sz w:val="20"/>
          <w:szCs w:val="20"/>
        </w:rPr>
      </w:pPr>
      <w:r>
        <w:rPr>
          <w:b w:val="false"/>
          <w:bCs w:val="false"/>
          <w:i w:val="false"/>
          <w:caps w:val="false"/>
          <w:smallCaps w:val="false"/>
          <w:color w:val="000000"/>
          <w:spacing w:val="0"/>
          <w:sz w:val="20"/>
          <w:szCs w:val="20"/>
        </w:rPr>
      </w:r>
    </w:p>
    <w:tbl>
      <w:tblPr>
        <w:tblW w:w="5000" w:type="pct"/>
        <w:jc w:val="left"/>
        <w:tblInd w:w="0" w:type="dxa"/>
        <w:tblLayout w:type="fixed"/>
        <w:tblCellMar>
          <w:top w:w="0" w:type="dxa"/>
          <w:left w:w="0" w:type="dxa"/>
          <w:bottom w:w="0" w:type="dxa"/>
          <w:right w:w="0" w:type="dxa"/>
        </w:tblCellMar>
      </w:tblPr>
      <w:tblGrid>
        <w:gridCol w:w="1987"/>
        <w:gridCol w:w="1995"/>
        <w:gridCol w:w="1994"/>
        <w:gridCol w:w="1996"/>
        <w:gridCol w:w="2000"/>
      </w:tblGrid>
      <w:tr>
        <w:trPr/>
        <w:tc>
          <w:tcPr>
            <w:tcW w:w="1987" w:type="dxa"/>
            <w:vMerge w:val="restart"/>
            <w:tcBorders>
              <w:top w:val="single" w:sz="6" w:space="0" w:color="000000"/>
              <w:bottom w:val="single" w:sz="6" w:space="0" w:color="000000"/>
            </w:tcBorders>
            <w:vAlign w:val="center"/>
          </w:tcPr>
          <w:p>
            <w:pPr>
              <w:pStyle w:val="Contenidodelatabla"/>
              <w:widowControl w:val="false"/>
              <w:bidi w:val="0"/>
              <w:jc w:val="center"/>
              <w:rPr>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Scenarios</w:t>
            </w:r>
          </w:p>
        </w:tc>
        <w:tc>
          <w:tcPr>
            <w:tcW w:w="3989" w:type="dxa"/>
            <w:gridSpan w:val="2"/>
            <w:tcBorders>
              <w:top w:val="single" w:sz="6" w:space="0" w:color="000000"/>
              <w:bottom w:val="single" w:sz="6" w:space="0" w:color="000000"/>
            </w:tcBorders>
          </w:tcPr>
          <w:p>
            <w:pPr>
              <w:pStyle w:val="Contenidodelatabla"/>
              <w:widowControl w:val="false"/>
              <w:bidi w:val="0"/>
              <w:jc w:val="center"/>
              <w:rPr>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Direct effect</w:t>
            </w:r>
          </w:p>
        </w:tc>
        <w:tc>
          <w:tcPr>
            <w:tcW w:w="3996" w:type="dxa"/>
            <w:gridSpan w:val="2"/>
            <w:tcBorders>
              <w:top w:val="single" w:sz="6" w:space="0" w:color="000000"/>
              <w:bottom w:val="single" w:sz="6" w:space="0" w:color="000000"/>
            </w:tcBorders>
          </w:tcPr>
          <w:p>
            <w:pPr>
              <w:pStyle w:val="Contenidodelatabla"/>
              <w:widowControl w:val="false"/>
              <w:bidi w:val="0"/>
              <w:jc w:val="center"/>
              <w:rPr>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Maternal effect</w:t>
            </w:r>
          </w:p>
        </w:tc>
      </w:tr>
      <w:tr>
        <w:trPr/>
        <w:tc>
          <w:tcPr>
            <w:tcW w:w="1987" w:type="dxa"/>
            <w:vMerge w:val="continue"/>
            <w:tcBorders>
              <w:top w:val="single" w:sz="6" w:space="0" w:color="000000"/>
              <w:bottom w:val="single" w:sz="6" w:space="0" w:color="000000"/>
            </w:tcBorders>
          </w:tcPr>
          <w:p>
            <w:pPr>
              <w:pStyle w:val="Normal"/>
              <w:widowControl w:val="false"/>
              <w:bidi w:val="0"/>
              <w:jc w:val="left"/>
              <w:rPr/>
            </w:pPr>
            <w:r>
              <w:rPr/>
            </w:r>
          </w:p>
        </w:tc>
        <w:tc>
          <w:tcPr>
            <w:tcW w:w="1995" w:type="dxa"/>
            <w:tcBorders>
              <w:bottom w:val="single" w:sz="4" w:space="0" w:color="000000"/>
            </w:tcBorders>
            <w:tcMar>
              <w:top w:w="55" w:type="dxa"/>
              <w:left w:w="55" w:type="dxa"/>
              <w:bottom w:w="55" w:type="dxa"/>
              <w:right w:w="55" w:type="dxa"/>
            </w:tcMar>
          </w:tcPr>
          <w:p>
            <w:pPr>
              <w:pStyle w:val="Contenidodelatabla"/>
              <w:widowControl w:val="false"/>
              <w:bidi w:val="0"/>
              <w:jc w:val="center"/>
              <w:rPr>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Bias</w:t>
            </w:r>
          </w:p>
        </w:tc>
        <w:tc>
          <w:tcPr>
            <w:tcW w:w="1994" w:type="dxa"/>
            <w:tcBorders>
              <w:bottom w:val="single" w:sz="4" w:space="0" w:color="000000"/>
            </w:tcBorders>
            <w:tcMar>
              <w:top w:w="55" w:type="dxa"/>
              <w:left w:w="55" w:type="dxa"/>
              <w:bottom w:w="55" w:type="dxa"/>
              <w:right w:w="55" w:type="dxa"/>
            </w:tcMar>
          </w:tcPr>
          <w:p>
            <w:pPr>
              <w:pStyle w:val="Contenidodelatabla"/>
              <w:widowControl w:val="false"/>
              <w:bidi w:val="0"/>
              <w:jc w:val="center"/>
              <w:rPr>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Dispersion</w:t>
            </w:r>
          </w:p>
        </w:tc>
        <w:tc>
          <w:tcPr>
            <w:tcW w:w="1996" w:type="dxa"/>
            <w:tcBorders>
              <w:bottom w:val="single" w:sz="4" w:space="0" w:color="000000"/>
            </w:tcBorders>
            <w:tcMar>
              <w:top w:w="55" w:type="dxa"/>
              <w:left w:w="55" w:type="dxa"/>
              <w:bottom w:w="55" w:type="dxa"/>
              <w:right w:w="55" w:type="dxa"/>
            </w:tcMar>
          </w:tcPr>
          <w:p>
            <w:pPr>
              <w:pStyle w:val="Contenidodelatabla"/>
              <w:widowControl w:val="false"/>
              <w:bidi w:val="0"/>
              <w:jc w:val="center"/>
              <w:rPr>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Bias</w:t>
            </w:r>
          </w:p>
        </w:tc>
        <w:tc>
          <w:tcPr>
            <w:tcW w:w="2000" w:type="dxa"/>
            <w:tcBorders>
              <w:bottom w:val="single" w:sz="4" w:space="0" w:color="000000"/>
            </w:tcBorders>
            <w:tcMar>
              <w:top w:w="55" w:type="dxa"/>
              <w:left w:w="55" w:type="dxa"/>
              <w:bottom w:w="55" w:type="dxa"/>
              <w:right w:w="55" w:type="dxa"/>
            </w:tcMar>
          </w:tcPr>
          <w:p>
            <w:pPr>
              <w:pStyle w:val="Contenidodelatabla"/>
              <w:widowControl w:val="false"/>
              <w:bidi w:val="0"/>
              <w:jc w:val="center"/>
              <w:rPr>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Dispersion</w:t>
            </w:r>
          </w:p>
        </w:tc>
      </w:tr>
      <w:tr>
        <w:trPr/>
        <w:tc>
          <w:tcPr>
            <w:tcW w:w="1987" w:type="dxa"/>
            <w:tcBorders/>
          </w:tcPr>
          <w:p>
            <w:pPr>
              <w:pStyle w:val="Contenidodelatabla"/>
              <w:widowControl w:val="false"/>
              <w:bidi w:val="0"/>
              <w:jc w:val="center"/>
              <w:rPr>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E0</w:t>
            </w:r>
          </w:p>
        </w:tc>
        <w:tc>
          <w:tcPr>
            <w:tcW w:w="1995" w:type="dxa"/>
            <w:tcBorders/>
          </w:tcPr>
          <w:p>
            <w:pPr>
              <w:pStyle w:val="Contenidodelatabla"/>
              <w:widowControl w:val="false"/>
              <w:bidi w:val="0"/>
              <w:jc w:val="center"/>
              <w:rPr>
                <w:color w:val="000000"/>
              </w:rPr>
            </w:pPr>
            <w:r>
              <w:rPr>
                <w:b w:val="false"/>
                <w:bCs w:val="false"/>
                <w:i w:val="false"/>
                <w:iCs w:val="false"/>
                <w:strike w:val="false"/>
                <w:dstrike w:val="false"/>
                <w:outline w:val="false"/>
                <w:shadow w:val="false"/>
                <w:color w:val="000000"/>
                <w:sz w:val="24"/>
                <w:szCs w:val="24"/>
                <w:u w:val="none"/>
              </w:rPr>
              <w:t>0.05584</w:t>
            </w:r>
          </w:p>
        </w:tc>
        <w:tc>
          <w:tcPr>
            <w:tcW w:w="1994" w:type="dxa"/>
            <w:tcBorders/>
          </w:tcPr>
          <w:p>
            <w:pPr>
              <w:pStyle w:val="Contenidodelatabla"/>
              <w:widowControl w:val="false"/>
              <w:bidi w:val="0"/>
              <w:jc w:val="center"/>
              <w:rPr>
                <w:color w:val="000000"/>
              </w:rPr>
            </w:pPr>
            <w:r>
              <w:rPr>
                <w:b w:val="false"/>
                <w:bCs w:val="false"/>
                <w:i w:val="false"/>
                <w:iCs w:val="false"/>
                <w:strike w:val="false"/>
                <w:dstrike w:val="false"/>
                <w:outline w:val="false"/>
                <w:shadow w:val="false"/>
                <w:color w:val="000000"/>
                <w:sz w:val="24"/>
                <w:szCs w:val="24"/>
                <w:u w:val="none"/>
              </w:rPr>
              <w:t>0.81701</w:t>
            </w:r>
          </w:p>
        </w:tc>
        <w:tc>
          <w:tcPr>
            <w:tcW w:w="1996" w:type="dxa"/>
            <w:tcBorders/>
          </w:tcPr>
          <w:p>
            <w:pPr>
              <w:pStyle w:val="Contenidodelatabla"/>
              <w:widowControl w:val="false"/>
              <w:bidi w:val="0"/>
              <w:jc w:val="center"/>
              <w:rPr>
                <w:color w:val="000000"/>
              </w:rPr>
            </w:pPr>
            <w:r>
              <w:rPr>
                <w:b w:val="false"/>
                <w:bCs w:val="false"/>
                <w:i w:val="false"/>
                <w:iCs w:val="false"/>
                <w:strike w:val="false"/>
                <w:dstrike w:val="false"/>
                <w:outline w:val="false"/>
                <w:shadow w:val="false"/>
                <w:color w:val="000000"/>
                <w:sz w:val="24"/>
                <w:szCs w:val="24"/>
                <w:u w:val="none"/>
              </w:rPr>
              <w:t>0.01641</w:t>
            </w:r>
          </w:p>
        </w:tc>
        <w:tc>
          <w:tcPr>
            <w:tcW w:w="2000" w:type="dxa"/>
            <w:tcBorders/>
          </w:tcPr>
          <w:p>
            <w:pPr>
              <w:pStyle w:val="Contenidodelatabla"/>
              <w:widowControl w:val="false"/>
              <w:bidi w:val="0"/>
              <w:jc w:val="center"/>
              <w:rPr>
                <w:color w:val="000000"/>
              </w:rPr>
            </w:pPr>
            <w:r>
              <w:rPr>
                <w:b w:val="false"/>
                <w:bCs w:val="false"/>
                <w:i w:val="false"/>
                <w:iCs w:val="false"/>
                <w:strike w:val="false"/>
                <w:dstrike w:val="false"/>
                <w:outline w:val="false"/>
                <w:shadow w:val="false"/>
                <w:color w:val="000000"/>
                <w:sz w:val="24"/>
                <w:szCs w:val="24"/>
                <w:u w:val="none"/>
              </w:rPr>
              <w:t>0.75496</w:t>
            </w:r>
          </w:p>
        </w:tc>
      </w:tr>
      <w:tr>
        <w:trPr/>
        <w:tc>
          <w:tcPr>
            <w:tcW w:w="1987" w:type="dxa"/>
            <w:tcBorders/>
          </w:tcPr>
          <w:p>
            <w:pPr>
              <w:pStyle w:val="Contenidodelatabla"/>
              <w:widowControl w:val="false"/>
              <w:bidi w:val="0"/>
              <w:jc w:val="center"/>
              <w:rPr>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E1</w:t>
            </w:r>
          </w:p>
        </w:tc>
        <w:tc>
          <w:tcPr>
            <w:tcW w:w="1995" w:type="dxa"/>
            <w:tcBorders/>
          </w:tcPr>
          <w:p>
            <w:pPr>
              <w:pStyle w:val="Contenidodelatabla"/>
              <w:widowControl w:val="false"/>
              <w:bidi w:val="0"/>
              <w:jc w:val="center"/>
              <w:rPr>
                <w:color w:val="000000"/>
              </w:rPr>
            </w:pPr>
            <w:r>
              <w:rPr>
                <w:b w:val="false"/>
                <w:bCs w:val="false"/>
                <w:i w:val="false"/>
                <w:iCs w:val="false"/>
                <w:strike w:val="false"/>
                <w:dstrike w:val="false"/>
                <w:outline w:val="false"/>
                <w:shadow w:val="false"/>
                <w:color w:val="000000"/>
                <w:sz w:val="24"/>
                <w:szCs w:val="24"/>
                <w:u w:val="none"/>
              </w:rPr>
              <w:t>0.05908</w:t>
            </w:r>
          </w:p>
        </w:tc>
        <w:tc>
          <w:tcPr>
            <w:tcW w:w="1994" w:type="dxa"/>
            <w:tcBorders/>
          </w:tcPr>
          <w:p>
            <w:pPr>
              <w:pStyle w:val="Contenidodelatabla"/>
              <w:widowControl w:val="false"/>
              <w:bidi w:val="0"/>
              <w:jc w:val="center"/>
              <w:rPr>
                <w:color w:val="000000"/>
              </w:rPr>
            </w:pPr>
            <w:r>
              <w:rPr>
                <w:b w:val="false"/>
                <w:bCs w:val="false"/>
                <w:i w:val="false"/>
                <w:iCs w:val="false"/>
                <w:strike w:val="false"/>
                <w:dstrike w:val="false"/>
                <w:outline w:val="false"/>
                <w:shadow w:val="false"/>
                <w:color w:val="000000"/>
                <w:sz w:val="24"/>
                <w:szCs w:val="24"/>
                <w:u w:val="none"/>
              </w:rPr>
              <w:t>0.92092</w:t>
            </w:r>
          </w:p>
        </w:tc>
        <w:tc>
          <w:tcPr>
            <w:tcW w:w="1996" w:type="dxa"/>
            <w:tcBorders/>
          </w:tcPr>
          <w:p>
            <w:pPr>
              <w:pStyle w:val="Contenidodelatabla"/>
              <w:widowControl w:val="false"/>
              <w:bidi w:val="0"/>
              <w:jc w:val="center"/>
              <w:rPr>
                <w:color w:val="000000"/>
              </w:rPr>
            </w:pPr>
            <w:r>
              <w:rPr>
                <w:b w:val="false"/>
                <w:bCs w:val="false"/>
                <w:i w:val="false"/>
                <w:iCs w:val="false"/>
                <w:strike w:val="false"/>
                <w:dstrike w:val="false"/>
                <w:outline w:val="false"/>
                <w:shadow w:val="false"/>
                <w:color w:val="000000"/>
                <w:sz w:val="24"/>
                <w:szCs w:val="24"/>
                <w:u w:val="none"/>
              </w:rPr>
              <w:t>-0.03365</w:t>
            </w:r>
          </w:p>
        </w:tc>
        <w:tc>
          <w:tcPr>
            <w:tcW w:w="2000" w:type="dxa"/>
            <w:tcBorders/>
          </w:tcPr>
          <w:p>
            <w:pPr>
              <w:pStyle w:val="Contenidodelatabla"/>
              <w:widowControl w:val="false"/>
              <w:bidi w:val="0"/>
              <w:jc w:val="center"/>
              <w:rPr>
                <w:color w:val="000000"/>
              </w:rPr>
            </w:pPr>
            <w:r>
              <w:rPr>
                <w:b w:val="false"/>
                <w:bCs w:val="false"/>
                <w:i w:val="false"/>
                <w:iCs w:val="false"/>
                <w:strike w:val="false"/>
                <w:dstrike w:val="false"/>
                <w:outline w:val="false"/>
                <w:shadow w:val="false"/>
                <w:color w:val="000000"/>
                <w:sz w:val="24"/>
                <w:szCs w:val="24"/>
                <w:u w:val="none"/>
              </w:rPr>
              <w:t>0.90304</w:t>
            </w:r>
          </w:p>
        </w:tc>
      </w:tr>
      <w:tr>
        <w:trPr/>
        <w:tc>
          <w:tcPr>
            <w:tcW w:w="1987" w:type="dxa"/>
            <w:tcBorders/>
          </w:tcPr>
          <w:p>
            <w:pPr>
              <w:pStyle w:val="Contenidodelatabla"/>
              <w:widowControl w:val="false"/>
              <w:bidi w:val="0"/>
              <w:jc w:val="center"/>
              <w:rPr>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E2</w:t>
            </w:r>
          </w:p>
        </w:tc>
        <w:tc>
          <w:tcPr>
            <w:tcW w:w="1995" w:type="dxa"/>
            <w:tcBorders/>
          </w:tcPr>
          <w:p>
            <w:pPr>
              <w:pStyle w:val="Contenidodelatabla"/>
              <w:widowControl w:val="false"/>
              <w:bidi w:val="0"/>
              <w:jc w:val="center"/>
              <w:rPr>
                <w:color w:val="000000"/>
              </w:rPr>
            </w:pPr>
            <w:r>
              <w:rPr>
                <w:b w:val="false"/>
                <w:bCs w:val="false"/>
                <w:i w:val="false"/>
                <w:iCs w:val="false"/>
                <w:strike w:val="false"/>
                <w:dstrike w:val="false"/>
                <w:outline w:val="false"/>
                <w:shadow w:val="false"/>
                <w:color w:val="000000"/>
                <w:sz w:val="24"/>
                <w:szCs w:val="24"/>
                <w:u w:val="none"/>
              </w:rPr>
              <w:t>0.06447</w:t>
            </w:r>
          </w:p>
        </w:tc>
        <w:tc>
          <w:tcPr>
            <w:tcW w:w="1994" w:type="dxa"/>
            <w:tcBorders/>
          </w:tcPr>
          <w:p>
            <w:pPr>
              <w:pStyle w:val="Contenidodelatabla"/>
              <w:widowControl w:val="false"/>
              <w:bidi w:val="0"/>
              <w:jc w:val="center"/>
              <w:rPr>
                <w:color w:val="000000"/>
              </w:rPr>
            </w:pPr>
            <w:r>
              <w:rPr>
                <w:b w:val="false"/>
                <w:bCs w:val="false"/>
                <w:i w:val="false"/>
                <w:iCs w:val="false"/>
                <w:strike w:val="false"/>
                <w:dstrike w:val="false"/>
                <w:outline w:val="false"/>
                <w:shadow w:val="false"/>
                <w:color w:val="000000"/>
                <w:sz w:val="24"/>
                <w:szCs w:val="24"/>
                <w:u w:val="none"/>
              </w:rPr>
              <w:t>0.97738</w:t>
            </w:r>
          </w:p>
        </w:tc>
        <w:tc>
          <w:tcPr>
            <w:tcW w:w="1996" w:type="dxa"/>
            <w:tcBorders/>
          </w:tcPr>
          <w:p>
            <w:pPr>
              <w:pStyle w:val="Contenidodelatabla"/>
              <w:widowControl w:val="false"/>
              <w:bidi w:val="0"/>
              <w:jc w:val="center"/>
              <w:rPr>
                <w:color w:val="000000"/>
              </w:rPr>
            </w:pPr>
            <w:r>
              <w:rPr>
                <w:b w:val="false"/>
                <w:bCs w:val="false"/>
                <w:i w:val="false"/>
                <w:iCs w:val="false"/>
                <w:strike w:val="false"/>
                <w:dstrike w:val="false"/>
                <w:outline w:val="false"/>
                <w:shadow w:val="false"/>
                <w:color w:val="000000"/>
                <w:sz w:val="24"/>
                <w:szCs w:val="24"/>
                <w:u w:val="none"/>
              </w:rPr>
              <w:t>-0.03582</w:t>
            </w:r>
          </w:p>
        </w:tc>
        <w:tc>
          <w:tcPr>
            <w:tcW w:w="2000" w:type="dxa"/>
            <w:tcBorders/>
          </w:tcPr>
          <w:p>
            <w:pPr>
              <w:pStyle w:val="Contenidodelatabla"/>
              <w:widowControl w:val="false"/>
              <w:bidi w:val="0"/>
              <w:jc w:val="center"/>
              <w:rPr>
                <w:color w:val="000000"/>
              </w:rPr>
            </w:pPr>
            <w:r>
              <w:rPr>
                <w:b w:val="false"/>
                <w:bCs w:val="false"/>
                <w:i w:val="false"/>
                <w:iCs w:val="false"/>
                <w:strike w:val="false"/>
                <w:dstrike w:val="false"/>
                <w:outline w:val="false"/>
                <w:shadow w:val="false"/>
                <w:color w:val="000000"/>
                <w:sz w:val="24"/>
                <w:szCs w:val="24"/>
                <w:u w:val="none"/>
              </w:rPr>
              <w:t>0.87405</w:t>
            </w:r>
          </w:p>
        </w:tc>
      </w:tr>
      <w:tr>
        <w:trPr/>
        <w:tc>
          <w:tcPr>
            <w:tcW w:w="1987" w:type="dxa"/>
            <w:tcBorders/>
          </w:tcPr>
          <w:p>
            <w:pPr>
              <w:pStyle w:val="Contenidodelatabla"/>
              <w:widowControl w:val="false"/>
              <w:bidi w:val="0"/>
              <w:jc w:val="center"/>
              <w:rPr>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E3</w:t>
            </w:r>
          </w:p>
        </w:tc>
        <w:tc>
          <w:tcPr>
            <w:tcW w:w="1995" w:type="dxa"/>
            <w:tcBorders/>
          </w:tcPr>
          <w:p>
            <w:pPr>
              <w:pStyle w:val="Contenidodelatabla"/>
              <w:widowControl w:val="false"/>
              <w:bidi w:val="0"/>
              <w:jc w:val="center"/>
              <w:rPr>
                <w:color w:val="000000"/>
              </w:rPr>
            </w:pPr>
            <w:r>
              <w:rPr>
                <w:b w:val="false"/>
                <w:bCs w:val="false"/>
                <w:i w:val="false"/>
                <w:iCs w:val="false"/>
                <w:strike w:val="false"/>
                <w:dstrike w:val="false"/>
                <w:outline w:val="false"/>
                <w:shadow w:val="false"/>
                <w:color w:val="000000"/>
                <w:sz w:val="24"/>
                <w:szCs w:val="24"/>
                <w:u w:val="none"/>
              </w:rPr>
              <w:t>0.04949</w:t>
            </w:r>
          </w:p>
        </w:tc>
        <w:tc>
          <w:tcPr>
            <w:tcW w:w="1994" w:type="dxa"/>
            <w:tcBorders/>
          </w:tcPr>
          <w:p>
            <w:pPr>
              <w:pStyle w:val="Contenidodelatabla"/>
              <w:widowControl w:val="false"/>
              <w:bidi w:val="0"/>
              <w:jc w:val="center"/>
              <w:rPr>
                <w:color w:val="000000"/>
              </w:rPr>
            </w:pPr>
            <w:r>
              <w:rPr>
                <w:b w:val="false"/>
                <w:bCs w:val="false"/>
                <w:i w:val="false"/>
                <w:iCs w:val="false"/>
                <w:strike w:val="false"/>
                <w:dstrike w:val="false"/>
                <w:outline w:val="false"/>
                <w:shadow w:val="false"/>
                <w:color w:val="000000"/>
                <w:sz w:val="24"/>
                <w:szCs w:val="24"/>
                <w:u w:val="none"/>
              </w:rPr>
              <w:t>0.99295</w:t>
            </w:r>
          </w:p>
        </w:tc>
        <w:tc>
          <w:tcPr>
            <w:tcW w:w="1996" w:type="dxa"/>
            <w:tcBorders/>
          </w:tcPr>
          <w:p>
            <w:pPr>
              <w:pStyle w:val="Contenidodelatabla"/>
              <w:widowControl w:val="false"/>
              <w:bidi w:val="0"/>
              <w:jc w:val="center"/>
              <w:rPr>
                <w:color w:val="000000"/>
              </w:rPr>
            </w:pPr>
            <w:r>
              <w:rPr>
                <w:b w:val="false"/>
                <w:bCs w:val="false"/>
                <w:i w:val="false"/>
                <w:iCs w:val="false"/>
                <w:strike w:val="false"/>
                <w:dstrike w:val="false"/>
                <w:outline w:val="false"/>
                <w:shadow w:val="false"/>
                <w:color w:val="000000"/>
                <w:sz w:val="24"/>
                <w:szCs w:val="24"/>
                <w:u w:val="none"/>
              </w:rPr>
              <w:t>-0.04060</w:t>
            </w:r>
          </w:p>
        </w:tc>
        <w:tc>
          <w:tcPr>
            <w:tcW w:w="2000" w:type="dxa"/>
            <w:tcBorders/>
          </w:tcPr>
          <w:p>
            <w:pPr>
              <w:pStyle w:val="Contenidodelatabla"/>
              <w:widowControl w:val="false"/>
              <w:bidi w:val="0"/>
              <w:jc w:val="center"/>
              <w:rPr>
                <w:color w:val="000000"/>
              </w:rPr>
            </w:pPr>
            <w:r>
              <w:rPr>
                <w:b w:val="false"/>
                <w:bCs w:val="false"/>
                <w:i w:val="false"/>
                <w:iCs w:val="false"/>
                <w:strike w:val="false"/>
                <w:dstrike w:val="false"/>
                <w:outline w:val="false"/>
                <w:shadow w:val="false"/>
                <w:color w:val="000000"/>
                <w:sz w:val="24"/>
                <w:szCs w:val="24"/>
                <w:u w:val="none"/>
              </w:rPr>
              <w:t>0.91915</w:t>
            </w:r>
          </w:p>
        </w:tc>
      </w:tr>
      <w:tr>
        <w:trPr/>
        <w:tc>
          <w:tcPr>
            <w:tcW w:w="1987" w:type="dxa"/>
            <w:tcBorders/>
          </w:tcPr>
          <w:p>
            <w:pPr>
              <w:pStyle w:val="Contenidodelatabla"/>
              <w:widowControl w:val="false"/>
              <w:bidi w:val="0"/>
              <w:jc w:val="center"/>
              <w:rPr>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E4</w:t>
            </w:r>
          </w:p>
        </w:tc>
        <w:tc>
          <w:tcPr>
            <w:tcW w:w="1995" w:type="dxa"/>
            <w:tcBorders/>
          </w:tcPr>
          <w:p>
            <w:pPr>
              <w:pStyle w:val="Contenidodelatabla"/>
              <w:widowControl w:val="false"/>
              <w:bidi w:val="0"/>
              <w:jc w:val="center"/>
              <w:rPr>
                <w:color w:val="000000"/>
              </w:rPr>
            </w:pPr>
            <w:r>
              <w:rPr>
                <w:b w:val="false"/>
                <w:bCs w:val="false"/>
                <w:i w:val="false"/>
                <w:iCs w:val="false"/>
                <w:strike w:val="false"/>
                <w:dstrike w:val="false"/>
                <w:outline w:val="false"/>
                <w:shadow w:val="false"/>
                <w:color w:val="000000"/>
                <w:sz w:val="24"/>
                <w:szCs w:val="24"/>
                <w:u w:val="none"/>
              </w:rPr>
              <w:t>0.06578</w:t>
            </w:r>
          </w:p>
        </w:tc>
        <w:tc>
          <w:tcPr>
            <w:tcW w:w="1994" w:type="dxa"/>
            <w:tcBorders/>
          </w:tcPr>
          <w:p>
            <w:pPr>
              <w:pStyle w:val="Contenidodelatabla"/>
              <w:widowControl w:val="false"/>
              <w:bidi w:val="0"/>
              <w:jc w:val="center"/>
              <w:rPr>
                <w:color w:val="000000"/>
              </w:rPr>
            </w:pPr>
            <w:r>
              <w:rPr>
                <w:b w:val="false"/>
                <w:bCs w:val="false"/>
                <w:i w:val="false"/>
                <w:iCs w:val="false"/>
                <w:strike w:val="false"/>
                <w:dstrike w:val="false"/>
                <w:outline w:val="false"/>
                <w:shadow w:val="false"/>
                <w:color w:val="000000"/>
                <w:sz w:val="24"/>
                <w:szCs w:val="24"/>
                <w:u w:val="none"/>
              </w:rPr>
              <w:t>0.99099</w:t>
            </w:r>
          </w:p>
        </w:tc>
        <w:tc>
          <w:tcPr>
            <w:tcW w:w="1996" w:type="dxa"/>
            <w:tcBorders/>
          </w:tcPr>
          <w:p>
            <w:pPr>
              <w:pStyle w:val="Contenidodelatabla"/>
              <w:widowControl w:val="false"/>
              <w:bidi w:val="0"/>
              <w:jc w:val="center"/>
              <w:rPr>
                <w:color w:val="000000"/>
              </w:rPr>
            </w:pPr>
            <w:r>
              <w:rPr>
                <w:b w:val="false"/>
                <w:bCs w:val="false"/>
                <w:i w:val="false"/>
                <w:iCs w:val="false"/>
                <w:strike w:val="false"/>
                <w:dstrike w:val="false"/>
                <w:outline w:val="false"/>
                <w:shadow w:val="false"/>
                <w:color w:val="000000"/>
                <w:sz w:val="24"/>
                <w:szCs w:val="24"/>
                <w:u w:val="none"/>
              </w:rPr>
              <w:t>-0.03811</w:t>
            </w:r>
          </w:p>
        </w:tc>
        <w:tc>
          <w:tcPr>
            <w:tcW w:w="2000" w:type="dxa"/>
            <w:tcBorders/>
          </w:tcPr>
          <w:p>
            <w:pPr>
              <w:pStyle w:val="Contenidodelatabla"/>
              <w:widowControl w:val="false"/>
              <w:bidi w:val="0"/>
              <w:jc w:val="center"/>
              <w:rPr>
                <w:color w:val="000000"/>
              </w:rPr>
            </w:pPr>
            <w:r>
              <w:rPr>
                <w:b w:val="false"/>
                <w:bCs w:val="false"/>
                <w:i w:val="false"/>
                <w:iCs w:val="false"/>
                <w:strike w:val="false"/>
                <w:dstrike w:val="false"/>
                <w:outline w:val="false"/>
                <w:shadow w:val="false"/>
                <w:color w:val="000000"/>
                <w:sz w:val="24"/>
                <w:szCs w:val="24"/>
                <w:u w:val="none"/>
              </w:rPr>
              <w:t>0.87307</w:t>
            </w:r>
          </w:p>
        </w:tc>
      </w:tr>
      <w:tr>
        <w:trPr/>
        <w:tc>
          <w:tcPr>
            <w:tcW w:w="1987" w:type="dxa"/>
            <w:tcBorders/>
          </w:tcPr>
          <w:p>
            <w:pPr>
              <w:pStyle w:val="Contenidodelatabla"/>
              <w:widowControl w:val="false"/>
              <w:bidi w:val="0"/>
              <w:jc w:val="center"/>
              <w:rPr>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E5</w:t>
            </w:r>
          </w:p>
        </w:tc>
        <w:tc>
          <w:tcPr>
            <w:tcW w:w="1995" w:type="dxa"/>
            <w:tcBorders/>
          </w:tcPr>
          <w:p>
            <w:pPr>
              <w:pStyle w:val="Contenidodelatabla"/>
              <w:widowControl w:val="false"/>
              <w:bidi w:val="0"/>
              <w:jc w:val="center"/>
              <w:rPr>
                <w:color w:val="000000"/>
              </w:rPr>
            </w:pPr>
            <w:r>
              <w:rPr>
                <w:b w:val="false"/>
                <w:bCs w:val="false"/>
                <w:i w:val="false"/>
                <w:iCs w:val="false"/>
                <w:strike w:val="false"/>
                <w:dstrike w:val="false"/>
                <w:outline w:val="false"/>
                <w:shadow w:val="false"/>
                <w:color w:val="000000"/>
                <w:sz w:val="24"/>
                <w:szCs w:val="24"/>
                <w:u w:val="none"/>
              </w:rPr>
              <w:t>0.05422</w:t>
            </w:r>
          </w:p>
        </w:tc>
        <w:tc>
          <w:tcPr>
            <w:tcW w:w="1994" w:type="dxa"/>
            <w:tcBorders/>
          </w:tcPr>
          <w:p>
            <w:pPr>
              <w:pStyle w:val="Contenidodelatabla"/>
              <w:widowControl w:val="false"/>
              <w:bidi w:val="0"/>
              <w:jc w:val="center"/>
              <w:rPr>
                <w:color w:val="000000"/>
              </w:rPr>
            </w:pPr>
            <w:r>
              <w:rPr>
                <w:b w:val="false"/>
                <w:bCs w:val="false"/>
                <w:i w:val="false"/>
                <w:iCs w:val="false"/>
                <w:strike w:val="false"/>
                <w:dstrike w:val="false"/>
                <w:outline w:val="false"/>
                <w:shadow w:val="false"/>
                <w:color w:val="000000"/>
                <w:sz w:val="24"/>
                <w:szCs w:val="24"/>
                <w:u w:val="none"/>
              </w:rPr>
              <w:t>0.92224</w:t>
            </w:r>
          </w:p>
        </w:tc>
        <w:tc>
          <w:tcPr>
            <w:tcW w:w="1996" w:type="dxa"/>
            <w:tcBorders/>
          </w:tcPr>
          <w:p>
            <w:pPr>
              <w:pStyle w:val="Contenidodelatabla"/>
              <w:widowControl w:val="false"/>
              <w:bidi w:val="0"/>
              <w:jc w:val="center"/>
              <w:rPr>
                <w:color w:val="000000"/>
              </w:rPr>
            </w:pPr>
            <w:r>
              <w:rPr>
                <w:b w:val="false"/>
                <w:bCs w:val="false"/>
                <w:i w:val="false"/>
                <w:iCs w:val="false"/>
                <w:strike w:val="false"/>
                <w:dstrike w:val="false"/>
                <w:outline w:val="false"/>
                <w:shadow w:val="false"/>
                <w:color w:val="000000"/>
                <w:sz w:val="24"/>
                <w:szCs w:val="24"/>
                <w:u w:val="none"/>
              </w:rPr>
              <w:t>-0.02332</w:t>
            </w:r>
          </w:p>
        </w:tc>
        <w:tc>
          <w:tcPr>
            <w:tcW w:w="2000" w:type="dxa"/>
            <w:tcBorders/>
          </w:tcPr>
          <w:p>
            <w:pPr>
              <w:pStyle w:val="Contenidodelatabla"/>
              <w:widowControl w:val="false"/>
              <w:bidi w:val="0"/>
              <w:jc w:val="center"/>
              <w:rPr>
                <w:color w:val="000000"/>
              </w:rPr>
            </w:pPr>
            <w:r>
              <w:rPr>
                <w:b w:val="false"/>
                <w:bCs w:val="false"/>
                <w:i w:val="false"/>
                <w:iCs w:val="false"/>
                <w:strike w:val="false"/>
                <w:dstrike w:val="false"/>
                <w:outline w:val="false"/>
                <w:shadow w:val="false"/>
                <w:color w:val="000000"/>
                <w:sz w:val="24"/>
                <w:szCs w:val="24"/>
                <w:u w:val="none"/>
              </w:rPr>
              <w:t>0.82856</w:t>
            </w:r>
          </w:p>
        </w:tc>
      </w:tr>
      <w:tr>
        <w:trPr/>
        <w:tc>
          <w:tcPr>
            <w:tcW w:w="1987" w:type="dxa"/>
            <w:tcBorders/>
          </w:tcPr>
          <w:p>
            <w:pPr>
              <w:pStyle w:val="Contenidodelatabla"/>
              <w:widowControl w:val="false"/>
              <w:bidi w:val="0"/>
              <w:jc w:val="center"/>
              <w:rPr>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E6</w:t>
            </w:r>
          </w:p>
        </w:tc>
        <w:tc>
          <w:tcPr>
            <w:tcW w:w="1995" w:type="dxa"/>
            <w:tcBorders/>
          </w:tcPr>
          <w:p>
            <w:pPr>
              <w:pStyle w:val="Contenidodelatabla"/>
              <w:widowControl w:val="false"/>
              <w:bidi w:val="0"/>
              <w:jc w:val="center"/>
              <w:rPr>
                <w:color w:val="000000"/>
              </w:rPr>
            </w:pPr>
            <w:r>
              <w:rPr>
                <w:b w:val="false"/>
                <w:bCs w:val="false"/>
                <w:i w:val="false"/>
                <w:iCs w:val="false"/>
                <w:strike w:val="false"/>
                <w:dstrike w:val="false"/>
                <w:outline w:val="false"/>
                <w:shadow w:val="false"/>
                <w:color w:val="000000"/>
                <w:sz w:val="24"/>
                <w:szCs w:val="24"/>
                <w:u w:val="none"/>
              </w:rPr>
              <w:t>0.06047</w:t>
            </w:r>
          </w:p>
        </w:tc>
        <w:tc>
          <w:tcPr>
            <w:tcW w:w="1994" w:type="dxa"/>
            <w:tcBorders/>
          </w:tcPr>
          <w:p>
            <w:pPr>
              <w:pStyle w:val="Contenidodelatabla"/>
              <w:widowControl w:val="false"/>
              <w:bidi w:val="0"/>
              <w:jc w:val="center"/>
              <w:rPr>
                <w:color w:val="000000"/>
              </w:rPr>
            </w:pPr>
            <w:r>
              <w:rPr>
                <w:b w:val="false"/>
                <w:bCs w:val="false"/>
                <w:i w:val="false"/>
                <w:iCs w:val="false"/>
                <w:strike w:val="false"/>
                <w:dstrike w:val="false"/>
                <w:outline w:val="false"/>
                <w:shadow w:val="false"/>
                <w:color w:val="000000"/>
                <w:sz w:val="24"/>
                <w:szCs w:val="24"/>
                <w:u w:val="none"/>
              </w:rPr>
              <w:t>0.98355</w:t>
            </w:r>
          </w:p>
        </w:tc>
        <w:tc>
          <w:tcPr>
            <w:tcW w:w="1996" w:type="dxa"/>
            <w:tcBorders/>
          </w:tcPr>
          <w:p>
            <w:pPr>
              <w:pStyle w:val="Contenidodelatabla"/>
              <w:widowControl w:val="false"/>
              <w:bidi w:val="0"/>
              <w:jc w:val="center"/>
              <w:rPr>
                <w:color w:val="000000"/>
              </w:rPr>
            </w:pPr>
            <w:r>
              <w:rPr>
                <w:b w:val="false"/>
                <w:bCs w:val="false"/>
                <w:i w:val="false"/>
                <w:iCs w:val="false"/>
                <w:strike w:val="false"/>
                <w:dstrike w:val="false"/>
                <w:outline w:val="false"/>
                <w:shadow w:val="false"/>
                <w:color w:val="000000"/>
                <w:sz w:val="24"/>
                <w:szCs w:val="24"/>
                <w:u w:val="none"/>
              </w:rPr>
              <w:t>-0.03267</w:t>
            </w:r>
          </w:p>
        </w:tc>
        <w:tc>
          <w:tcPr>
            <w:tcW w:w="2000" w:type="dxa"/>
            <w:tcBorders/>
          </w:tcPr>
          <w:p>
            <w:pPr>
              <w:pStyle w:val="Contenidodelatabla"/>
              <w:widowControl w:val="false"/>
              <w:bidi w:val="0"/>
              <w:jc w:val="center"/>
              <w:rPr>
                <w:color w:val="000000"/>
              </w:rPr>
            </w:pPr>
            <w:r>
              <w:rPr>
                <w:b w:val="false"/>
                <w:bCs w:val="false"/>
                <w:i w:val="false"/>
                <w:iCs w:val="false"/>
                <w:strike w:val="false"/>
                <w:dstrike w:val="false"/>
                <w:outline w:val="false"/>
                <w:shadow w:val="false"/>
                <w:color w:val="000000"/>
                <w:sz w:val="24"/>
                <w:szCs w:val="24"/>
                <w:u w:val="none"/>
              </w:rPr>
              <w:t>0.87436</w:t>
            </w:r>
          </w:p>
        </w:tc>
      </w:tr>
      <w:tr>
        <w:trPr/>
        <w:tc>
          <w:tcPr>
            <w:tcW w:w="1987" w:type="dxa"/>
            <w:tcBorders/>
          </w:tcPr>
          <w:p>
            <w:pPr>
              <w:pStyle w:val="Contenidodelatabla"/>
              <w:widowControl w:val="false"/>
              <w:bidi w:val="0"/>
              <w:jc w:val="center"/>
              <w:rPr>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E7</w:t>
            </w:r>
          </w:p>
        </w:tc>
        <w:tc>
          <w:tcPr>
            <w:tcW w:w="1995" w:type="dxa"/>
            <w:tcBorders/>
          </w:tcPr>
          <w:p>
            <w:pPr>
              <w:pStyle w:val="Contenidodelatabla"/>
              <w:widowControl w:val="false"/>
              <w:bidi w:val="0"/>
              <w:jc w:val="center"/>
              <w:rPr>
                <w:color w:val="000000"/>
              </w:rPr>
            </w:pPr>
            <w:r>
              <w:rPr>
                <w:b w:val="false"/>
                <w:bCs w:val="false"/>
                <w:i w:val="false"/>
                <w:iCs w:val="false"/>
                <w:strike w:val="false"/>
                <w:dstrike w:val="false"/>
                <w:outline w:val="false"/>
                <w:shadow w:val="false"/>
                <w:color w:val="000000"/>
                <w:sz w:val="24"/>
                <w:szCs w:val="24"/>
                <w:u w:val="none"/>
              </w:rPr>
              <w:t>0.07085</w:t>
            </w:r>
          </w:p>
        </w:tc>
        <w:tc>
          <w:tcPr>
            <w:tcW w:w="1994" w:type="dxa"/>
            <w:tcBorders/>
          </w:tcPr>
          <w:p>
            <w:pPr>
              <w:pStyle w:val="Contenidodelatabla"/>
              <w:widowControl w:val="false"/>
              <w:bidi w:val="0"/>
              <w:jc w:val="center"/>
              <w:rPr>
                <w:color w:val="000000"/>
              </w:rPr>
            </w:pPr>
            <w:r>
              <w:rPr>
                <w:b w:val="false"/>
                <w:bCs w:val="false"/>
                <w:i w:val="false"/>
                <w:iCs w:val="false"/>
                <w:strike w:val="false"/>
                <w:dstrike w:val="false"/>
                <w:outline w:val="false"/>
                <w:shadow w:val="false"/>
                <w:color w:val="000000"/>
                <w:sz w:val="24"/>
                <w:szCs w:val="24"/>
                <w:u w:val="none"/>
              </w:rPr>
              <w:t>0.87008</w:t>
            </w:r>
          </w:p>
        </w:tc>
        <w:tc>
          <w:tcPr>
            <w:tcW w:w="1996" w:type="dxa"/>
            <w:tcBorders/>
          </w:tcPr>
          <w:p>
            <w:pPr>
              <w:pStyle w:val="Contenidodelatabla"/>
              <w:widowControl w:val="false"/>
              <w:bidi w:val="0"/>
              <w:jc w:val="center"/>
              <w:rPr>
                <w:color w:val="000000"/>
              </w:rPr>
            </w:pPr>
            <w:r>
              <w:rPr>
                <w:b w:val="false"/>
                <w:bCs w:val="false"/>
                <w:i w:val="false"/>
                <w:iCs w:val="false"/>
                <w:strike w:val="false"/>
                <w:dstrike w:val="false"/>
                <w:outline w:val="false"/>
                <w:shadow w:val="false"/>
                <w:color w:val="000000"/>
                <w:sz w:val="24"/>
                <w:szCs w:val="24"/>
                <w:u w:val="none"/>
              </w:rPr>
              <w:t>-0.04046</w:t>
            </w:r>
          </w:p>
        </w:tc>
        <w:tc>
          <w:tcPr>
            <w:tcW w:w="2000" w:type="dxa"/>
            <w:tcBorders/>
          </w:tcPr>
          <w:p>
            <w:pPr>
              <w:pStyle w:val="Contenidodelatabla"/>
              <w:widowControl w:val="false"/>
              <w:bidi w:val="0"/>
              <w:jc w:val="center"/>
              <w:rPr>
                <w:color w:val="000000"/>
              </w:rPr>
            </w:pPr>
            <w:r>
              <w:rPr>
                <w:b w:val="false"/>
                <w:bCs w:val="false"/>
                <w:i w:val="false"/>
                <w:iCs w:val="false"/>
                <w:strike w:val="false"/>
                <w:dstrike w:val="false"/>
                <w:outline w:val="false"/>
                <w:shadow w:val="false"/>
                <w:color w:val="000000"/>
                <w:sz w:val="24"/>
                <w:szCs w:val="24"/>
                <w:u w:val="none"/>
              </w:rPr>
              <w:t>0.85174</w:t>
            </w:r>
          </w:p>
        </w:tc>
      </w:tr>
      <w:tr>
        <w:trPr/>
        <w:tc>
          <w:tcPr>
            <w:tcW w:w="1987" w:type="dxa"/>
            <w:tcBorders>
              <w:bottom w:val="single" w:sz="6" w:space="0" w:color="000000"/>
            </w:tcBorders>
          </w:tcPr>
          <w:p>
            <w:pPr>
              <w:pStyle w:val="Contenidodelatabla"/>
              <w:widowControl w:val="false"/>
              <w:bidi w:val="0"/>
              <w:jc w:val="center"/>
              <w:rPr>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E8</w:t>
            </w:r>
          </w:p>
        </w:tc>
        <w:tc>
          <w:tcPr>
            <w:tcW w:w="1995" w:type="dxa"/>
            <w:tcBorders>
              <w:bottom w:val="single" w:sz="6" w:space="0" w:color="000000"/>
            </w:tcBorders>
          </w:tcPr>
          <w:p>
            <w:pPr>
              <w:pStyle w:val="Contenidodelatabla"/>
              <w:widowControl w:val="false"/>
              <w:bidi w:val="0"/>
              <w:jc w:val="center"/>
              <w:rPr>
                <w:color w:val="000000"/>
              </w:rPr>
            </w:pPr>
            <w:r>
              <w:rPr>
                <w:b w:val="false"/>
                <w:bCs w:val="false"/>
                <w:i w:val="false"/>
                <w:iCs w:val="false"/>
                <w:strike w:val="false"/>
                <w:dstrike w:val="false"/>
                <w:outline w:val="false"/>
                <w:shadow w:val="false"/>
                <w:color w:val="000000"/>
                <w:sz w:val="24"/>
                <w:szCs w:val="24"/>
                <w:u w:val="none"/>
              </w:rPr>
              <w:t>0.05749</w:t>
            </w:r>
          </w:p>
        </w:tc>
        <w:tc>
          <w:tcPr>
            <w:tcW w:w="1994" w:type="dxa"/>
            <w:tcBorders>
              <w:bottom w:val="single" w:sz="6" w:space="0" w:color="000000"/>
            </w:tcBorders>
          </w:tcPr>
          <w:p>
            <w:pPr>
              <w:pStyle w:val="Contenidodelatabla"/>
              <w:widowControl w:val="false"/>
              <w:bidi w:val="0"/>
              <w:jc w:val="center"/>
              <w:rPr>
                <w:color w:val="000000"/>
              </w:rPr>
            </w:pPr>
            <w:r>
              <w:rPr>
                <w:b w:val="false"/>
                <w:bCs w:val="false"/>
                <w:i w:val="false"/>
                <w:iCs w:val="false"/>
                <w:strike w:val="false"/>
                <w:dstrike w:val="false"/>
                <w:outline w:val="false"/>
                <w:shadow w:val="false"/>
                <w:color w:val="000000"/>
                <w:sz w:val="24"/>
                <w:szCs w:val="24"/>
                <w:u w:val="none"/>
              </w:rPr>
              <w:t>0.90903</w:t>
            </w:r>
          </w:p>
        </w:tc>
        <w:tc>
          <w:tcPr>
            <w:tcW w:w="1996" w:type="dxa"/>
            <w:tcBorders>
              <w:bottom w:val="single" w:sz="6" w:space="0" w:color="000000"/>
            </w:tcBorders>
          </w:tcPr>
          <w:p>
            <w:pPr>
              <w:pStyle w:val="Contenidodelatabla"/>
              <w:widowControl w:val="false"/>
              <w:bidi w:val="0"/>
              <w:jc w:val="center"/>
              <w:rPr>
                <w:color w:val="000000"/>
              </w:rPr>
            </w:pPr>
            <w:r>
              <w:rPr>
                <w:b w:val="false"/>
                <w:bCs w:val="false"/>
                <w:i w:val="false"/>
                <w:iCs w:val="false"/>
                <w:strike w:val="false"/>
                <w:dstrike w:val="false"/>
                <w:outline w:val="false"/>
                <w:shadow w:val="false"/>
                <w:color w:val="000000"/>
                <w:sz w:val="24"/>
                <w:szCs w:val="24"/>
                <w:u w:val="none"/>
              </w:rPr>
              <w:t>-0.03584</w:t>
            </w:r>
          </w:p>
        </w:tc>
        <w:tc>
          <w:tcPr>
            <w:tcW w:w="2000" w:type="dxa"/>
            <w:tcBorders>
              <w:bottom w:val="single" w:sz="6" w:space="0" w:color="000000"/>
            </w:tcBorders>
          </w:tcPr>
          <w:p>
            <w:pPr>
              <w:pStyle w:val="Contenidodelatabla"/>
              <w:widowControl w:val="false"/>
              <w:bidi w:val="0"/>
              <w:jc w:val="center"/>
              <w:rPr>
                <w:color w:val="000000"/>
              </w:rPr>
            </w:pPr>
            <w:r>
              <w:rPr>
                <w:b w:val="false"/>
                <w:bCs w:val="false"/>
                <w:i w:val="false"/>
                <w:iCs w:val="false"/>
                <w:strike w:val="false"/>
                <w:dstrike w:val="false"/>
                <w:outline w:val="false"/>
                <w:shadow w:val="false"/>
                <w:color w:val="000000"/>
                <w:sz w:val="24"/>
                <w:szCs w:val="24"/>
                <w:u w:val="none"/>
              </w:rPr>
              <w:t>0.87986</w:t>
            </w:r>
          </w:p>
        </w:tc>
      </w:tr>
    </w:tbl>
    <w:p>
      <w:pPr>
        <w:pStyle w:val="Normal"/>
        <w:bidi w:val="0"/>
        <w:spacing w:before="0" w:after="0"/>
        <w:jc w:val="both"/>
        <w:rPr>
          <w:b w:val="false"/>
          <w:b w:val="false"/>
          <w:bCs w:val="false"/>
          <w:i w:val="false"/>
          <w:i w:val="false"/>
          <w:caps w:val="false"/>
          <w:smallCaps w:val="false"/>
          <w:color w:val="000000"/>
          <w:spacing w:val="0"/>
          <w:sz w:val="20"/>
          <w:szCs w:val="20"/>
        </w:rPr>
      </w:pPr>
      <w:r>
        <w:rPr>
          <w:b w:val="false"/>
          <w:bCs w:val="false"/>
          <w:i w:val="false"/>
          <w:caps w:val="false"/>
          <w:smallCaps w:val="false"/>
          <w:color w:val="000000"/>
          <w:spacing w:val="0"/>
          <w:sz w:val="20"/>
          <w:szCs w:val="20"/>
        </w:rPr>
        <w:t>E0, without genotype information; E1, genotypes with a density of 43,421 markers; E2, genotypes with a density of 579,424 markers; E3, genotypes with a density of 5,534 markers; E4, genotypes with a density of 97,779 markers; E5, genotypes with a density of 13,961 markers; E6, genotypes with a density of 203,612 markers; E7, genotypes with a density of 5,000 markers; E8, genotypes with a density of 13,999 markers.</w:t>
      </w:r>
    </w:p>
    <w:p>
      <w:pPr>
        <w:pStyle w:val="Normal"/>
        <w:bidi w:val="0"/>
        <w:spacing w:before="0" w:after="0"/>
        <w:jc w:val="both"/>
        <w:rPr>
          <w:b w:val="false"/>
          <w:b w:val="false"/>
          <w:bCs w:val="false"/>
          <w:i w:val="false"/>
          <w:i w:val="false"/>
          <w:caps w:val="false"/>
          <w:smallCaps w:val="false"/>
          <w:color w:val="000000"/>
          <w:spacing w:val="0"/>
          <w:sz w:val="20"/>
          <w:szCs w:val="20"/>
        </w:rPr>
      </w:pPr>
      <w:r>
        <w:rPr>
          <w:b w:val="false"/>
          <w:bCs w:val="false"/>
          <w:i w:val="false"/>
          <w:caps w:val="false"/>
          <w:smallCaps w:val="false"/>
          <w:color w:val="000000"/>
          <w:spacing w:val="0"/>
          <w:sz w:val="20"/>
          <w:szCs w:val="20"/>
        </w:rPr>
      </w:r>
    </w:p>
    <w:p>
      <w:pPr>
        <w:pStyle w:val="Normal"/>
        <w:bidi w:val="0"/>
        <w:spacing w:before="0" w:after="0"/>
        <w:jc w:val="both"/>
        <w:rPr>
          <w:b w:val="false"/>
          <w:b w:val="false"/>
          <w:bCs w:val="false"/>
          <w:i w:val="false"/>
          <w:i w:val="false"/>
          <w:caps w:val="false"/>
          <w:smallCaps w:val="false"/>
          <w:color w:val="000000"/>
          <w:spacing w:val="0"/>
          <w:sz w:val="20"/>
          <w:szCs w:val="20"/>
        </w:rPr>
      </w:pPr>
      <w:r>
        <w:rPr>
          <w:b w:val="false"/>
          <w:bCs w:val="false"/>
          <w:i w:val="false"/>
          <w:caps w:val="false"/>
          <w:smallCaps w:val="false"/>
          <w:color w:val="000000"/>
          <w:spacing w:val="0"/>
          <w:sz w:val="20"/>
          <w:szCs w:val="20"/>
        </w:rPr>
      </w:r>
    </w:p>
    <w:p>
      <w:pPr>
        <w:pStyle w:val="Normal"/>
        <w:bidi w:val="0"/>
        <w:spacing w:before="0" w:after="0"/>
        <w:jc w:val="both"/>
        <w:rPr>
          <w:b w:val="false"/>
          <w:b w:val="false"/>
          <w:bCs w:val="false"/>
          <w:i w:val="false"/>
          <w:i w:val="false"/>
          <w:caps w:val="false"/>
          <w:smallCaps w:val="false"/>
          <w:color w:val="000000"/>
          <w:spacing w:val="0"/>
          <w:sz w:val="20"/>
          <w:szCs w:val="20"/>
        </w:rPr>
      </w:pPr>
      <w:r>
        <w:rPr>
          <w:b w:val="false"/>
          <w:bCs w:val="false"/>
          <w:i w:val="false"/>
          <w:caps w:val="false"/>
          <w:smallCaps w:val="false"/>
          <w:color w:val="000000"/>
          <w:spacing w:val="0"/>
          <w:sz w:val="20"/>
          <w:szCs w:val="20"/>
        </w:rPr>
      </w:r>
    </w:p>
    <w:p>
      <w:pPr>
        <w:pStyle w:val="Normal"/>
        <w:bidi w:val="0"/>
        <w:spacing w:before="0" w:after="0"/>
        <w:jc w:val="both"/>
        <w:rPr>
          <w:b w:val="false"/>
          <w:b w:val="false"/>
          <w:bCs w:val="false"/>
          <w:i w:val="false"/>
          <w:i w:val="false"/>
          <w:caps w:val="false"/>
          <w:smallCaps w:val="false"/>
          <w:color w:val="000000"/>
          <w:spacing w:val="0"/>
          <w:sz w:val="24"/>
          <w:szCs w:val="24"/>
        </w:rPr>
      </w:pPr>
      <w:r>
        <w:rPr>
          <w:b w:val="false"/>
          <w:bCs w:val="false"/>
          <w:i w:val="false"/>
          <w:caps w:val="false"/>
          <w:smallCaps w:val="false"/>
          <w:color w:val="000000"/>
          <w:spacing w:val="0"/>
          <w:sz w:val="24"/>
          <w:szCs w:val="24"/>
        </w:rPr>
      </w:r>
    </w:p>
    <w:p>
      <w:pPr>
        <w:pStyle w:val="Normal"/>
        <w:bidi w:val="0"/>
        <w:spacing w:before="0" w:after="0"/>
        <w:jc w:val="both"/>
        <w:rPr>
          <w:b/>
          <w:b/>
          <w:bCs/>
          <w:i w:val="false"/>
          <w:i w:val="false"/>
          <w:caps w:val="false"/>
          <w:smallCaps w:val="false"/>
          <w:color w:val="000000"/>
          <w:spacing w:val="0"/>
          <w:sz w:val="24"/>
          <w:szCs w:val="24"/>
        </w:rPr>
      </w:pPr>
      <w:r>
        <w:rPr>
          <w:rStyle w:val="Destaquemayor"/>
          <w:b/>
          <w:bCs/>
          <w:i w:val="false"/>
          <w:caps w:val="false"/>
          <w:smallCaps w:val="false"/>
          <w:color w:val="000000"/>
          <w:spacing w:val="0"/>
          <w:sz w:val="24"/>
          <w:szCs w:val="24"/>
          <w:shd w:fill="auto" w:val="clear"/>
        </w:rPr>
        <w:t>5. References</w:t>
      </w:r>
    </w:p>
    <w:p>
      <w:pPr>
        <w:pStyle w:val="Normal"/>
        <w:bidi w:val="0"/>
        <w:spacing w:before="0" w:after="0"/>
        <w:jc w:val="both"/>
        <w:rPr>
          <w:b/>
          <w:b/>
          <w:bCs/>
          <w:i w:val="false"/>
          <w:i w:val="false"/>
          <w:caps w:val="false"/>
          <w:smallCaps w:val="false"/>
          <w:color w:val="000000"/>
          <w:spacing w:val="0"/>
          <w:sz w:val="24"/>
          <w:szCs w:val="24"/>
        </w:rPr>
      </w:pPr>
      <w:r>
        <w:rPr>
          <w:b/>
          <w:bCs/>
          <w:i w:val="false"/>
          <w:caps w:val="false"/>
          <w:smallCaps w:val="false"/>
          <w:color w:val="000000"/>
          <w:spacing w:val="0"/>
          <w:sz w:val="24"/>
          <w:szCs w:val="24"/>
        </w:rPr>
      </w:r>
    </w:p>
    <w:p>
      <w:pPr>
        <w:pStyle w:val="Cuerpodetexto"/>
        <w:bidi w:val="0"/>
        <w:spacing w:before="0" w:after="0"/>
        <w:jc w:val="both"/>
        <w:rPr/>
      </w:pPr>
      <w:r>
        <w:rPr>
          <w:b w:val="false"/>
          <w:bCs w:val="false"/>
          <w:i w:val="false"/>
          <w:iCs w:val="false"/>
          <w:caps w:val="false"/>
          <w:smallCaps w:val="false"/>
          <w:color w:val="000000"/>
          <w:spacing w:val="0"/>
          <w:sz w:val="24"/>
          <w:szCs w:val="24"/>
        </w:rPr>
        <w:t xml:space="preserve">Abraham, K. J. y Díaz, C. 2014. Identifying large sets of unrelated individuals and unrelated markers. Source Code for biology and Medicine 9 (6). </w:t>
      </w:r>
      <w:hyperlink r:id="rId6">
        <w:r>
          <w:rPr>
            <w:rStyle w:val="EnlacedeInternet"/>
            <w:b w:val="false"/>
            <w:bCs w:val="false"/>
            <w:i w:val="false"/>
            <w:iCs w:val="false"/>
            <w:caps w:val="false"/>
            <w:smallCaps w:val="false"/>
            <w:color w:val="000000"/>
            <w:spacing w:val="0"/>
            <w:sz w:val="24"/>
            <w:szCs w:val="24"/>
          </w:rPr>
          <w:t>https://doi.org/10.1186/1751-0473-9-6</w:t>
        </w:r>
      </w:hyperlink>
      <w:r>
        <w:rPr>
          <w:b w:val="false"/>
          <w:bCs w:val="false"/>
          <w:i w:val="false"/>
          <w:iCs w:val="false"/>
          <w:caps w:val="false"/>
          <w:smallCaps w:val="false"/>
          <w:color w:val="000000"/>
          <w:spacing w:val="0"/>
          <w:sz w:val="24"/>
          <w:szCs w:val="24"/>
        </w:rPr>
        <w:t>.</w:t>
      </w:r>
    </w:p>
    <w:p>
      <w:pPr>
        <w:pStyle w:val="Cuerpodetexto"/>
        <w:bidi w:val="0"/>
        <w:spacing w:before="0" w:after="0"/>
        <w:jc w:val="both"/>
        <w:rPr>
          <w:rFonts w:ascii="Liberation Serif" w:hAnsi="Liberation Serif"/>
          <w:color w:val="000000"/>
          <w:sz w:val="24"/>
          <w:szCs w:val="24"/>
        </w:rPr>
      </w:pPr>
      <w:r>
        <w:rPr>
          <w:color w:val="000000"/>
          <w:sz w:val="24"/>
          <w:szCs w:val="24"/>
        </w:rPr>
      </w:r>
    </w:p>
    <w:p>
      <w:pPr>
        <w:pStyle w:val="Cuerpodetexto"/>
        <w:bidi w:val="0"/>
        <w:spacing w:before="0" w:after="0"/>
        <w:jc w:val="both"/>
        <w:rPr/>
      </w:pPr>
      <w:r>
        <w:rPr>
          <w:b w:val="false"/>
          <w:i w:val="false"/>
          <w:iCs w:val="false"/>
          <w:caps w:val="false"/>
          <w:smallCaps w:val="false"/>
          <w:color w:val="000000"/>
          <w:spacing w:val="0"/>
          <w:sz w:val="24"/>
          <w:szCs w:val="24"/>
        </w:rPr>
        <w:t xml:space="preserve">Aguilar, I. Tsuruta, S. Masuda, Y. Lourenco, D. A. L. Legarra, A. y Misztal, I. 2018. BLUPF90 Suite of Programs for Animal Breeding. 11th World Congr. </w:t>
      </w:r>
      <w:r>
        <w:rPr>
          <w:rStyle w:val="Destacado"/>
          <w:b w:val="false"/>
          <w:i w:val="false"/>
          <w:iCs w:val="false"/>
          <w:caps w:val="false"/>
          <w:smallCaps w:val="false"/>
          <w:color w:val="000000"/>
          <w:spacing w:val="0"/>
          <w:sz w:val="24"/>
          <w:szCs w:val="24"/>
        </w:rPr>
        <w:t xml:space="preserve">Genet. Appl. Livest. Prod. </w:t>
      </w:r>
      <w:r>
        <w:rPr>
          <w:b w:val="false"/>
          <w:i w:val="false"/>
          <w:iCs w:val="false"/>
          <w:caps w:val="false"/>
          <w:smallCaps w:val="false"/>
          <w:color w:val="000000"/>
          <w:spacing w:val="0"/>
          <w:sz w:val="24"/>
          <w:szCs w:val="24"/>
        </w:rPr>
        <w:t>11, 751.</w:t>
      </w:r>
    </w:p>
    <w:p>
      <w:pPr>
        <w:pStyle w:val="Cuerpodetexto"/>
        <w:bidi w:val="0"/>
        <w:spacing w:before="0" w:after="0"/>
        <w:jc w:val="both"/>
        <w:rPr>
          <w:rFonts w:ascii="Liberation Serif" w:hAnsi="Liberation Serif"/>
          <w:b w:val="false"/>
          <w:b w:val="false"/>
          <w:i w:val="false"/>
          <w:i w:val="false"/>
          <w:iCs w:val="false"/>
          <w:caps w:val="false"/>
          <w:smallCaps w:val="false"/>
          <w:color w:val="000000"/>
          <w:spacing w:val="0"/>
          <w:sz w:val="24"/>
          <w:szCs w:val="24"/>
        </w:rPr>
      </w:pPr>
      <w:r>
        <w:rPr>
          <w:b w:val="false"/>
          <w:i w:val="false"/>
          <w:iCs w:val="false"/>
          <w:caps w:val="false"/>
          <w:smallCaps w:val="false"/>
          <w:color w:val="000000"/>
          <w:spacing w:val="0"/>
          <w:sz w:val="24"/>
          <w:szCs w:val="24"/>
        </w:rPr>
      </w:r>
    </w:p>
    <w:p>
      <w:pPr>
        <w:pStyle w:val="Cuerpodetexto"/>
        <w:bidi w:val="0"/>
        <w:spacing w:before="0" w:after="0"/>
        <w:jc w:val="both"/>
        <w:rPr/>
      </w:pPr>
      <w:r>
        <w:rPr>
          <w:rStyle w:val="Destacado"/>
          <w:b w:val="false"/>
          <w:bCs w:val="false"/>
          <w:i w:val="false"/>
          <w:iCs w:val="false"/>
          <w:caps w:val="false"/>
          <w:smallCaps w:val="false"/>
          <w:color w:val="000000"/>
          <w:spacing w:val="0"/>
          <w:sz w:val="24"/>
          <w:szCs w:val="24"/>
        </w:rPr>
        <w:t xml:space="preserve">Bonifazi R. 2023. TuttiFrutti: A Collection of Miscellaneous R Functions and R Scripts. GitHub Repository. DOI: </w:t>
      </w:r>
      <w:hyperlink r:id="rId7">
        <w:r>
          <w:rPr>
            <w:rStyle w:val="EnlacedeInternet"/>
            <w:b w:val="false"/>
            <w:bCs w:val="false"/>
            <w:i w:val="false"/>
            <w:iCs w:val="false"/>
            <w:caps w:val="false"/>
            <w:smallCaps w:val="false"/>
            <w:color w:val="000000"/>
            <w:spacing w:val="0"/>
            <w:sz w:val="24"/>
            <w:szCs w:val="24"/>
            <w:u w:val="single"/>
            <w:shd w:fill="auto" w:val="clear"/>
          </w:rPr>
          <w:t>10.5281/zenodo.11185709</w:t>
        </w:r>
      </w:hyperlink>
      <w:r>
        <w:rPr>
          <w:rStyle w:val="Destacado"/>
          <w:b w:val="false"/>
          <w:bCs w:val="false"/>
          <w:i w:val="false"/>
          <w:iCs w:val="false"/>
          <w:caps w:val="false"/>
          <w:smallCaps w:val="false"/>
          <w:color w:val="000000"/>
          <w:spacing w:val="0"/>
          <w:sz w:val="24"/>
          <w:szCs w:val="24"/>
        </w:rPr>
        <w:t xml:space="preserve">. Available on line: </w:t>
      </w:r>
      <w:hyperlink r:id="rId8">
        <w:r>
          <w:rPr>
            <w:rStyle w:val="EnlacedeInternet"/>
            <w:b w:val="false"/>
            <w:bCs w:val="false"/>
            <w:i/>
            <w:iCs/>
            <w:caps w:val="false"/>
            <w:smallCaps w:val="false"/>
            <w:spacing w:val="0"/>
            <w:sz w:val="24"/>
            <w:szCs w:val="24"/>
          </w:rPr>
          <w:t>https://github.com/bonifazi/TuttiFrutti</w:t>
        </w:r>
      </w:hyperlink>
      <w:r>
        <w:rPr>
          <w:rStyle w:val="Destacado"/>
          <w:b w:val="false"/>
          <w:bCs w:val="false"/>
          <w:i w:val="false"/>
          <w:iCs w:val="false"/>
          <w:caps w:val="false"/>
          <w:smallCaps w:val="false"/>
          <w:color w:val="000000"/>
          <w:spacing w:val="0"/>
          <w:sz w:val="24"/>
          <w:szCs w:val="24"/>
          <w:u w:val="single"/>
          <w:shd w:fill="auto" w:val="clear"/>
        </w:rPr>
        <w:t>.</w:t>
      </w:r>
    </w:p>
    <w:p>
      <w:pPr>
        <w:pStyle w:val="Cuerpodetexto"/>
        <w:bidi w:val="0"/>
        <w:spacing w:before="0" w:after="0"/>
        <w:jc w:val="both"/>
        <w:rPr/>
      </w:pPr>
      <w:r>
        <w:rPr>
          <w:b w:val="false"/>
          <w:bCs w:val="false"/>
          <w:color w:val="000000"/>
          <w:sz w:val="24"/>
          <w:szCs w:val="24"/>
        </w:rPr>
        <w:br/>
      </w:r>
      <w:r>
        <w:rPr>
          <w:b w:val="false"/>
          <w:bCs w:val="false"/>
          <w:i w:val="false"/>
          <w:iCs w:val="false"/>
          <w:caps w:val="false"/>
          <w:smallCaps w:val="false"/>
          <w:color w:val="000000"/>
          <w:spacing w:val="0"/>
          <w:sz w:val="24"/>
          <w:szCs w:val="24"/>
        </w:rPr>
        <w:t xml:space="preserve">Browning, B. L. Zhou, Y. y Browning S. R. 2018. A one-penny imputed genome from next generation reference panels. Am J Hum Genet 103(3):338-348. </w:t>
      </w:r>
      <w:hyperlink r:id="rId9" w:tgtFrame="_blank">
        <w:r>
          <w:rPr>
            <w:rStyle w:val="EnlacedeInternet"/>
            <w:b w:val="false"/>
            <w:bCs w:val="false"/>
            <w:i w:val="false"/>
            <w:iCs w:val="false"/>
            <w:caps w:val="false"/>
            <w:smallCaps w:val="false"/>
            <w:color w:val="000000"/>
            <w:spacing w:val="0"/>
            <w:sz w:val="24"/>
            <w:szCs w:val="24"/>
          </w:rPr>
          <w:t>doi:10.1016/j.ajhg.2018.07.015</w:t>
        </w:r>
      </w:hyperlink>
      <w:r>
        <w:rPr>
          <w:b w:val="false"/>
          <w:bCs w:val="false"/>
          <w:i w:val="false"/>
          <w:iCs w:val="false"/>
          <w:caps w:val="false"/>
          <w:smallCaps w:val="false"/>
          <w:strike w:val="false"/>
          <w:dstrike w:val="false"/>
          <w:color w:val="000000"/>
          <w:spacing w:val="0"/>
          <w:sz w:val="24"/>
          <w:szCs w:val="24"/>
          <w:u w:val="none"/>
          <w:effect w:val="none"/>
        </w:rPr>
        <w:t>.</w:t>
      </w:r>
    </w:p>
    <w:p>
      <w:pPr>
        <w:pStyle w:val="Cuerpodetexto"/>
        <w:bidi w:val="0"/>
        <w:spacing w:before="0" w:after="0"/>
        <w:jc w:val="both"/>
        <w:rPr>
          <w:rFonts w:ascii="Liberation Serif" w:hAnsi="Liberation Serif"/>
        </w:rPr>
      </w:pPr>
      <w:r>
        <w:rPr/>
      </w:r>
    </w:p>
    <w:p>
      <w:pPr>
        <w:pStyle w:val="Cuerpodetexto"/>
        <w:bidi w:val="0"/>
        <w:spacing w:before="0" w:after="0"/>
        <w:jc w:val="both"/>
        <w:rPr/>
      </w:pPr>
      <w:r>
        <w:rPr>
          <w:color w:val="000000"/>
          <w:sz w:val="24"/>
          <w:szCs w:val="24"/>
        </w:rPr>
        <w:t>D</w:t>
      </w:r>
      <w:r>
        <w:rPr>
          <w:rFonts w:eastAsia="Noto Serif CJK SC" w:cs="Lohit Devanagari"/>
          <w:color w:val="000000"/>
          <w:kern w:val="2"/>
          <w:sz w:val="24"/>
          <w:szCs w:val="24"/>
          <w:lang w:val="es-ES" w:eastAsia="zh-CN" w:bidi="hi-IN"/>
        </w:rPr>
        <w:t xml:space="preserve">íaz, C. Varona, L. Carabaño, M. J. Nicolazzi, E. Bichard, M. Baro, J. Molina, A. Piedrafita, J. Rossoni, A. </w:t>
      </w:r>
      <w:r>
        <w:rPr>
          <w:rFonts w:eastAsia="Noto Serif CJK SC" w:cs="Lohit Devanagari"/>
          <w:b w:val="false"/>
          <w:i w:val="false"/>
          <w:caps w:val="false"/>
          <w:smallCaps w:val="false"/>
          <w:color w:val="000000"/>
          <w:spacing w:val="0"/>
          <w:kern w:val="2"/>
          <w:sz w:val="24"/>
          <w:szCs w:val="24"/>
          <w:lang w:val="es-ES" w:eastAsia="zh-CN" w:bidi="hi-IN"/>
        </w:rPr>
        <w:t>Schwarzenbacher, H. Seyfried, F. Solberg T. R. Vicario, D. Altarriba, J y Abraham K. J.</w:t>
      </w:r>
      <w:r>
        <w:rPr>
          <w:rFonts w:eastAsia="Noto Serif CJK SC" w:cs="Lohit Devanagari"/>
          <w:color w:val="000000"/>
          <w:kern w:val="2"/>
          <w:sz w:val="24"/>
          <w:szCs w:val="24"/>
          <w:lang w:val="es-ES" w:eastAsia="zh-CN" w:bidi="hi-IN"/>
        </w:rPr>
        <w:t xml:space="preserve"> 2016. </w:t>
      </w:r>
      <w:r>
        <w:rPr>
          <w:rFonts w:eastAsia="Noto Serif CJK SC" w:cs="Lohit Devanagari"/>
          <w:b w:val="false"/>
          <w:i w:val="false"/>
          <w:caps w:val="false"/>
          <w:smallCaps w:val="false"/>
          <w:color w:val="000000"/>
          <w:spacing w:val="0"/>
          <w:kern w:val="2"/>
          <w:sz w:val="24"/>
          <w:szCs w:val="24"/>
          <w:lang w:val="es-ES" w:eastAsia="zh-CN" w:bidi="hi-IN"/>
        </w:rPr>
        <w:t xml:space="preserve">Using LD structure of several populations to optimize an SNP panel for conservation and selection. Journal of Animal Science 94: 168-169. </w:t>
      </w:r>
      <w:hyperlink r:id="rId10">
        <w:r>
          <w:rPr>
            <w:rStyle w:val="EnlacedeInternet"/>
            <w:rFonts w:eastAsia="Noto Serif CJK SC" w:cs="Lohit Devanagari"/>
            <w:b w:val="false"/>
            <w:i w:val="false"/>
            <w:caps w:val="false"/>
            <w:smallCaps w:val="false"/>
            <w:strike w:val="false"/>
            <w:dstrike w:val="false"/>
            <w:color w:val="000000"/>
            <w:spacing w:val="0"/>
            <w:kern w:val="2"/>
            <w:sz w:val="24"/>
            <w:szCs w:val="24"/>
            <w:u w:val="none"/>
            <w:effect w:val="none"/>
            <w:lang w:val="es-ES" w:eastAsia="zh-CN" w:bidi="hi-IN"/>
          </w:rPr>
          <w:t>https://doi.org/10.2527/jam2016-0350</w:t>
        </w:r>
      </w:hyperlink>
      <w:r>
        <w:rPr>
          <w:rFonts w:eastAsia="Noto Serif CJK SC" w:cs="Lohit Devanagari"/>
          <w:b w:val="false"/>
          <w:i w:val="false"/>
          <w:caps w:val="false"/>
          <w:smallCaps w:val="false"/>
          <w:strike w:val="false"/>
          <w:dstrike w:val="false"/>
          <w:color w:val="000000"/>
          <w:spacing w:val="0"/>
          <w:kern w:val="2"/>
          <w:sz w:val="24"/>
          <w:szCs w:val="24"/>
          <w:u w:val="none"/>
          <w:effect w:val="none"/>
          <w:lang w:val="es-ES" w:eastAsia="zh-CN" w:bidi="hi-IN"/>
        </w:rPr>
        <w:t>.</w:t>
      </w:r>
    </w:p>
    <w:p>
      <w:pPr>
        <w:pStyle w:val="Cuerpodetexto"/>
        <w:bidi w:val="0"/>
        <w:spacing w:before="0" w:after="0"/>
        <w:jc w:val="both"/>
        <w:rPr>
          <w:rFonts w:ascii="Liberation Serif" w:hAnsi="Liberation Serif"/>
        </w:rPr>
      </w:pPr>
      <w:r>
        <w:rPr/>
      </w:r>
    </w:p>
    <w:p>
      <w:pPr>
        <w:pStyle w:val="Normal"/>
        <w:bidi w:val="0"/>
        <w:spacing w:before="0" w:after="0"/>
        <w:jc w:val="both"/>
        <w:rPr/>
      </w:pPr>
      <w:r>
        <w:rPr>
          <w:rStyle w:val="Destacado"/>
          <w:b w:val="false"/>
          <w:bCs w:val="false"/>
          <w:i w:val="false"/>
          <w:iCs w:val="false"/>
          <w:caps w:val="false"/>
          <w:smallCaps w:val="false"/>
          <w:strike w:val="false"/>
          <w:dstrike w:val="false"/>
          <w:color w:val="000000"/>
          <w:spacing w:val="0"/>
          <w:sz w:val="24"/>
          <w:szCs w:val="24"/>
          <w:u w:val="none"/>
          <w:effect w:val="none"/>
        </w:rPr>
        <w:t xml:space="preserve">Legarra A. y Reverter A. 2018. Semi-parametric estimates of population accuracy and bias of predictions of breeding values and future phenotypes using the LR method. Genet Sel Evol 50(1):53. </w:t>
      </w:r>
      <w:hyperlink r:id="rId11">
        <w:r>
          <w:rPr>
            <w:rStyle w:val="EnlacedeInternet"/>
            <w:b w:val="false"/>
            <w:bCs w:val="false"/>
            <w:i w:val="false"/>
            <w:iCs w:val="false"/>
            <w:caps w:val="false"/>
            <w:smallCaps w:val="false"/>
            <w:strike w:val="false"/>
            <w:dstrike w:val="false"/>
            <w:color w:val="000000"/>
            <w:spacing w:val="0"/>
            <w:sz w:val="24"/>
            <w:szCs w:val="24"/>
            <w:u w:val="single"/>
            <w:effect w:val="none"/>
            <w:shd w:fill="FFFFFF" w:val="clear"/>
          </w:rPr>
          <w:t>https://doi.org/10.1186/s12711-018-0426-6</w:t>
        </w:r>
      </w:hyperlink>
      <w:r>
        <w:rPr>
          <w:rStyle w:val="Destacado"/>
          <w:b w:val="false"/>
          <w:bCs w:val="false"/>
          <w:i w:val="false"/>
          <w:iCs w:val="false"/>
          <w:caps w:val="false"/>
          <w:smallCaps w:val="false"/>
          <w:strike w:val="false"/>
          <w:dstrike w:val="false"/>
          <w:color w:val="000000"/>
          <w:spacing w:val="0"/>
          <w:sz w:val="24"/>
          <w:szCs w:val="24"/>
          <w:u w:val="none"/>
          <w:effect w:val="none"/>
          <w:shd w:fill="FFFFFF" w:val="clear"/>
        </w:rPr>
        <w:t>.</w:t>
      </w:r>
    </w:p>
    <w:p>
      <w:pPr>
        <w:pStyle w:val="Cuerpodetexto"/>
        <w:bidi w:val="0"/>
        <w:spacing w:before="0" w:after="0"/>
        <w:jc w:val="both"/>
        <w:rPr>
          <w:rFonts w:ascii="Liberation Serif" w:hAnsi="Liberation Serif"/>
          <w:color w:val="000000"/>
          <w:sz w:val="24"/>
          <w:szCs w:val="24"/>
        </w:rPr>
      </w:pPr>
      <w:r>
        <w:rPr>
          <w:color w:val="000000"/>
          <w:sz w:val="24"/>
          <w:szCs w:val="24"/>
        </w:rPr>
      </w:r>
    </w:p>
    <w:p>
      <w:pPr>
        <w:pStyle w:val="Normal"/>
        <w:bidi w:val="0"/>
        <w:spacing w:before="0" w:after="0"/>
        <w:jc w:val="both"/>
        <w:rPr/>
      </w:pPr>
      <w:r>
        <w:rPr>
          <w:b w:val="false"/>
          <w:bCs w:val="false"/>
          <w:i w:val="false"/>
          <w:iCs w:val="false"/>
          <w:caps w:val="false"/>
          <w:smallCaps w:val="false"/>
          <w:strike w:val="false"/>
          <w:dstrike w:val="false"/>
          <w:color w:val="000000"/>
          <w:spacing w:val="0"/>
          <w:sz w:val="24"/>
          <w:szCs w:val="24"/>
          <w:u w:val="none"/>
          <w:effect w:val="none"/>
        </w:rPr>
        <w:t xml:space="preserve">Lin, P., S. M. Hartz, Z. Zhang, S. F. Saccone, J. Wang, J. A. Tischfield, H. J. Edenberg, et al. 2010. A new statistic to evaluate imputation reliability. </w:t>
      </w:r>
      <w:r>
        <w:rPr>
          <w:rStyle w:val="Destacado"/>
          <w:b w:val="false"/>
          <w:bCs w:val="false"/>
          <w:i w:val="false"/>
          <w:iCs w:val="false"/>
          <w:caps w:val="false"/>
          <w:smallCaps w:val="false"/>
          <w:strike w:val="false"/>
          <w:dstrike w:val="false"/>
          <w:color w:val="000000"/>
          <w:spacing w:val="0"/>
          <w:sz w:val="24"/>
          <w:szCs w:val="24"/>
          <w:u w:val="none"/>
          <w:effect w:val="none"/>
        </w:rPr>
        <w:t xml:space="preserve">PLoS One </w:t>
      </w:r>
      <w:r>
        <w:rPr>
          <w:b w:val="false"/>
          <w:bCs w:val="false"/>
          <w:i w:val="false"/>
          <w:iCs w:val="false"/>
          <w:caps w:val="false"/>
          <w:smallCaps w:val="false"/>
          <w:strike w:val="false"/>
          <w:dstrike w:val="false"/>
          <w:color w:val="000000"/>
          <w:spacing w:val="0"/>
          <w:sz w:val="24"/>
          <w:szCs w:val="24"/>
          <w:u w:val="none"/>
          <w:effect w:val="none"/>
        </w:rPr>
        <w:t xml:space="preserve">5 (3): e9697. </w:t>
      </w:r>
      <w:hyperlink r:id="rId12">
        <w:r>
          <w:rPr>
            <w:rStyle w:val="EnlacedeInternet"/>
            <w:b w:val="false"/>
            <w:bCs w:val="false"/>
            <w:i w:val="false"/>
            <w:iCs w:val="false"/>
            <w:caps w:val="false"/>
            <w:smallCaps w:val="false"/>
            <w:strike w:val="false"/>
            <w:dstrike w:val="false"/>
            <w:color w:val="000000"/>
            <w:spacing w:val="0"/>
            <w:sz w:val="24"/>
            <w:szCs w:val="24"/>
            <w:u w:val="none"/>
            <w:effect w:val="none"/>
          </w:rPr>
          <w:t>https://doi.org/10.1371/journal.pone.0009697</w:t>
        </w:r>
      </w:hyperlink>
      <w:r>
        <w:rPr>
          <w:b w:val="false"/>
          <w:bCs w:val="false"/>
          <w:i w:val="false"/>
          <w:iCs w:val="false"/>
          <w:caps w:val="false"/>
          <w:smallCaps w:val="false"/>
          <w:strike w:val="false"/>
          <w:dstrike w:val="false"/>
          <w:color w:val="000000"/>
          <w:spacing w:val="0"/>
          <w:sz w:val="24"/>
          <w:szCs w:val="24"/>
          <w:u w:val="none"/>
          <w:effect w:val="none"/>
        </w:rPr>
        <w:t>.</w:t>
      </w:r>
    </w:p>
    <w:p>
      <w:pPr>
        <w:pStyle w:val="Normal"/>
        <w:bidi w:val="0"/>
        <w:spacing w:before="0" w:after="0"/>
        <w:jc w:val="both"/>
        <w:rPr>
          <w:rFonts w:ascii="Liberation Serif" w:hAnsi="Liberation Serif"/>
          <w:color w:val="000000"/>
          <w:sz w:val="24"/>
          <w:szCs w:val="24"/>
        </w:rPr>
      </w:pPr>
      <w:r>
        <w:rPr>
          <w:color w:val="000000"/>
          <w:sz w:val="24"/>
          <w:szCs w:val="24"/>
        </w:rPr>
      </w:r>
    </w:p>
    <w:p>
      <w:pPr>
        <w:pStyle w:val="Normal"/>
        <w:bidi w:val="0"/>
        <w:spacing w:before="0" w:after="0"/>
        <w:jc w:val="both"/>
        <w:rPr>
          <w:rFonts w:ascii="Liberation Serif" w:hAnsi="Liberation Serif"/>
        </w:rPr>
      </w:pPr>
      <w:r>
        <w:rPr>
          <w:b w:val="false"/>
          <w:bCs w:val="false"/>
          <w:i w:val="false"/>
          <w:iCs w:val="false"/>
          <w:caps w:val="false"/>
          <w:smallCaps w:val="false"/>
          <w:strike w:val="false"/>
          <w:dstrike w:val="false"/>
          <w:color w:val="000000"/>
          <w:spacing w:val="0"/>
          <w:sz w:val="24"/>
          <w:szCs w:val="24"/>
          <w:u w:val="none"/>
          <w:effect w:val="none"/>
        </w:rPr>
        <w:t>Misztal, I., A. Legarra, y I. Aguilar. 2009. Computing procedures for genetic evaluation including phenotypic, full pedigree, and genomic information. Journal of Dairy Science 92: 4648-55. https://doi.org/10.3168/ jds.2009-2064.</w:t>
      </w:r>
    </w:p>
    <w:p>
      <w:pPr>
        <w:pStyle w:val="Normal"/>
        <w:bidi w:val="0"/>
        <w:jc w:val="both"/>
        <w:rPr>
          <w:rFonts w:ascii="Liberation Serif" w:hAnsi="Liberation Serif"/>
          <w:color w:val="000000"/>
          <w:sz w:val="24"/>
          <w:szCs w:val="24"/>
        </w:rPr>
      </w:pPr>
      <w:r>
        <w:rPr>
          <w:color w:val="000000"/>
          <w:sz w:val="24"/>
          <w:szCs w:val="24"/>
        </w:rPr>
      </w:r>
    </w:p>
    <w:p>
      <w:pPr>
        <w:pStyle w:val="Normal"/>
        <w:bidi w:val="0"/>
        <w:jc w:val="both"/>
        <w:rPr/>
      </w:pPr>
      <w:r>
        <w:rPr>
          <w:b w:val="false"/>
          <w:bCs w:val="false"/>
          <w:i w:val="false"/>
          <w:iCs w:val="false"/>
          <w:caps w:val="false"/>
          <w:smallCaps w:val="false"/>
          <w:color w:val="000000"/>
          <w:spacing w:val="0"/>
          <w:sz w:val="24"/>
          <w:szCs w:val="24"/>
        </w:rPr>
        <w:t xml:space="preserve">Purcell, S., B. Neale, K. Todd-Brown, L. Thomas, M. A. R. Ferreira, D. Bender, J. Maller, et al. 2007. Plink: a toolset for whole-genome association and population-based linkage analysis. </w:t>
      </w:r>
      <w:r>
        <w:rPr>
          <w:rStyle w:val="Destacado"/>
          <w:b w:val="false"/>
          <w:bCs w:val="false"/>
          <w:i w:val="false"/>
          <w:iCs w:val="false"/>
          <w:caps w:val="false"/>
          <w:smallCaps w:val="false"/>
          <w:color w:val="000000"/>
          <w:spacing w:val="0"/>
          <w:sz w:val="24"/>
          <w:szCs w:val="24"/>
        </w:rPr>
        <w:t xml:space="preserve">American Journal of Human Genetics </w:t>
      </w:r>
      <w:r>
        <w:rPr>
          <w:b w:val="false"/>
          <w:bCs w:val="false"/>
          <w:i w:val="false"/>
          <w:iCs w:val="false"/>
          <w:caps w:val="false"/>
          <w:smallCaps w:val="false"/>
          <w:color w:val="000000"/>
          <w:spacing w:val="0"/>
          <w:sz w:val="24"/>
          <w:szCs w:val="24"/>
        </w:rPr>
        <w:t xml:space="preserve">81: 981-94. </w:t>
      </w:r>
      <w:hyperlink r:id="rId13">
        <w:r>
          <w:rPr>
            <w:rStyle w:val="EnlacedeInternet"/>
            <w:b w:val="false"/>
            <w:bCs w:val="false"/>
            <w:i w:val="false"/>
            <w:iCs w:val="false"/>
            <w:caps w:val="false"/>
            <w:smallCaps w:val="false"/>
            <w:color w:val="000000"/>
            <w:spacing w:val="0"/>
            <w:sz w:val="24"/>
            <w:szCs w:val="24"/>
            <w:u w:val="single"/>
          </w:rPr>
          <w:t>http://pngu.mgh.harvard.edu/purcell/plink/</w:t>
        </w:r>
      </w:hyperlink>
      <w:r>
        <w:rPr>
          <w:b w:val="false"/>
          <w:bCs w:val="false"/>
          <w:i w:val="false"/>
          <w:iCs w:val="false"/>
          <w:caps w:val="false"/>
          <w:smallCaps w:val="false"/>
          <w:color w:val="000000"/>
          <w:spacing w:val="0"/>
          <w:sz w:val="24"/>
          <w:szCs w:val="24"/>
        </w:rPr>
        <w:t>.</w:t>
      </w:r>
    </w:p>
    <w:p>
      <w:pPr>
        <w:pStyle w:val="Normal"/>
        <w:bidi w:val="0"/>
        <w:jc w:val="both"/>
        <w:rPr>
          <w:rFonts w:ascii="Liberation Serif" w:hAnsi="Liberation Serif"/>
          <w:color w:val="000000"/>
          <w:sz w:val="24"/>
          <w:szCs w:val="24"/>
        </w:rPr>
      </w:pPr>
      <w:r>
        <w:rPr>
          <w:color w:val="000000"/>
          <w:sz w:val="24"/>
          <w:szCs w:val="24"/>
        </w:rPr>
      </w:r>
    </w:p>
    <w:p>
      <w:pPr>
        <w:pStyle w:val="Normal"/>
        <w:bidi w:val="0"/>
        <w:jc w:val="both"/>
        <w:rPr/>
      </w:pPr>
      <w:r>
        <w:rPr>
          <w:b w:val="false"/>
          <w:bCs w:val="false"/>
          <w:i w:val="false"/>
          <w:iCs w:val="false"/>
          <w:caps w:val="false"/>
          <w:smallCaps w:val="false"/>
          <w:color w:val="000000"/>
          <w:spacing w:val="0"/>
          <w:sz w:val="24"/>
          <w:szCs w:val="24"/>
        </w:rPr>
        <w:t xml:space="preserve">Rodriguez-Neira J., Peripolli E., de Negreiros M., Espigolan R., López-Correa R., Aguilar I., Lobo R. B. y Baldi F. 2022. </w:t>
      </w:r>
      <w:r>
        <w:rPr>
          <w:b w:val="false"/>
          <w:bCs w:val="false"/>
          <w:iCs w:val="false"/>
          <w:color w:val="000000"/>
          <w:sz w:val="24"/>
          <w:szCs w:val="24"/>
        </w:rPr>
        <w:t>Prediction ability for growth and maternal traits using SNP arrays based on different marker densities in Nellore cattle using the ssGBLUP</w:t>
      </w:r>
      <w:r>
        <w:rPr>
          <w:b w:val="false"/>
          <w:bCs w:val="false"/>
          <w:i w:val="false"/>
          <w:iCs w:val="false"/>
          <w:caps w:val="false"/>
          <w:smallCaps w:val="false"/>
          <w:color w:val="000000"/>
          <w:spacing w:val="0"/>
          <w:sz w:val="24"/>
          <w:szCs w:val="24"/>
        </w:rPr>
        <w:t xml:space="preserve">. Journal of Applied Gnetics 63: 389-400. </w:t>
      </w:r>
      <w:hyperlink r:id="rId14">
        <w:r>
          <w:rPr>
            <w:rStyle w:val="EnlacedeInternet"/>
            <w:b w:val="false"/>
            <w:bCs w:val="false"/>
            <w:i w:val="false"/>
            <w:iCs w:val="false"/>
            <w:caps w:val="false"/>
            <w:smallCaps w:val="false"/>
            <w:color w:val="000000"/>
            <w:spacing w:val="0"/>
            <w:sz w:val="24"/>
            <w:szCs w:val="24"/>
          </w:rPr>
          <w:t>https://doi.org/10.1007/s13353-022-00685-0</w:t>
        </w:r>
      </w:hyperlink>
      <w:r>
        <w:rPr>
          <w:b w:val="false"/>
          <w:bCs w:val="false"/>
          <w:i w:val="false"/>
          <w:iCs w:val="false"/>
          <w:caps w:val="false"/>
          <w:smallCaps w:val="false"/>
          <w:color w:val="000000"/>
          <w:spacing w:val="0"/>
          <w:sz w:val="24"/>
          <w:szCs w:val="24"/>
        </w:rPr>
        <w:t>.</w:t>
      </w:r>
    </w:p>
    <w:p>
      <w:pPr>
        <w:pStyle w:val="Normal"/>
        <w:bidi w:val="0"/>
        <w:jc w:val="both"/>
        <w:rPr>
          <w:rFonts w:ascii="Liberation Serif" w:hAnsi="Liberation Serif"/>
          <w:color w:val="000000"/>
          <w:sz w:val="24"/>
          <w:szCs w:val="24"/>
        </w:rPr>
      </w:pPr>
      <w:r>
        <w:rPr>
          <w:color w:val="000000"/>
          <w:sz w:val="24"/>
          <w:szCs w:val="24"/>
        </w:rPr>
      </w:r>
    </w:p>
    <w:p>
      <w:pPr>
        <w:pStyle w:val="Normal"/>
        <w:bidi w:val="0"/>
        <w:spacing w:before="0" w:after="0"/>
        <w:jc w:val="both"/>
        <w:rPr>
          <w:b/>
          <w:b/>
          <w:bCs/>
          <w:i w:val="false"/>
          <w:i w:val="false"/>
          <w:caps w:val="false"/>
          <w:smallCaps w:val="false"/>
          <w:color w:val="000000"/>
          <w:spacing w:val="0"/>
          <w:sz w:val="24"/>
          <w:szCs w:val="24"/>
        </w:rPr>
      </w:pPr>
      <w:r>
        <w:rPr>
          <w:rStyle w:val="Destaquemayor"/>
          <w:b w:val="false"/>
          <w:bCs w:val="false"/>
          <w:i w:val="false"/>
          <w:iCs w:val="false"/>
          <w:caps w:val="false"/>
          <w:smallCaps w:val="false"/>
          <w:color w:val="000000"/>
          <w:spacing w:val="0"/>
          <w:sz w:val="24"/>
          <w:szCs w:val="24"/>
          <w:shd w:fill="auto" w:val="clear"/>
        </w:rPr>
        <w:t xml:space="preserve">Wu X. L., Li H., Ferretti R., Simpson B., Walker J., Parham J., Mastro L., Qiu J., Schultz T., Tait jr R. G. y Bauck S. 2020. A unified local objective function for optimally selecting SNPs on arrays for agricultural genomics applications. Animal Genetics 51 (2): 306-310. </w:t>
      </w:r>
      <w:hyperlink r:id="rId15">
        <w:r>
          <w:rPr>
            <w:rStyle w:val="EnlacedeInternet"/>
            <w:b w:val="false"/>
            <w:bCs w:val="false"/>
            <w:i w:val="false"/>
            <w:iCs w:val="false"/>
            <w:caps w:val="false"/>
            <w:smallCaps w:val="false"/>
            <w:strike w:val="false"/>
            <w:dstrike w:val="false"/>
            <w:color w:val="000000"/>
            <w:spacing w:val="0"/>
            <w:sz w:val="24"/>
            <w:szCs w:val="24"/>
            <w:u w:val="none"/>
            <w:effect w:val="none"/>
            <w:shd w:fill="FFFFFF" w:val="clear"/>
          </w:rPr>
          <w:t>https://doi.org/10.1111/age.12916</w:t>
        </w:r>
      </w:hyperlink>
      <w:r>
        <w:rPr>
          <w:rStyle w:val="Destaquemayor"/>
          <w:b w:val="false"/>
          <w:bCs w:val="false"/>
          <w:i w:val="false"/>
          <w:iCs w:val="false"/>
          <w:caps w:val="false"/>
          <w:smallCaps w:val="false"/>
          <w:strike w:val="false"/>
          <w:dstrike w:val="false"/>
          <w:color w:val="000000"/>
          <w:spacing w:val="0"/>
          <w:sz w:val="24"/>
          <w:szCs w:val="24"/>
          <w:u w:val="none"/>
          <w:effect w:val="none"/>
          <w:shd w:fill="FFFFFF" w:val="clear"/>
        </w:rPr>
        <w:t>.</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s-E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s-ES" w:eastAsia="zh-CN" w:bidi="hi-IN"/>
    </w:rPr>
  </w:style>
  <w:style w:type="character" w:styleId="Destaquemayor">
    <w:name w:val="Destaque mayor"/>
    <w:qFormat/>
    <w:rPr>
      <w:b/>
      <w:bCs/>
    </w:rPr>
  </w:style>
  <w:style w:type="character" w:styleId="EnlacedeInternet">
    <w:name w:val="Enlace de Internet"/>
    <w:rPr>
      <w:color w:val="000080"/>
      <w:u w:val="single"/>
    </w:rPr>
  </w:style>
  <w:style w:type="character" w:styleId="Destacado">
    <w:name w:val="Destacado"/>
    <w:qFormat/>
    <w:rPr>
      <w:i/>
      <w:iCs/>
    </w:rPr>
  </w:style>
  <w:style w:type="paragraph" w:styleId="Ttulo">
    <w:name w:val="Título"/>
    <w:basedOn w:val="Normal"/>
    <w:next w:val="Cuerpodetexto"/>
    <w:qFormat/>
    <w:pPr>
      <w:keepNext w:val="true"/>
      <w:spacing w:before="240" w:after="120"/>
    </w:pPr>
    <w:rPr>
      <w:rFonts w:ascii="Liberation Sans" w:hAnsi="Liberation Sans" w:eastAsia="Noto Sans CJK SC" w:cs="Lohit Devanagari"/>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Lohit Devanagari"/>
    </w:rPr>
  </w:style>
  <w:style w:type="paragraph" w:styleId="Ley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paragraph" w:styleId="Lneahorizontal">
    <w:name w:val="Línea horizontal"/>
    <w:basedOn w:val="Normal"/>
    <w:next w:val="Cuerpodetexto"/>
    <w:qFormat/>
    <w:pPr>
      <w:suppressLineNumbers/>
      <w:pBdr>
        <w:bottom w:val="double" w:sz="2" w:space="0" w:color="808080"/>
      </w:pBdr>
      <w:spacing w:before="0" w:after="283"/>
    </w:pPr>
    <w:rPr>
      <w:sz w:val="12"/>
      <w:szCs w:val="12"/>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yperlink" Target="https://doi.org/10.1186/1751-0473-9-6" TargetMode="External"/><Relationship Id="rId7" Type="http://schemas.openxmlformats.org/officeDocument/2006/relationships/hyperlink" Target="https://doi.org/10.5281/zenodo.11185710" TargetMode="External"/><Relationship Id="rId8" Type="http://schemas.openxmlformats.org/officeDocument/2006/relationships/hyperlink" Target="https://github.com/bonifazi/TuttiFrutti" TargetMode="External"/><Relationship Id="rId9" Type="http://schemas.openxmlformats.org/officeDocument/2006/relationships/hyperlink" Target="https://doi.org/10.1016/j.ajhg.2018.07.015" TargetMode="External"/><Relationship Id="rId10" Type="http://schemas.openxmlformats.org/officeDocument/2006/relationships/hyperlink" Target="https://doi.org/10.2527/jam2016-0350" TargetMode="External"/><Relationship Id="rId11" Type="http://schemas.openxmlformats.org/officeDocument/2006/relationships/hyperlink" Target="https://doi.org/10.1186/s12711-018-0426-6" TargetMode="External"/><Relationship Id="rId12" Type="http://schemas.openxmlformats.org/officeDocument/2006/relationships/hyperlink" Target="https://doi.org/10.1371/journal.pone.0009697" TargetMode="External"/><Relationship Id="rId13" Type="http://schemas.openxmlformats.org/officeDocument/2006/relationships/hyperlink" Target="http://pngu.mgh.harvard.edu/purcell/plink/" TargetMode="External"/><Relationship Id="rId14" Type="http://schemas.openxmlformats.org/officeDocument/2006/relationships/hyperlink" Target="https://doi.org/10.1007/s13353-022-00685-0" TargetMode="External"/><Relationship Id="rId15" Type="http://schemas.openxmlformats.org/officeDocument/2006/relationships/hyperlink" Target="https://doi.org/10.1111/age.12916" TargetMode="External"/><Relationship Id="rId16" Type="http://schemas.openxmlformats.org/officeDocument/2006/relationships/fontTable" Target="fontTable.xml"/><Relationship Id="rId1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62</TotalTime>
  <Application>LibreOffice/7.3.7.2$Linux_X86_64 LibreOffice_project/30$Build-2</Application>
  <AppVersion>15.0000</AppVersion>
  <Pages>9</Pages>
  <Words>3009</Words>
  <Characters>16488</Characters>
  <CharactersWithSpaces>19339</CharactersWithSpaces>
  <Paragraphs>172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2024-07-18T10:33:19Z</dcterms:created>
  <dc:creator/>
  <dc:description/>
  <dc:language>es-ES</dc:language>
  <cp:lastModifiedBy/>
  <dcterms:modified xsi:type="dcterms:W3CDTF">2024-11-06T16:25:43Z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file>