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61F7F" w14:textId="77777777" w:rsidR="00D718BC" w:rsidRDefault="00B56CE8">
      <w:pPr>
        <w:pStyle w:val="Heading1"/>
      </w:pPr>
      <w:bookmarkStart w:id="0" w:name="_7l3rb9k5fo3c" w:colFirst="0" w:colLast="0"/>
      <w:bookmarkEnd w:id="0"/>
      <w:r>
        <w:t xml:space="preserve">Appendix A </w:t>
      </w:r>
      <w:r>
        <w:rPr>
          <w:rFonts w:ascii="Arial" w:eastAsia="Arial" w:hAnsi="Arial" w:cs="Arial"/>
          <w:color w:val="001D35"/>
          <w:sz w:val="27"/>
          <w:szCs w:val="27"/>
          <w:highlight w:val="white"/>
        </w:rPr>
        <w:t>—</w:t>
      </w:r>
      <w:r>
        <w:t xml:space="preserve"> Product Type Mapping Logic</w:t>
      </w:r>
    </w:p>
    <w:p w14:paraId="39333682" w14:textId="77777777" w:rsidR="00D718BC" w:rsidRDefault="00B56CE8">
      <w:pPr>
        <w:spacing w:before="240" w:after="240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To standardize reporting, raw product descriptions from Encompass were grouped into broader product categories based on keyword detection. This mapping ensures consistent reporting across charts and tables.</w:t>
      </w:r>
    </w:p>
    <w:p w14:paraId="7CBEFE3A" w14:textId="77777777" w:rsidR="00D718BC" w:rsidRDefault="00B56CE8">
      <w:pPr>
        <w:pStyle w:val="Heading2"/>
        <w:keepNext w:val="0"/>
        <w:keepLines w:val="0"/>
        <w:spacing w:before="240" w:after="40"/>
      </w:pPr>
      <w:bookmarkStart w:id="1" w:name="_xnr4y38o5j2a" w:colFirst="0" w:colLast="0"/>
      <w:bookmarkEnd w:id="1"/>
      <w:r>
        <w:t>Mapping Rules</w:t>
      </w:r>
    </w:p>
    <w:p w14:paraId="462BF194" w14:textId="77777777" w:rsidR="00D718BC" w:rsidRDefault="00D718BC"/>
    <w:tbl>
      <w:tblPr>
        <w:tblStyle w:val="a0"/>
        <w:tblW w:w="9060" w:type="dxa"/>
        <w:tblBorders>
          <w:top w:val="single" w:sz="8" w:space="0" w:color="929292"/>
          <w:left w:val="single" w:sz="8" w:space="0" w:color="929292"/>
          <w:bottom w:val="single" w:sz="8" w:space="0" w:color="929292"/>
          <w:right w:val="single" w:sz="8" w:space="0" w:color="929292"/>
          <w:insideH w:val="single" w:sz="8" w:space="0" w:color="929292"/>
          <w:insideV w:val="single" w:sz="8" w:space="0" w:color="929292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5940"/>
      </w:tblGrid>
      <w:tr w:rsidR="00D718BC" w14:paraId="18885A73" w14:textId="77777777">
        <w:trPr>
          <w:trHeight w:val="503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DF9402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Raw Value Contains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3DD105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Mapped Category</w:t>
            </w:r>
          </w:p>
        </w:tc>
      </w:tr>
      <w:tr w:rsidR="00D718BC" w14:paraId="4014BD8C" w14:textId="77777777">
        <w:trPr>
          <w:trHeight w:val="428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02B902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color w:val="188038"/>
              </w:rPr>
              <w:t>FHA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805A4A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FHA</w:t>
            </w:r>
          </w:p>
        </w:tc>
      </w:tr>
      <w:tr w:rsidR="00D718BC" w14:paraId="0B2E83B3" w14:textId="77777777">
        <w:trPr>
          <w:trHeight w:val="500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B876A7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color w:val="188038"/>
              </w:rPr>
              <w:t>VA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ACD9DC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VA</w:t>
            </w:r>
          </w:p>
        </w:tc>
      </w:tr>
      <w:tr w:rsidR="00D718BC" w14:paraId="0F953684" w14:textId="77777777">
        <w:trPr>
          <w:trHeight w:val="500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7F150A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  <w:color w:val="188038"/>
              </w:rPr>
              <w:t>NON QM</w:t>
            </w:r>
            <w:proofErr w:type="gramEnd"/>
            <w:r>
              <w:rPr>
                <w:rFonts w:ascii="Proxima Nova" w:eastAsia="Proxima Nova" w:hAnsi="Proxima Nova" w:cs="Proxima Nova"/>
              </w:rPr>
              <w:t xml:space="preserve"> or </w:t>
            </w:r>
            <w:r>
              <w:rPr>
                <w:rFonts w:ascii="Proxima Nova" w:eastAsia="Proxima Nova" w:hAnsi="Proxima Nova" w:cs="Proxima Nova"/>
                <w:color w:val="188038"/>
              </w:rPr>
              <w:t>NON-QM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56DE26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Non-QM</w:t>
            </w:r>
          </w:p>
        </w:tc>
      </w:tr>
      <w:tr w:rsidR="00D718BC" w14:paraId="303F7901" w14:textId="77777777">
        <w:trPr>
          <w:trHeight w:val="500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593034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color w:val="188038"/>
              </w:rPr>
              <w:t>CONV</w:t>
            </w:r>
            <w:r>
              <w:rPr>
                <w:rFonts w:ascii="Proxima Nova" w:eastAsia="Proxima Nova" w:hAnsi="Proxima Nova" w:cs="Proxima Nova"/>
              </w:rPr>
              <w:t xml:space="preserve"> or </w:t>
            </w:r>
            <w:r>
              <w:rPr>
                <w:rFonts w:ascii="Proxima Nova" w:eastAsia="Proxima Nova" w:hAnsi="Proxima Nova" w:cs="Proxima Nova"/>
                <w:color w:val="188038"/>
              </w:rPr>
              <w:t>CONVENTIONAL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9B3B51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Conventional</w:t>
            </w:r>
          </w:p>
        </w:tc>
      </w:tr>
      <w:tr w:rsidR="00D718BC" w14:paraId="5EFF254A" w14:textId="77777777">
        <w:trPr>
          <w:trHeight w:val="500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11E878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i/>
              </w:rPr>
              <w:t>(Other cases)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0FF38C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Other</w:t>
            </w:r>
          </w:p>
        </w:tc>
      </w:tr>
    </w:tbl>
    <w:p w14:paraId="7D466324" w14:textId="77777777" w:rsidR="00D718BC" w:rsidRDefault="00D718BC">
      <w:pPr>
        <w:pStyle w:val="Heading2"/>
        <w:keepNext w:val="0"/>
        <w:keepLines w:val="0"/>
        <w:spacing w:line="240" w:lineRule="auto"/>
      </w:pPr>
      <w:bookmarkStart w:id="2" w:name="_kt509ndmigtq" w:colFirst="0" w:colLast="0"/>
      <w:bookmarkEnd w:id="2"/>
    </w:p>
    <w:p w14:paraId="1056656D" w14:textId="77777777" w:rsidR="00D718BC" w:rsidRDefault="00B56CE8">
      <w:pPr>
        <w:pStyle w:val="Heading2"/>
        <w:keepNext w:val="0"/>
        <w:keepLines w:val="0"/>
        <w:spacing w:line="240" w:lineRule="auto"/>
      </w:pPr>
      <w:bookmarkStart w:id="3" w:name="_xj99nmbhqwje" w:colFirst="0" w:colLast="0"/>
      <w:bookmarkEnd w:id="3"/>
      <w:r>
        <w:t>Example Mappings</w:t>
      </w:r>
    </w:p>
    <w:p w14:paraId="5D7DB820" w14:textId="77777777" w:rsidR="00D718BC" w:rsidRDefault="00B56CE8">
      <w:pPr>
        <w:numPr>
          <w:ilvl w:val="0"/>
          <w:numId w:val="1"/>
        </w:numPr>
        <w:spacing w:before="240"/>
      </w:pPr>
      <w:r>
        <w:rPr>
          <w:rFonts w:ascii="Proxima Nova" w:eastAsia="Proxima Nova" w:hAnsi="Proxima Nova" w:cs="Proxima Nova"/>
          <w:i/>
          <w:color w:val="188038"/>
        </w:rPr>
        <w:t>"FHA 30 YR FIXED"</w:t>
      </w:r>
      <w:r>
        <w:rPr>
          <w:rFonts w:ascii="Nova Mono" w:eastAsia="Nova Mono" w:hAnsi="Nova Mono" w:cs="Nova Mono"/>
        </w:rPr>
        <w:t xml:space="preserve"> → </w:t>
      </w:r>
      <w:r>
        <w:rPr>
          <w:rFonts w:ascii="Proxima Nova" w:eastAsia="Proxima Nova" w:hAnsi="Proxima Nova" w:cs="Proxima Nova"/>
          <w:b/>
        </w:rPr>
        <w:t>FHA</w:t>
      </w:r>
    </w:p>
    <w:p w14:paraId="3B0D7FF0" w14:textId="77777777" w:rsidR="00D718BC" w:rsidRDefault="00B56CE8">
      <w:pPr>
        <w:numPr>
          <w:ilvl w:val="0"/>
          <w:numId w:val="1"/>
        </w:numPr>
      </w:pPr>
      <w:r>
        <w:rPr>
          <w:rFonts w:ascii="Proxima Nova" w:eastAsia="Proxima Nova" w:hAnsi="Proxima Nova" w:cs="Proxima Nova"/>
          <w:i/>
          <w:color w:val="188038"/>
        </w:rPr>
        <w:t>"VA IRRRL"</w:t>
      </w:r>
      <w:r>
        <w:rPr>
          <w:rFonts w:ascii="Nova Mono" w:eastAsia="Nova Mono" w:hAnsi="Nova Mono" w:cs="Nova Mono"/>
        </w:rPr>
        <w:t xml:space="preserve"> → </w:t>
      </w:r>
      <w:r>
        <w:rPr>
          <w:rFonts w:ascii="Proxima Nova" w:eastAsia="Proxima Nova" w:hAnsi="Proxima Nova" w:cs="Proxima Nova"/>
          <w:b/>
        </w:rPr>
        <w:t>VA</w:t>
      </w:r>
    </w:p>
    <w:p w14:paraId="0FF1EBA3" w14:textId="77777777" w:rsidR="00D718BC" w:rsidRDefault="00B56CE8">
      <w:pPr>
        <w:numPr>
          <w:ilvl w:val="0"/>
          <w:numId w:val="1"/>
        </w:numPr>
      </w:pPr>
      <w:r>
        <w:rPr>
          <w:rFonts w:ascii="Proxima Nova" w:eastAsia="Proxima Nova" w:hAnsi="Proxima Nova" w:cs="Proxima Nova"/>
          <w:i/>
          <w:color w:val="188038"/>
        </w:rPr>
        <w:t>"Conv 30 Yr Fixed"</w:t>
      </w:r>
      <w:r>
        <w:rPr>
          <w:rFonts w:ascii="Nova Mono" w:eastAsia="Nova Mono" w:hAnsi="Nova Mono" w:cs="Nova Mono"/>
        </w:rPr>
        <w:t xml:space="preserve"> → </w:t>
      </w:r>
      <w:r>
        <w:rPr>
          <w:rFonts w:ascii="Proxima Nova" w:eastAsia="Proxima Nova" w:hAnsi="Proxima Nova" w:cs="Proxima Nova"/>
          <w:b/>
        </w:rPr>
        <w:t>Conventional</w:t>
      </w:r>
    </w:p>
    <w:p w14:paraId="4EE990B3" w14:textId="77777777" w:rsidR="00D718BC" w:rsidRDefault="00B56CE8">
      <w:pPr>
        <w:numPr>
          <w:ilvl w:val="0"/>
          <w:numId w:val="1"/>
        </w:numPr>
      </w:pPr>
      <w:r>
        <w:rPr>
          <w:rFonts w:ascii="Proxima Nova" w:eastAsia="Proxima Nova" w:hAnsi="Proxima Nova" w:cs="Proxima Nova"/>
          <w:i/>
          <w:color w:val="188038"/>
        </w:rPr>
        <w:t>"Non-QM Bank Statement"</w:t>
      </w:r>
      <w:r>
        <w:rPr>
          <w:rFonts w:ascii="Nova Mono" w:eastAsia="Nova Mono" w:hAnsi="Nova Mono" w:cs="Nova Mono"/>
        </w:rPr>
        <w:t xml:space="preserve"> → </w:t>
      </w:r>
      <w:proofErr w:type="gramStart"/>
      <w:r>
        <w:rPr>
          <w:rFonts w:ascii="Proxima Nova" w:eastAsia="Proxima Nova" w:hAnsi="Proxima Nova" w:cs="Proxima Nova"/>
          <w:b/>
        </w:rPr>
        <w:t>Non-QM</w:t>
      </w:r>
      <w:proofErr w:type="gramEnd"/>
    </w:p>
    <w:p w14:paraId="7160FD9D" w14:textId="77777777" w:rsidR="00D718BC" w:rsidRDefault="00B56CE8">
      <w:pPr>
        <w:numPr>
          <w:ilvl w:val="0"/>
          <w:numId w:val="1"/>
        </w:numPr>
      </w:pPr>
      <w:r>
        <w:rPr>
          <w:rFonts w:ascii="Proxima Nova" w:eastAsia="Proxima Nova" w:hAnsi="Proxima Nova" w:cs="Proxima Nova"/>
          <w:i/>
          <w:color w:val="188038"/>
        </w:rPr>
        <w:t>"2nd Lien"</w:t>
      </w:r>
      <w:r>
        <w:rPr>
          <w:rFonts w:ascii="Nova Mono" w:eastAsia="Nova Mono" w:hAnsi="Nova Mono" w:cs="Nova Mono"/>
        </w:rPr>
        <w:t xml:space="preserve"> → </w:t>
      </w:r>
      <w:r>
        <w:rPr>
          <w:rFonts w:ascii="Proxima Nova" w:eastAsia="Proxima Nova" w:hAnsi="Proxima Nova" w:cs="Proxima Nova"/>
          <w:b/>
        </w:rPr>
        <w:t>Other</w:t>
      </w:r>
    </w:p>
    <w:p w14:paraId="30EE6107" w14:textId="77777777" w:rsidR="00D718BC" w:rsidRDefault="00B56CE8">
      <w:pPr>
        <w:numPr>
          <w:ilvl w:val="0"/>
          <w:numId w:val="1"/>
        </w:numPr>
        <w:rPr>
          <w:rFonts w:ascii="Proxima Nova" w:eastAsia="Proxima Nova" w:hAnsi="Proxima Nova" w:cs="Proxima Nova"/>
          <w:i/>
        </w:rPr>
      </w:pPr>
      <w:r>
        <w:rPr>
          <w:rFonts w:ascii="Proxima Nova" w:eastAsia="Proxima Nova" w:hAnsi="Proxima Nova" w:cs="Proxima Nova"/>
          <w:i/>
          <w:color w:val="188038"/>
        </w:rPr>
        <w:t xml:space="preserve">“Jumbo” </w:t>
      </w:r>
      <w:r>
        <w:rPr>
          <w:rFonts w:ascii="Nova Mono" w:eastAsia="Nova Mono" w:hAnsi="Nova Mono" w:cs="Nova Mono"/>
        </w:rPr>
        <w:t xml:space="preserve">→ </w:t>
      </w:r>
      <w:r>
        <w:rPr>
          <w:rFonts w:ascii="Proxima Nova" w:eastAsia="Proxima Nova" w:hAnsi="Proxima Nova" w:cs="Proxima Nova"/>
          <w:b/>
        </w:rPr>
        <w:t>Other</w:t>
      </w:r>
    </w:p>
    <w:p w14:paraId="440D2016" w14:textId="77777777" w:rsidR="00D718BC" w:rsidRDefault="00B56CE8">
      <w:pPr>
        <w:numPr>
          <w:ilvl w:val="0"/>
          <w:numId w:val="1"/>
        </w:num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  <w:i/>
          <w:color w:val="188038"/>
        </w:rPr>
        <w:t xml:space="preserve">“Portfolio ARM” </w:t>
      </w:r>
      <w:r>
        <w:rPr>
          <w:rFonts w:ascii="Nova Mono" w:eastAsia="Nova Mono" w:hAnsi="Nova Mono" w:cs="Nova Mono"/>
        </w:rPr>
        <w:t xml:space="preserve">→ </w:t>
      </w:r>
      <w:r>
        <w:rPr>
          <w:rFonts w:ascii="Proxima Nova" w:eastAsia="Proxima Nova" w:hAnsi="Proxima Nova" w:cs="Proxima Nova"/>
          <w:b/>
        </w:rPr>
        <w:t>Other</w:t>
      </w:r>
      <w:r>
        <w:rPr>
          <w:rFonts w:ascii="Proxima Nova" w:eastAsia="Proxima Nova" w:hAnsi="Proxima Nova" w:cs="Proxima Nova"/>
          <w:color w:val="188038"/>
        </w:rPr>
        <w:tab/>
      </w:r>
    </w:p>
    <w:p w14:paraId="4694BDF7" w14:textId="77777777" w:rsidR="00D718BC" w:rsidRDefault="00B56CE8">
      <w:pPr>
        <w:numPr>
          <w:ilvl w:val="0"/>
          <w:numId w:val="1"/>
        </w:numPr>
        <w:spacing w:after="240"/>
        <w:rPr>
          <w:rFonts w:ascii="Proxima Nova" w:eastAsia="Proxima Nova" w:hAnsi="Proxima Nova" w:cs="Proxima Nova"/>
          <w:i/>
        </w:rPr>
      </w:pPr>
      <w:r>
        <w:rPr>
          <w:rFonts w:ascii="Proxima Nova" w:eastAsia="Proxima Nova" w:hAnsi="Proxima Nova" w:cs="Proxima Nova"/>
          <w:i/>
          <w:color w:val="188038"/>
        </w:rPr>
        <w:t xml:space="preserve">“USDA” </w:t>
      </w:r>
      <w:r>
        <w:rPr>
          <w:rFonts w:ascii="Nova Mono" w:eastAsia="Nova Mono" w:hAnsi="Nova Mono" w:cs="Nova Mono"/>
        </w:rPr>
        <w:t xml:space="preserve">→ </w:t>
      </w:r>
      <w:r>
        <w:rPr>
          <w:rFonts w:ascii="Proxima Nova" w:eastAsia="Proxima Nova" w:hAnsi="Proxima Nova" w:cs="Proxima Nova"/>
          <w:b/>
        </w:rPr>
        <w:t>Other</w:t>
      </w:r>
    </w:p>
    <w:p w14:paraId="53487BA1" w14:textId="77777777" w:rsidR="00D718BC" w:rsidRDefault="00B56CE8">
      <w:pPr>
        <w:spacing w:before="240" w:after="240"/>
        <w:ind w:right="600"/>
      </w:pPr>
      <w:r>
        <w:rPr>
          <w:rFonts w:ascii="Proxima Nova" w:eastAsia="Proxima Nova" w:hAnsi="Proxima Nova" w:cs="Proxima Nova"/>
          <w:b/>
        </w:rPr>
        <w:t>Note:</w:t>
      </w:r>
      <w:r>
        <w:rPr>
          <w:rFonts w:ascii="Proxima Nova" w:eastAsia="Proxima Nova" w:hAnsi="Proxima Nova" w:cs="Proxima Nova"/>
        </w:rPr>
        <w:t xml:space="preserve"> Mapping is case-insensitive and applied using substring matching.</w:t>
      </w:r>
    </w:p>
    <w:p w14:paraId="1EBBB398" w14:textId="77777777" w:rsidR="00D718BC" w:rsidRDefault="00D718BC"/>
    <w:sectPr w:rsidR="00D718BC">
      <w:foot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D909BB" w14:textId="77777777" w:rsidR="00B56CE8" w:rsidRDefault="00B56CE8">
      <w:pPr>
        <w:spacing w:line="240" w:lineRule="auto"/>
      </w:pPr>
      <w:r>
        <w:separator/>
      </w:r>
    </w:p>
  </w:endnote>
  <w:endnote w:type="continuationSeparator" w:id="0">
    <w:p w14:paraId="40B0D20C" w14:textId="77777777" w:rsidR="00B56CE8" w:rsidRDefault="00B56C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icolage Grotesque">
    <w:charset w:val="00"/>
    <w:family w:val="auto"/>
    <w:pitch w:val="default"/>
    <w:embedRegular r:id="rId1" w:fontKey="{06195C41-FBDB-47B9-8ED0-8DE4FD8E1D54}"/>
    <w:embedBold r:id="rId2" w:fontKey="{90724008-8070-47F5-944C-1336933A54BA}"/>
  </w:font>
  <w:font w:name="Proxima Nova">
    <w:altName w:val="Tahoma"/>
    <w:charset w:val="00"/>
    <w:family w:val="auto"/>
    <w:pitch w:val="default"/>
    <w:embedRegular r:id="rId3" w:fontKey="{D5B39B5B-8758-4E8E-9356-2D56B4637F77}"/>
    <w:embedBold r:id="rId4" w:fontKey="{61C88ED4-745C-491E-A332-503E05445242}"/>
    <w:embedItalic r:id="rId5" w:fontKey="{FE5A4636-1BE6-48ED-A10D-407AC407CC7C}"/>
  </w:font>
  <w:font w:name="Nova Mono">
    <w:altName w:val="Cambria"/>
    <w:charset w:val="00"/>
    <w:family w:val="auto"/>
    <w:pitch w:val="default"/>
    <w:embedRegular r:id="rId6" w:fontKey="{F38CCD81-2031-4C40-B42E-48CC41172E56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A9AC7D85-95BF-4934-9FFB-8EEA28A9B58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F6C48BFB-31DD-49C7-A6C7-48F76859406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41F1310B-16DF-4775-87F0-CB8D6FBB848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7D5A5" w14:textId="56503456" w:rsidR="00D718BC" w:rsidRDefault="00B56CE8">
    <w:pPr>
      <w:jc w:val="right"/>
      <w:rPr>
        <w:noProof/>
      </w:rPr>
    </w:pPr>
    <w:r>
      <w:rPr>
        <w:rFonts w:ascii="Roboto" w:eastAsia="Roboto" w:hAnsi="Roboto" w:cs="Roboto"/>
      </w:rPr>
      <w:fldChar w:fldCharType="begin"/>
    </w:r>
    <w:r>
      <w:rPr>
        <w:rFonts w:ascii="Roboto" w:eastAsia="Roboto" w:hAnsi="Roboto" w:cs="Roboto"/>
      </w:rPr>
      <w:instrText>PAGE</w:instrText>
    </w:r>
    <w:r>
      <w:rPr>
        <w:rFonts w:ascii="Roboto" w:eastAsia="Roboto" w:hAnsi="Roboto" w:cs="Roboto"/>
      </w:rPr>
      <w:fldChar w:fldCharType="separate"/>
    </w:r>
    <w:r w:rsidR="00386033">
      <w:rPr>
        <w:rFonts w:ascii="Roboto" w:eastAsia="Roboto" w:hAnsi="Roboto" w:cs="Roboto"/>
        <w:noProof/>
      </w:rPr>
      <w:t>1</w:t>
    </w:r>
    <w:r>
      <w:rPr>
        <w:rFonts w:ascii="Roboto" w:eastAsia="Roboto" w:hAnsi="Roboto" w:cs="Roboto"/>
      </w:rPr>
      <w:fldChar w:fldCharType="end"/>
    </w:r>
  </w:p>
  <w:p w14:paraId="38956043" w14:textId="77777777" w:rsidR="0099488A" w:rsidRDefault="0099488A">
    <w:pPr>
      <w:jc w:val="right"/>
      <w:rPr>
        <w:rFonts w:ascii="Roboto" w:eastAsia="Roboto" w:hAnsi="Roboto" w:cs="Roboto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3E1FDF" w14:textId="77777777" w:rsidR="00B56CE8" w:rsidRDefault="00B56CE8">
      <w:pPr>
        <w:spacing w:line="240" w:lineRule="auto"/>
      </w:pPr>
      <w:r>
        <w:separator/>
      </w:r>
    </w:p>
  </w:footnote>
  <w:footnote w:type="continuationSeparator" w:id="0">
    <w:p w14:paraId="034B3B16" w14:textId="77777777" w:rsidR="00B56CE8" w:rsidRDefault="00B56CE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9A7D15"/>
    <w:multiLevelType w:val="multilevel"/>
    <w:tmpl w:val="DE04E9D2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72827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18BC"/>
    <w:rsid w:val="00386033"/>
    <w:rsid w:val="00403905"/>
    <w:rsid w:val="00696196"/>
    <w:rsid w:val="00744596"/>
    <w:rsid w:val="007A20E6"/>
    <w:rsid w:val="00813A27"/>
    <w:rsid w:val="008C5AF8"/>
    <w:rsid w:val="0099488A"/>
    <w:rsid w:val="009B520C"/>
    <w:rsid w:val="00B268FF"/>
    <w:rsid w:val="00B56CE8"/>
    <w:rsid w:val="00B86424"/>
    <w:rsid w:val="00CA6BA1"/>
    <w:rsid w:val="00D4254A"/>
    <w:rsid w:val="00D718BC"/>
    <w:rsid w:val="00E05841"/>
    <w:rsid w:val="00F02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2E0E0F"/>
  <w15:docId w15:val="{9416F3BD-AFC6-433D-8930-AD15C7A10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Bricolage Grotesque" w:eastAsia="Bricolage Grotesque" w:hAnsi="Bricolage Grotesque" w:cs="Bricolage Grotesque"/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rFonts w:ascii="Bricolage Grotesque" w:eastAsia="Bricolage Grotesque" w:hAnsi="Bricolage Grotesque" w:cs="Bricolage Grotesque"/>
      <w:b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jc w:val="center"/>
      <w:outlineLvl w:val="3"/>
    </w:pPr>
    <w:rPr>
      <w:rFonts w:ascii="Proxima Nova" w:eastAsia="Proxima Nova" w:hAnsi="Proxima Nova" w:cs="Proxima Nova"/>
      <w:b/>
      <w:sz w:val="20"/>
      <w:szCs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Bricolage Grotesque" w:eastAsia="Bricolage Grotesque" w:hAnsi="Bricolage Grotesque" w:cs="Bricolage Grotesque"/>
      <w:b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9488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488A"/>
  </w:style>
  <w:style w:type="paragraph" w:styleId="Footer">
    <w:name w:val="footer"/>
    <w:basedOn w:val="Normal"/>
    <w:link w:val="FooterChar"/>
    <w:uiPriority w:val="99"/>
    <w:unhideWhenUsed/>
    <w:rsid w:val="0099488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48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A33600-6EA8-47F9-9966-BD5501045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99</Words>
  <Characters>569</Characters>
  <Application>Microsoft Office Word</Application>
  <DocSecurity>0</DocSecurity>
  <Lines>4</Lines>
  <Paragraphs>1</Paragraphs>
  <ScaleCrop>false</ScaleCrop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Lara</dc:creator>
  <cp:lastModifiedBy>Leonardo Lara</cp:lastModifiedBy>
  <cp:revision>10</cp:revision>
  <dcterms:created xsi:type="dcterms:W3CDTF">2025-06-02T14:28:00Z</dcterms:created>
  <dcterms:modified xsi:type="dcterms:W3CDTF">2025-06-25T03:19:00Z</dcterms:modified>
</cp:coreProperties>
</file>