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образовательное бюджетное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учреждение высшего профессионального образования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«НАЦИОНАЛЬНЫЙ-ИССЛЕДОВАТЕЛЬСКИЙ УНИВЕРСИТЕТ «ВЫСШАЯ ШКОЛА ЭКОНОМИКИ»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Высшая школа бизнеса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“Количественные методы в экономике”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Выполнили:</w:t>
      </w:r>
    </w:p>
    <w:p w:rsidR="00000000" w:rsidDel="00000000" w:rsidP="00000000" w:rsidRDefault="00000000" w:rsidRPr="00000000" w14:paraId="00000011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Авдеева Мария</w:t>
      </w:r>
    </w:p>
    <w:p w:rsidR="00000000" w:rsidDel="00000000" w:rsidP="00000000" w:rsidRDefault="00000000" w:rsidRPr="00000000" w14:paraId="0000001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Барбаш Лев</w:t>
      </w:r>
    </w:p>
    <w:p w:rsidR="00000000" w:rsidDel="00000000" w:rsidP="00000000" w:rsidRDefault="00000000" w:rsidRPr="00000000" w14:paraId="00000013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Шохолова Елена</w:t>
      </w:r>
    </w:p>
    <w:p w:rsidR="00000000" w:rsidDel="00000000" w:rsidP="00000000" w:rsidRDefault="00000000" w:rsidRPr="00000000" w14:paraId="00000014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- 2022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Выбранная статья для анализа.</w:t>
      </w:r>
    </w:p>
    <w:p w:rsidR="00000000" w:rsidDel="00000000" w:rsidP="00000000" w:rsidRDefault="00000000" w:rsidRPr="00000000" w14:paraId="0000002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основу работы была выбрана статья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“Save lives or save livelihoods? A cross-country analysis of COVID-19 pandemic and economic growth”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из журнала “Journal of Economic Behavior and Organization”.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Постановка исследовательской задачи. Актуальность темы. Формулировка интересных содержательных гипотез.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Исследовательская задача: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Выявить связь между различными показателями (ВВП на душу населения, плотность населения, инфраструктура здравоохранения, эффективность правительства и т.д.)  и смертностью от COVID-19 с учетом межстрановых различий.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Исследовательский вопрос: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Какие факторы могут повлиять на смертность во время пандемии COVID-19?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Актуальность темы: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Пандемия коронавируса нанесла прямой ущерб экономикам стран мира через заболеваемость и смертность людей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Различные страны сообщают о разных количествах инфицированных COVID-19, причиной этому может быть неоднородность некоторых факторов риска и защиты от болезни.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Влияние таких факторов, как ВВП, плотность населения, температура воздуха и прочее, на распространение и смертность от COVID-19 в разных странах недостаточно изучено, что 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мотивирует наши межстрановые регрессионные анализы.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Гипотезы: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Модель, которая учитывает все показатели, будет лучше предсказывать смертность по стране чем модель, которая учитывает только показатели страны без данных о пандемии;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Показатель смертности от COVID-19 будет сильно коррелировать с показателем популяции страны;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Показатели температуры страны и количества больничных коек будут одними из самых важных защитных факторов в модели для предсказания смертности;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Показатели ВВП на душу населения и неравенства доходов населения будут одними из самых угрожающих факторов в модели для предсказания смертности.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Источник данных, описание показателей (как рассчитываются и в чем измеряются). Анализ описательных статистик и графический анализ переменных.</w:t>
      </w:r>
    </w:p>
    <w:p w:rsidR="00000000" w:rsidDel="00000000" w:rsidP="00000000" w:rsidRDefault="00000000" w:rsidRPr="00000000" w14:paraId="00000031">
      <w:pPr>
        <w:spacing w:after="24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качестве источника данных был выбран датасет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“COVID19-Dataset-with-100-World-Countries”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 сайта kaggle. Для его дальнейшего использования была проведена обработка данных. В частности, взяты данные только на 27 ноября 2020 года, как и в статье. Также были добавлены столбцы по плотности населения и коэффициенту Джини. Все данные были прологарифмированы для лучшего предсказания трендов, а не конкретных значений. Всего выбрано 104 страны и 12 различных показателей. Итоговая таблица для анализа показана на рисунке 1.</w:t>
      </w:r>
    </w:p>
    <w:p w:rsidR="00000000" w:rsidDel="00000000" w:rsidP="00000000" w:rsidRDefault="00000000" w:rsidRPr="00000000" w14:paraId="00000032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21049" cy="1671861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049" cy="1671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1 - Таблица для анализа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Ниже, в таблице 1, представлено описание всех показателей.</w:t>
      </w:r>
    </w:p>
    <w:p w:rsidR="00000000" w:rsidDel="00000000" w:rsidP="00000000" w:rsidRDefault="00000000" w:rsidRPr="00000000" w14:paraId="00000035">
      <w:pPr>
        <w:spacing w:after="240" w:before="240" w:line="360" w:lineRule="auto"/>
        <w:ind w:left="720" w:firstLine="0"/>
        <w:jc w:val="righ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Таблица 1 - Описание показателей</w:t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05"/>
        <w:gridCol w:w="6195"/>
        <w:tblGridChange w:id="0">
          <w:tblGrid>
            <w:gridCol w:w="2805"/>
            <w:gridCol w:w="6195"/>
          </w:tblGrid>
        </w:tblGridChange>
      </w:tblGrid>
      <w:tr>
        <w:trPr>
          <w:cantSplit w:val="0"/>
          <w:trHeight w:val="342.0712735323045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Показатель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342.0712735323045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0"/>
                <w:szCs w:val="20"/>
                <w:highlight w:val="white"/>
                <w:rtl w:val="0"/>
              </w:rPr>
              <w:t xml:space="preserve">Entity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Страна, строковая переменная</w:t>
            </w:r>
          </w:p>
        </w:tc>
      </w:tr>
      <w:tr>
        <w:trPr>
          <w:cantSplit w:val="0"/>
          <w:trHeight w:val="536.3268436235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0"/>
                <w:szCs w:val="20"/>
                <w:highlight w:val="white"/>
                <w:rtl w:val="0"/>
              </w:rPr>
              <w:t xml:space="preserve">Average temperature per year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Средняя температура за год в градусах Цельсия, числовая переменная</w:t>
            </w:r>
          </w:p>
        </w:tc>
      </w:tr>
      <w:tr>
        <w:trPr>
          <w:cantSplit w:val="0"/>
          <w:trHeight w:val="536.3268436235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0"/>
                <w:szCs w:val="20"/>
                <w:highlight w:val="white"/>
                <w:rtl w:val="0"/>
              </w:rPr>
              <w:t xml:space="preserve">Hospital beds per 1000 people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Количество больничных коек на 1000 человек, числовая переменная</w:t>
            </w:r>
          </w:p>
        </w:tc>
      </w:tr>
      <w:tr>
        <w:trPr>
          <w:cantSplit w:val="0"/>
          <w:trHeight w:val="536.3268436235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0"/>
                <w:szCs w:val="20"/>
                <w:highlight w:val="white"/>
                <w:rtl w:val="0"/>
              </w:rPr>
              <w:t xml:space="preserve">Medical doctors per 1000 people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Количество докторов на 1000 человек, числовая переменная</w:t>
            </w:r>
          </w:p>
        </w:tc>
      </w:tr>
      <w:tr>
        <w:trPr>
          <w:cantSplit w:val="0"/>
          <w:trHeight w:val="342.0712735323045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0"/>
                <w:szCs w:val="20"/>
                <w:highlight w:val="white"/>
                <w:rtl w:val="0"/>
              </w:rPr>
              <w:t xml:space="preserve">GDP/Capita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ВВП на душу населения, числовая переменная</w:t>
            </w:r>
          </w:p>
        </w:tc>
      </w:tr>
      <w:tr>
        <w:trPr>
          <w:cantSplit w:val="0"/>
          <w:trHeight w:val="342.0712735323045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0"/>
                <w:szCs w:val="20"/>
                <w:highlight w:val="white"/>
                <w:rtl w:val="0"/>
              </w:rPr>
              <w:t xml:space="preserve">Population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Население, числовая переменная</w:t>
            </w:r>
          </w:p>
        </w:tc>
      </w:tr>
      <w:tr>
        <w:trPr>
          <w:cantSplit w:val="0"/>
          <w:trHeight w:val="342.0712735323045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0"/>
                <w:szCs w:val="20"/>
                <w:highlight w:val="white"/>
                <w:rtl w:val="0"/>
              </w:rPr>
              <w:t xml:space="preserve">Median 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Медианный возраст, числовая переменная</w:t>
            </w:r>
          </w:p>
        </w:tc>
      </w:tr>
      <w:tr>
        <w:trPr>
          <w:cantSplit w:val="0"/>
          <w:trHeight w:val="536.3268436235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0"/>
                <w:szCs w:val="20"/>
                <w:highlight w:val="white"/>
                <w:rtl w:val="0"/>
              </w:rPr>
              <w:t xml:space="preserve">Population aged 65 and over (%)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Население старше 65 лет в %, числовая переменная</w:t>
            </w:r>
          </w:p>
        </w:tc>
      </w:tr>
      <w:tr>
        <w:trPr>
          <w:cantSplit w:val="0"/>
          <w:trHeight w:val="536.3268436235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0"/>
                <w:szCs w:val="20"/>
                <w:highlight w:val="white"/>
                <w:rtl w:val="0"/>
              </w:rPr>
              <w:t xml:space="preserve">Daily tests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Количество сделанных тестов на COVID-19, числовая переменная</w:t>
            </w:r>
          </w:p>
        </w:tc>
      </w:tr>
      <w:tr>
        <w:trPr>
          <w:cantSplit w:val="0"/>
          <w:trHeight w:val="504.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0"/>
                <w:szCs w:val="20"/>
                <w:highlight w:val="white"/>
                <w:rtl w:val="0"/>
              </w:rPr>
              <w:t xml:space="preserve">Cases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Количество выявленных случаев COVID-19, числовая переменная</w:t>
            </w:r>
          </w:p>
        </w:tc>
      </w:tr>
      <w:tr>
        <w:trPr>
          <w:cantSplit w:val="0"/>
          <w:trHeight w:val="10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0"/>
                <w:szCs w:val="20"/>
                <w:highlight w:val="white"/>
                <w:rtl w:val="0"/>
              </w:rPr>
              <w:t xml:space="preserve">Deaths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Количество смертей, числовая переменная</w:t>
            </w:r>
          </w:p>
        </w:tc>
      </w:tr>
      <w:tr>
        <w:trPr>
          <w:cantSplit w:val="0"/>
          <w:trHeight w:val="342.0712735323045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0"/>
                <w:szCs w:val="20"/>
                <w:highlight w:val="white"/>
                <w:rtl w:val="0"/>
              </w:rPr>
              <w:t xml:space="preserve">Population density per km2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Плотность населения на км2, числовая переменная</w:t>
            </w:r>
          </w:p>
        </w:tc>
      </w:tr>
      <w:tr>
        <w:trPr>
          <w:cantSplit w:val="0"/>
          <w:trHeight w:val="342.0712735323045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0"/>
                <w:szCs w:val="20"/>
                <w:highlight w:val="white"/>
                <w:rtl w:val="0"/>
              </w:rPr>
              <w:t xml:space="preserve">Gini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Значение коэффициента Джини, числовая переменная</w:t>
            </w:r>
          </w:p>
        </w:tc>
      </w:tr>
    </w:tbl>
    <w:p w:rsidR="00000000" w:rsidDel="00000000" w:rsidP="00000000" w:rsidRDefault="00000000" w:rsidRPr="00000000" w14:paraId="00000052">
      <w:pPr>
        <w:spacing w:after="24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2 представлена таблица описательных статистик всех числовых переменных.</w:t>
      </w:r>
    </w:p>
    <w:p w:rsidR="00000000" w:rsidDel="00000000" w:rsidP="00000000" w:rsidRDefault="00000000" w:rsidRPr="00000000" w14:paraId="00000053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20451" cy="1130089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0451" cy="1130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2 - Описательные статистики переменных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3 можно видеть гистограммы всех числовых переменных.</w:t>
      </w:r>
    </w:p>
    <w:p w:rsidR="00000000" w:rsidDel="00000000" w:rsidP="00000000" w:rsidRDefault="00000000" w:rsidRPr="00000000" w14:paraId="00000056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71493" cy="2255416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493" cy="2255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3 - Гистограммы числовых переменных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4 можно видеть корреляционную матрицу всех числовых переменных.</w:t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04772" cy="3090863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4772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4 - Корреляционная матрица числовых переменных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Далее, на основе корреляционной матрицы числовых переменных можно построить графики рассеивания, чтобы лучше увидеть взаимосвязь отдельных пар показателей. Например, графики рассеивания показателей выявленных случаев и ВВП, смертей и ВВП на рисунке 5 (больше графиков можно увидеть к приложенному файлу с кодом). </w:t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18867" cy="1202568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8867" cy="1202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Рисунки 5 - Графики рассеивания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Построение эконометрических моделей. Корректное оценивание и применение эконометрических методов. Проверка предпосылок теоремы Гаусса-Маркова и гипотезы о нормальности случайной ошибки. Выбор наилучшей модели.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основании выбранных гипотез и анализа переменных были предложены три линейные модели. Каждая из них подойдет для определенных целей исследования и предсказания.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Первая модель учитывает все показатели и на основе их предсказывает смертность в стране. На рисунке 6 можно видеть коэффициенты при показателях в модели.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06488" cy="25083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6488" cy="25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6 - Коэффициенты первой модели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Вторая модель предсказывает смертность в стране на основе общих статистических данных по странам, не учитывающих показатели, связанные с пандемией. Ее коэффициенты представлены на рисунке 7.</w:t>
      </w:r>
    </w:p>
    <w:p w:rsidR="00000000" w:rsidDel="00000000" w:rsidP="00000000" w:rsidRDefault="00000000" w:rsidRPr="00000000" w14:paraId="00000064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29101" cy="2338388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101" cy="233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7 - Коэффициенты второй модели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Третья модель, коэффициенты которой показаны на рисунке 8,  на основе общих статистических данных по странам, не учитывающих показатели, связанные с пандемией предсказывает случаи заражения в стране.</w:t>
      </w:r>
    </w:p>
    <w:p w:rsidR="00000000" w:rsidDel="00000000" w:rsidP="00000000" w:rsidRDefault="00000000" w:rsidRPr="00000000" w14:paraId="00000067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92225" cy="2409781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2225" cy="2409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8 - Коэффициенты третьей модели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Теперь проверим все предпосылки теоремы Гаусса-Маркова. Ниже приведен пример для второй модели.</w:t>
      </w:r>
    </w:p>
    <w:p w:rsidR="00000000" w:rsidDel="00000000" w:rsidP="00000000" w:rsidRDefault="00000000" w:rsidRPr="00000000" w14:paraId="0000006A">
      <w:pPr>
        <w:spacing w:after="24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9 проведен тест на линейность модели. Линии почти прямые, можно сказать, что линейность скорее выполняется.</w:t>
      </w:r>
    </w:p>
    <w:p w:rsidR="00000000" w:rsidDel="00000000" w:rsidP="00000000" w:rsidRDefault="00000000" w:rsidRPr="00000000" w14:paraId="0000006B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78025" cy="202658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8025" cy="202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9 - Проверка на линейность второй модели</w:t>
      </w:r>
    </w:p>
    <w:p w:rsidR="00000000" w:rsidDel="00000000" w:rsidP="00000000" w:rsidRDefault="00000000" w:rsidRPr="00000000" w14:paraId="0000006D">
      <w:pPr>
        <w:spacing w:after="24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Проверка на равенство средних остатков нулю показала очень маленькое число, стремящееся к нулю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8.986401366629392e-15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 Делаем вывод, что условие выполняется.</w:t>
      </w:r>
    </w:p>
    <w:p w:rsidR="00000000" w:rsidDel="00000000" w:rsidP="00000000" w:rsidRDefault="00000000" w:rsidRPr="00000000" w14:paraId="0000006E">
      <w:pPr>
        <w:spacing w:after="24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10 можно видеть таблицу, показывающее значение vif. При отсутствии мультиколлинеарности значения должны быть около 1, в нашем случае это условие не выполняется.</w:t>
      </w:r>
    </w:p>
    <w:p w:rsidR="00000000" w:rsidDel="00000000" w:rsidP="00000000" w:rsidRDefault="00000000" w:rsidRPr="00000000" w14:paraId="0000006F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7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10 - Проверка на отсутствие мультиколлинеарности второй модели</w:t>
      </w:r>
    </w:p>
    <w:p w:rsidR="00000000" w:rsidDel="00000000" w:rsidP="00000000" w:rsidRDefault="00000000" w:rsidRPr="00000000" w14:paraId="00000071">
      <w:pPr>
        <w:spacing w:after="24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11 проведен тест на гомоскедастичность остатков. Линии почти прямые, имеем пограничный случай. Для большей точности были проведены тесты Бройша-Пагана 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Гольдфельда-Квандта. Первый показал гомоскедастичность (показатель p-value 0.287585), а второй - гетероскедастичность (показатель p-value 0.018616). Также имеем пограничный случай.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87538" cy="1967166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538" cy="1967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11 - Проверка на гомоскедастичность остатков второй модели</w:t>
      </w:r>
    </w:p>
    <w:p w:rsidR="00000000" w:rsidDel="00000000" w:rsidP="00000000" w:rsidRDefault="00000000" w:rsidRPr="00000000" w14:paraId="00000074">
      <w:pPr>
        <w:spacing w:after="24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12 проведен тест на отсутствие автокорреляции остатков. Как можно видеть, первое значение выходит за рамки установленного доверительного интервала, а остальные находятся в его пределах. Можно сказать, что автокорреляции нет. Для дополнительной проверки был проведен тест Дарбина-Ватсона. Он показал значение примерно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1.95, что значит действительно, автокорреляции нет.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44625" cy="1675761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4625" cy="1675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12 - Проверка на отсутствие автокорреляции остатков второй модели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Результаты проверки предпосылок теоремы Гаусса-Маркова для трех моделей представлена в таблице 2.</w:t>
      </w:r>
    </w:p>
    <w:p w:rsidR="00000000" w:rsidDel="00000000" w:rsidP="00000000" w:rsidRDefault="00000000" w:rsidRPr="00000000" w14:paraId="00000078">
      <w:pPr>
        <w:spacing w:after="240" w:before="240" w:line="360" w:lineRule="auto"/>
        <w:ind w:left="0" w:firstLine="708.6614173228347"/>
        <w:jc w:val="righ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Таблица 2 - Проверка предпосылок Гаусса-Маркова</w:t>
      </w:r>
    </w:p>
    <w:tbl>
      <w:tblPr>
        <w:tblStyle w:val="Table2"/>
        <w:tblW w:w="90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10"/>
        <w:gridCol w:w="1850"/>
        <w:gridCol w:w="1850"/>
        <w:gridCol w:w="1850"/>
        <w:tblGridChange w:id="0">
          <w:tblGrid>
            <w:gridCol w:w="3510"/>
            <w:gridCol w:w="1850"/>
            <w:gridCol w:w="1850"/>
            <w:gridCol w:w="18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Условие/Модель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Модель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Модель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Модель 3</w:t>
            </w:r>
          </w:p>
        </w:tc>
      </w:tr>
      <w:tr>
        <w:trPr>
          <w:cantSplit w:val="0"/>
          <w:trHeight w:val="674.9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Линейность модели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Не выполняется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Скорее выполняется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Скорее выполняется</w:t>
            </w:r>
          </w:p>
        </w:tc>
      </w:tr>
      <w:tr>
        <w:trPr>
          <w:cantSplit w:val="0"/>
          <w:trHeight w:val="329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Равенство средних остатков нулю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Выполняется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Выполняется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Выполняется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Отсутствие мультиколлинеарности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Не выполняется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Не выполняется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Не выполняется</w:t>
            </w:r>
          </w:p>
        </w:tc>
      </w:tr>
      <w:tr>
        <w:trPr>
          <w:cantSplit w:val="0"/>
          <w:trHeight w:val="659.9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Гомоскедастичность остатков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Не выполняется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Пограничный случай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Пограничный случай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Отсутствие автокорреляции остатков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Скорее выполняется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Скорее выполняется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Скорее выполняется</w:t>
            </w:r>
          </w:p>
        </w:tc>
      </w:tr>
    </w:tbl>
    <w:p w:rsidR="00000000" w:rsidDel="00000000" w:rsidP="00000000" w:rsidRDefault="00000000" w:rsidRPr="00000000" w14:paraId="00000091">
      <w:pPr>
        <w:spacing w:after="24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Более подробные пояснения о получении данных результатов, а также графики и отчеты можно увидеть в приложенном коде работы.</w:t>
      </w:r>
    </w:p>
    <w:p w:rsidR="00000000" w:rsidDel="00000000" w:rsidP="00000000" w:rsidRDefault="00000000" w:rsidRPr="00000000" w14:paraId="00000092">
      <w:pPr>
        <w:spacing w:after="24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проверки гипотезы о нормальности случайной ошибки построим для каждой модели график Q-Q plot, а также проведем тесты на нормальность Жака-Бера, Шапиро-Уилка, Колмогорова-Смирнова, Андерсона-Дарлинга. Пример проверки на нормальность второй модели показан на рисунке 13.</w:t>
      </w:r>
    </w:p>
    <w:p w:rsidR="00000000" w:rsidDel="00000000" w:rsidP="00000000" w:rsidRDefault="00000000" w:rsidRPr="00000000" w14:paraId="00000093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25883" cy="227454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883" cy="2274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13 - Проверка на нормальность второй модели</w:t>
      </w:r>
    </w:p>
    <w:p w:rsidR="00000000" w:rsidDel="00000000" w:rsidP="00000000" w:rsidRDefault="00000000" w:rsidRPr="00000000" w14:paraId="00000095">
      <w:pPr>
        <w:spacing w:after="24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Результаты проверки нормальности всех моделей представлены в таблице 3.</w:t>
      </w:r>
    </w:p>
    <w:p w:rsidR="00000000" w:rsidDel="00000000" w:rsidP="00000000" w:rsidRDefault="00000000" w:rsidRPr="00000000" w14:paraId="00000096">
      <w:pPr>
        <w:spacing w:after="240" w:before="240" w:line="360" w:lineRule="auto"/>
        <w:ind w:left="0" w:firstLine="0"/>
        <w:jc w:val="righ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Таблица 3 - Проверка гипотезы о нормальности случайной ошибки</w:t>
      </w:r>
    </w:p>
    <w:tbl>
      <w:tblPr>
        <w:tblStyle w:val="Table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0"/>
        <w:gridCol w:w="2200"/>
        <w:gridCol w:w="2200"/>
        <w:gridCol w:w="2200"/>
        <w:tblGridChange w:id="0">
          <w:tblGrid>
            <w:gridCol w:w="2400"/>
            <w:gridCol w:w="2200"/>
            <w:gridCol w:w="2200"/>
            <w:gridCol w:w="22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Модель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Модель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Модель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Модель 3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Тест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Гипотеза о нормальности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Жака-Бера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Отвергается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Отвергается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Отвергается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Шапиро-Уилка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Отвергается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Отвергается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Отвергается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Колмогорова-Смирнова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Отвергается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Отвергается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Отвергается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Андерсона-Дарлинга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Отвергается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Отвергается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Отвергается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Q-Q plot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Отвергается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Отвергается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Отвергается</w:t>
            </w:r>
          </w:p>
        </w:tc>
      </w:tr>
    </w:tbl>
    <w:p w:rsidR="00000000" w:rsidDel="00000000" w:rsidP="00000000" w:rsidRDefault="00000000" w:rsidRPr="00000000" w14:paraId="000000B3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Более подробные пояснения о получении данных результатов, а также графики и отчеты можно увидеть в приложенном коде работы.</w:t>
      </w:r>
    </w:p>
    <w:p w:rsidR="00000000" w:rsidDel="00000000" w:rsidP="00000000" w:rsidRDefault="00000000" w:rsidRPr="00000000" w14:paraId="000000B4">
      <w:pPr>
        <w:spacing w:after="24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основе всех проведенных тестов и анализа статьи был сделан вывод о том, что наилучшая модель из всех нами представленных - вторая. Она близка к модели из статьи, так как по ней мы предсказываем смертность исходя только из различных показателей страны, не учитывая статистику по COVID-19. Также, несмотря на отвергнутые гипотезы о нормальности, она показывает лучшие результаты среди остальных моделей.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Содержательная интерпретация полученных выводов. Все коэффициенты должны быть проинтерпретированы в соответствии с их значимостью и функциональной формой модели.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Интерпретация коэффициентов второй модели (оценка смертности по общим страновым признакам) в соответствии с их значимостью (расположены в порядке возрастания p-value):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360" w:lineRule="auto"/>
        <w:ind w:left="425.19685039370086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Нулевой коэффициент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население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наиболее значимые признаки (p-value = 0.000) очерчивают базовую смертность от последствий китайского коронавируса в стране, на которую в дальнейшем влияют различные факторы риска и защитные факторы.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425.19685039370086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Число врачей на 1000 человек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значимый признак (p-value = 0.003), положительно коррелирующий с показателями развитости экономики и здравоохранения страны (например: ВВП на душу населения, затраты на здравоохранение и тд.). Как известно, эпидемия затронула развитые страны с развитой медициной в значительно большей степени чем развивающиеся и бедные, поэтому в данной модели число врачей выступает важным фактором риска, зависящим от разных переменных, как включенных, так и не включенных в модель.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425.19685039370086" w:right="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Индекс Джини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умеренно значимый признак (p-value = 0.026), свидетельствующий о большем риске смертности в странах с более неравным распределением доходов населения.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425.19685039370086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Число больничных коек на 1000 человек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 умеренно значимый признак (p-value = 0.072), являющийся одним из важнейших защитных факторов страны. Чем больше зданий и помещений выделено под места для ухода за тяжелобольными тем выше общее противостояние заражению и сокращение базового значения смертности в стране.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425.19685039370086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Среднее значение температуры в год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несмотря на незначительность для полученный модели (p-value = 0.233), значение температуры является важным защитным фактором эпидемии, так как вирус распространяется медленнее в странах с более жарким климатом.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425.19685039370086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ВВП на душу населения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несмотря на незначительность для полученной модели (p-value = 0.265), данный признак - важный фактор риска, так как он свидетельствует о рыночном производстве, потреблении, социальной деятельности и взаимодействию между людьми в той или иной стране, высокое значение такого показателя благоприятно влияет на распространение вируса и приводит к большей смертности.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425.19685039370086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Плотность населения на кв. км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как известно, эпидемия затронула наиболее заселенные регионы и города мира (восточное побережье США, южная Италия, Англия и тд.), поэтому, несмотря на незначительность для модели (p-value = 0.296), плотность населения является важным фактором риска.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425.19685039370086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Доля населения старше 65 лет в %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пожилые и люди старческого возраста  наиболее уязвимы для китайского коронавирусу, но несмотря на это показатель их доли в населении страны является незначительным (p-value = 0.537) и маловажным фактором риска в исследовании заражения и смертности.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360" w:lineRule="auto"/>
        <w:ind w:left="425.19685039370086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Медианный возраст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наименее значимый (p-value = 0.870) и наименее влиятельный защитный фактор в исследовании, при удалении из модели значение r2, округленное до 3-х знаков после запятой, не изменится.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проверки функциональной формы модели был проведен тест Рамсея, который показал значение p-value при F-статистике равное примерно 0,64. Это значит, что линейная модель задана верно.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Сравнение результатов проведенного  исследования с результатами статьи.</w:t>
      </w:r>
    </w:p>
    <w:p w:rsidR="00000000" w:rsidDel="00000000" w:rsidP="00000000" w:rsidRDefault="00000000" w:rsidRPr="00000000" w14:paraId="000000C2">
      <w:pPr>
        <w:spacing w:after="24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14 представлено сравнение значений коэффициентов моделей.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73853" cy="116670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3853" cy="1166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06518" cy="109072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6518" cy="1090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14 - Сравнение коэффициентов моделей</w:t>
      </w:r>
    </w:p>
    <w:p w:rsidR="00000000" w:rsidDel="00000000" w:rsidP="00000000" w:rsidRDefault="00000000" w:rsidRPr="00000000" w14:paraId="000000C5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Авторы статьи сделали выводы, что при прочих равных, в стране с более высоким ВВП на душу населения, более высокой плотностью населения, более высоким коэффициентом Джини, меньшим количеством больничных коек, более низкой температурой и более низкой эффективностью правительства, как правило, больше смертей. Наше исследование показало, что страны с более высокой плотностью населения, более высоким ВВП на душу населения, большим неравенством доходов населения и более низкой температурой в регионе и меньшим количеством больничных коек, по прогнозам, будут более уязвимыми к глобальной пандемии. В частности, стоит отметить, что проблема занижения данных как о совокупных инфекциях, так и о совокупных смертях, повлияла на наши эмпирические результаты.</w:t>
      </w:r>
    </w:p>
    <w:p w:rsidR="00000000" w:rsidDel="00000000" w:rsidP="00000000" w:rsidRDefault="00000000" w:rsidRPr="00000000" w14:paraId="000000C6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Авторы статьи определили, что для смертности ВВП на душу населения, плотность населения и неравенство доходов являются тремя наиболее важными факторами риска; эффективность правительства, температура и больничные койки являются тремя наиболее важными защитными факторами. Мы обнаружили, что ВВП на душу населения, плотность населения, коэффициент Джини и количество врачей являются тремя наиболее важными факторами риска, тогда как температура региона и количество больничных коек являются наиболее важными факторами защиты от последствий заражения COVID-19.</w:t>
      </w: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footerReference r:id="rId25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jc w:val="right"/>
      <w:rPr>
        <w:rFonts w:ascii="Times New Roman" w:cs="Times New Roman" w:eastAsia="Times New Roman" w:hAnsi="Times New Roman"/>
        <w:sz w:val="26"/>
        <w:szCs w:val="26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2.png"/><Relationship Id="rId21" Type="http://schemas.openxmlformats.org/officeDocument/2006/relationships/image" Target="media/image3.png"/><Relationship Id="rId24" Type="http://schemas.openxmlformats.org/officeDocument/2006/relationships/footer" Target="foot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sciencedirect.com/science/article/pii/S0167268122000804" TargetMode="External"/><Relationship Id="rId7" Type="http://schemas.openxmlformats.org/officeDocument/2006/relationships/hyperlink" Target="https://www.kaggle.com/datasets/sambelkacem/covid19-algeria-and-world-dataset" TargetMode="External"/><Relationship Id="rId8" Type="http://schemas.openxmlformats.org/officeDocument/2006/relationships/image" Target="media/image5.png"/><Relationship Id="rId11" Type="http://schemas.openxmlformats.org/officeDocument/2006/relationships/image" Target="media/image12.png"/><Relationship Id="rId10" Type="http://schemas.openxmlformats.org/officeDocument/2006/relationships/image" Target="media/image9.png"/><Relationship Id="rId13" Type="http://schemas.openxmlformats.org/officeDocument/2006/relationships/image" Target="media/image15.png"/><Relationship Id="rId12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14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19" Type="http://schemas.openxmlformats.org/officeDocument/2006/relationships/image" Target="media/image1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