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59BA8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Thread 1: Revenue &amp; Product Definition</w:t>
      </w:r>
      <w:r/>
    </w:p>
    <w:p w14:paraId="03F8501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Actual Question</w:t>
      </w:r>
      <w:r/>
    </w:p>
    <w:p w14:paraId="5EC1B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document frames this as "data vs. signals vs. content" but that's a false choice at the product level. The real question is: </w:t>
      </w:r>
      <w:r>
        <w:rPr>
          <w:rFonts w:ascii="Times New Roman" w:hAnsi="Times New Roman" w:eastAsia="Times New Roman" w:cs="Times New Roman"/>
          <w:b/>
          <w:color w:val="000000"/>
          <w:sz w:val="24"/>
        </w:rPr>
        <w:t xml:space="preserve">what is the unit of value you're selling, and who has budget for it?</w:t>
      </w:r>
      <w:r/>
    </w:p>
    <w:p w14:paraId="5F9CE3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only three economically distinct positions in market data:</w:t>
      </w:r>
      <w:r/>
    </w:p>
    <w:p w14:paraId="57B8B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Position 1: Infrastructure provider.</w:t>
      </w:r>
      <w:r>
        <w:rPr>
          <w:rFonts w:ascii="Times New Roman" w:hAnsi="Times New Roman" w:eastAsia="Times New Roman" w:cs="Times New Roman"/>
          <w:color w:val="000000"/>
          <w:sz w:val="24"/>
        </w:rPr>
        <w:t xml:space="preserve"> You sell clean, normalized, auditable data. Customers are builders — quants, fund operators, developers building their own systems on top of yours. The product is reliability, coverage, and PIT integrity. The competition is Glassnode, Coin Metrics, Kaiko.</w:t>
      </w:r>
      <w:r>
        <w:rPr>
          <w:rFonts w:ascii="Times New Roman" w:hAnsi="Times New Roman" w:eastAsia="Times New Roman" w:cs="Times New Roman"/>
          <w:color w:val="000000"/>
          <w:sz w:val="24"/>
        </w:rPr>
        <w:t xml:space="preserve"> The moat is data quality and breadth. Revenue model: API subscriptions tiered by throughput and history depth. </w:t>
      </w:r>
      <w:r>
        <w:rPr>
          <w:rFonts w:ascii="Times New Roman" w:hAnsi="Times New Roman" w:eastAsia="Times New Roman" w:cs="Times New Roman"/>
          <w:b/>
          <w:color w:val="000000"/>
          <w:sz w:val="24"/>
        </w:rPr>
        <w:t xml:space="preserve">This makes Layer 3 (Data Universe) the product surface.</w:t>
      </w:r>
      <w:r/>
    </w:p>
    <w:p w14:paraId="5AC3E4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Position 2: Intelligence provider.</w:t>
      </w:r>
      <w:r>
        <w:rPr>
          <w:rFonts w:ascii="Times New Roman" w:hAnsi="Times New Roman" w:eastAsia="Times New Roman" w:cs="Times New Roman"/>
          <w:color w:val="000000"/>
          <w:sz w:val="24"/>
        </w:rPr>
        <w:t xml:space="preserve"> You sell interpretation. Customers are decision-makers — portfolio managers, traders, allocators — who want answers, not data. The product is the signal, the regime classification, the directional call. The competition is research desks, not data vendors.</w:t>
      </w:r>
      <w:r>
        <w:rPr>
          <w:rFonts w:ascii="Times New Roman" w:hAnsi="Times New Roman" w:eastAsia="Times New Roman" w:cs="Times New Roman"/>
          <w:color w:val="000000"/>
          <w:sz w:val="24"/>
        </w:rPr>
        <w:t xml:space="preserve"> The moat is methodology and track record. Revenue model: subscription to signal feeds, alert services, or periodic intelligence products. </w:t>
      </w:r>
      <w:r>
        <w:rPr>
          <w:rFonts w:ascii="Times New Roman" w:hAnsi="Times New Roman" w:eastAsia="Times New Roman" w:cs="Times New Roman"/>
          <w:b/>
          <w:color w:val="000000"/>
          <w:sz w:val="24"/>
        </w:rPr>
        <w:t xml:space="preserve">This makes Layer 5 (Signal Generation) the product surface.</w:t>
      </w:r>
      <w:r/>
    </w:p>
    <w:p w14:paraId="61E81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Position 3: Workflow product.</w:t>
      </w:r>
      <w:r>
        <w:rPr>
          <w:rFonts w:ascii="Times New Roman" w:hAnsi="Times New Roman" w:eastAsia="Times New Roman" w:cs="Times New Roman"/>
          <w:color w:val="000000"/>
          <w:sz w:val="24"/>
        </w:rPr>
        <w:t xml:space="preserve"> You sell a complete tool — dashboard, alerts, portfolio intelligence, periodic briefs — to operators who don't want an API, they want a product they open and use. Customers are active investors, fund managers without tech staff. The product is the experie</w:t>
      </w:r>
      <w:r>
        <w:rPr>
          <w:rFonts w:ascii="Times New Roman" w:hAnsi="Times New Roman" w:eastAsia="Times New Roman" w:cs="Times New Roman"/>
          <w:color w:val="000000"/>
          <w:sz w:val="24"/>
        </w:rPr>
        <w:t xml:space="preserve">nce. The moat is interface design and synthesis quality. Revenue model: SaaS subscription. </w:t>
      </w:r>
      <w:r>
        <w:rPr>
          <w:rFonts w:ascii="Times New Roman" w:hAnsi="Times New Roman" w:eastAsia="Times New Roman" w:cs="Times New Roman"/>
          <w:b/>
          <w:color w:val="000000"/>
          <w:sz w:val="24"/>
        </w:rPr>
        <w:t xml:space="preserve">This makes the UI and content layer the product surface.</w:t>
      </w:r>
      <w:r/>
    </w:p>
    <w:p w14:paraId="3A53A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aren't mutually exclusive long-term. But they require different first investments, different go-to-market motions, and different definitions of "done" for the data layer.</w:t>
      </w:r>
      <w:r/>
    </w:p>
    <w:p w14:paraId="6A99A46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the existing architecture tells us</w:t>
      </w:r>
      <w:r/>
    </w:p>
    <w:p w14:paraId="31B32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system already has strong opinions embedded in it:</w:t>
      </w:r>
      <w:r/>
    </w:p>
    <w:p w14:paraId="258830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EDSx</w:t>
      </w:r>
      <w:r>
        <w:rPr>
          <w:rFonts w:ascii="Times New Roman" w:hAnsi="Times New Roman" w:eastAsia="Times New Roman" w:cs="Times New Roman"/>
          <w:color w:val="000000"/>
          <w:sz w:val="24"/>
        </w:rPr>
        <w:t xml:space="preserve"> (deterministic scoring) + </w:t>
      </w:r>
      <w:r>
        <w:rPr>
          <w:rFonts w:ascii="Times New Roman" w:hAnsi="Times New Roman" w:eastAsia="Times New Roman" w:cs="Times New Roman"/>
          <w:b/>
          <w:color w:val="000000"/>
          <w:sz w:val="24"/>
        </w:rPr>
        <w:t xml:space="preserve">ML signal tracks</w:t>
      </w:r>
      <w:r>
        <w:rPr>
          <w:rFonts w:ascii="Times New Roman" w:hAnsi="Times New Roman" w:eastAsia="Times New Roman" w:cs="Times New Roman"/>
          <w:color w:val="000000"/>
          <w:sz w:val="24"/>
        </w:rPr>
        <w:t xml:space="preserve"> — this is intelligence infrastructure, not data infrastructure</w:t>
      </w:r>
      <w:r/>
    </w:p>
    <w:p w14:paraId="1027E8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Pillar architecture</w:t>
      </w:r>
      <w:r>
        <w:rPr>
          <w:rFonts w:ascii="Times New Roman" w:hAnsi="Times New Roman" w:eastAsia="Times New Roman" w:cs="Times New Roman"/>
          <w:color w:val="000000"/>
          <w:sz w:val="24"/>
        </w:rPr>
        <w:t xml:space="preserve"> (derivatives, flows, DeFi, macro) — this is a signal framework, not a data catalog</w:t>
      </w:r>
      <w:r/>
    </w:p>
    <w:p w14:paraId="054C2F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14-day horizon, volume-adjusted labels</w:t>
      </w:r>
      <w:r>
        <w:rPr>
          <w:rFonts w:ascii="Times New Roman" w:hAnsi="Times New Roman" w:eastAsia="Times New Roman" w:cs="Times New Roman"/>
          <w:color w:val="000000"/>
          <w:sz w:val="24"/>
        </w:rPr>
        <w:t xml:space="preserve"> — this is a prediction target, not a data delivery spec</w:t>
      </w:r>
      <w:r/>
    </w:p>
    <w:p w14:paraId="4513F0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Coinalyze, Explorer, DeFiLlama, FRED as primary sources</w:t>
      </w:r>
      <w:r>
        <w:rPr>
          <w:rFonts w:ascii="Times New Roman" w:hAnsi="Times New Roman" w:eastAsia="Times New Roman" w:cs="Times New Roman"/>
          <w:color w:val="000000"/>
          <w:sz w:val="24"/>
        </w:rPr>
        <w:t xml:space="preserve"> — crypto-native, macro-aware — consistent with institutional crypto signal product</w:t>
      </w:r>
      <w:r/>
    </w:p>
    <w:p w14:paraId="127CD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existing work points clearly toward Position 2 with Position 1 as the structural foundation. You're not building a data vendor — you're building a signal product that happens to require a rigorous data layer.</w:t>
      </w:r>
      <w:r/>
    </w:p>
    <w:p w14:paraId="1814669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constraint that matters most for v1</w:t>
      </w:r>
      <w:r/>
    </w:p>
    <w:p w14:paraId="0B5B7D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one operator (you). That rules out:</w:t>
      </w:r>
      <w:r/>
    </w:p>
    <w:p w14:paraId="67B610E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Multi-asset coverage at launch (operational complexity)</w:t>
      </w:r>
      <w:r/>
    </w:p>
    <w:p w14:paraId="57F8F6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Fully polished public API with billing infra and docs as first revenue (6+ months before any money)</w:t>
      </w:r>
      <w:r/>
    </w:p>
    <w:p w14:paraId="3BE7E41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Content-first (requires consistent editorial output, competes on distribution not data quality)</w:t>
      </w:r>
      <w:r/>
    </w:p>
    <w:p w14:paraId="3B4DB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operator with real data, signal infrastructure, and backtested methodology can deliver:</w:t>
      </w:r>
      <w:r/>
    </w:p>
    <w:p w14:paraId="64BB9C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focused intelligence product for a small number of high-conviction early customers</w:t>
      </w:r>
      <w:r/>
    </w:p>
    <w:p w14:paraId="362C42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Crypto-only, BTC/ETH/SOL first, expanding from there</w:t>
      </w:r>
      <w:r/>
    </w:p>
    <w:p w14:paraId="5722A1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Signal delivery via webhook, Telegram, or simple API — not a polished SaaS dashboard</w:t>
      </w:r>
      <w:r/>
    </w:p>
    <w:p w14:paraId="0BAB85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Pricing that reflects the quality of the underlying work, not the polish of the interface</w:t>
      </w:r>
      <w:r/>
    </w:p>
    <w:p w14:paraId="34C1D4D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Revenue stream priority recommendation</w:t>
      </w:r>
      <w:r/>
    </w:p>
    <w:p w14:paraId="7EF5DB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v1 Primary: Intelligence-as-a-Service, direct delivery</w:t>
      </w:r>
      <w:r/>
    </w:p>
    <w:p w14:paraId="32C947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Directional signals per instrument (BTC, ETH, SOL to start)</w:t>
      </w:r>
      <w:r/>
    </w:p>
    <w:p w14:paraId="5AE1FA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Regime classification (risk-on / risk-off / transition)</w:t>
      </w:r>
      <w:r/>
    </w:p>
    <w:p w14:paraId="03122CD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Composite scores with component breakdown</w:t>
      </w:r>
      <w:r/>
    </w:p>
    <w:p w14:paraId="6D99126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Delivery: webhook + Telegram + simple authenticated API endpoint</w:t>
      </w:r>
      <w:r/>
    </w:p>
    <w:p w14:paraId="0115D6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Customers: 3–10 paying operators, quant/fund adjacent</w:t>
      </w:r>
      <w:r/>
    </w:p>
    <w:p w14:paraId="6DA7430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 model: flat monthly subscription, manually invoiced, no billing infrastructure required</w:t>
      </w:r>
      <w:r/>
    </w:p>
    <w:p w14:paraId="0F18C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v1 Secondary (parallel, low marginal cost): Data access for customers who ask</w:t>
      </w:r>
      <w:r/>
    </w:p>
    <w:p w14:paraId="743D1E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a paying signal customer wants raw metric access, you have it</w:t>
      </w:r>
      <w:r/>
    </w:p>
    <w:p w14:paraId="68E094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Gated read access to the Data Universe via API key</w:t>
      </w:r>
      <w:r/>
    </w:p>
    <w:p w14:paraId="543412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additional build required beyond auth layer — the universe is there anyway</w:t>
      </w:r>
      <w:r/>
    </w:p>
    <w:p w14:paraId="04900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v2: Formalized Data-as-a-Service</w:t>
      </w:r>
      <w:r/>
    </w:p>
    <w:p w14:paraId="4D4C113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Proper API, docs, tier model, billing infra</w:t>
      </w:r>
      <w:r/>
    </w:p>
    <w:p w14:paraId="4FCF62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By this point you have track record and inbound interest</w:t>
      </w:r>
      <w:r/>
    </w:p>
    <w:p w14:paraId="3ACDF3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Builds on the same Layer 3 foundation, no schema changes</w:t>
      </w:r>
      <w:r/>
    </w:p>
    <w:p w14:paraId="139B7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 in v1: Content products, portfolio intelligence, UI</w:t>
      </w:r>
      <w:r/>
    </w:p>
    <w:p w14:paraId="3D0DEF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Content competes on distribution. You don't have distribution yet.</w:t>
      </w:r>
      <w:r/>
    </w:p>
    <w:p w14:paraId="2AACFA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Portfolio-level intelligence requires more instruments and more history</w:t>
      </w:r>
      <w:r/>
    </w:p>
    <w:p w14:paraId="5B2C3D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UI is a multiplier on a working product — not the first thing to build</w:t>
      </w:r>
      <w:r/>
    </w:p>
    <w:p w14:paraId="01A8BCE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MVP definition</w:t>
      </w:r>
      <w:r/>
    </w:p>
    <w:p w14:paraId="01CD9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MVP = one signal report, delivered on schedule, to one paying customer, that they trust enough to act on.</w:t>
      </w:r>
      <w:r/>
    </w:p>
    <w:p w14:paraId="6C1DF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means:</w:t>
      </w:r>
      <w:r/>
    </w:p>
    <w:p w14:paraId="1FDFE3E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 signal, minimum. ETH optional at launch.</w:t>
      </w:r>
      <w:r/>
    </w:p>
    <w:p w14:paraId="01A7AC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Regime classification + directional call + 3–4 component scores</w:t>
      </w:r>
      <w:r/>
    </w:p>
    <w:p w14:paraId="57614E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Delivered on a reliable cadence (daily or at each 8h derivatives settlement)</w:t>
      </w:r>
      <w:r/>
    </w:p>
    <w:p w14:paraId="59138F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Methodology documented enough that a sophisticated customer can interrogate it</w:t>
      </w:r>
      <w:r/>
    </w:p>
    <w:p w14:paraId="6FCB46C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Delivery mechanism: Telegram message or webhook — not a dashboard</w:t>
      </w:r>
      <w:r/>
    </w:p>
    <w:p w14:paraId="70EF1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billing infrastructure. No API docs. No UI. Just the signal, on time, defensibly produced.</w:t>
      </w:r>
      <w:r/>
    </w:p>
    <w:p w14:paraId="30BA015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this means for the layers below</w:t>
      </w:r>
      <w:r/>
    </w:p>
    <w:p w14:paraId="5B00D0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signals are the product surface:</w:t>
      </w:r>
      <w:r/>
    </w:p>
    <w:p w14:paraId="57CEE7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Layer 5 (Signal Generation)</w:t>
      </w:r>
      <w:r>
        <w:rPr>
          <w:rFonts w:ascii="Times New Roman" w:hAnsi="Times New Roman" w:eastAsia="Times New Roman" w:cs="Times New Roman"/>
          <w:color w:val="000000"/>
          <w:sz w:val="24"/>
        </w:rPr>
        <w:t xml:space="preserve"> must produce the exact output schema from the Layer 6 example in the design doc. That schema is the product contract.</w:t>
      </w:r>
      <w:r/>
    </w:p>
    <w:p w14:paraId="68D906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Layer 4 (Feature Engineering)</w:t>
      </w:r>
      <w:r>
        <w:rPr>
          <w:rFonts w:ascii="Times New Roman" w:hAnsi="Times New Roman" w:eastAsia="Times New Roman" w:cs="Times New Roman"/>
          <w:color w:val="000000"/>
          <w:sz w:val="24"/>
        </w:rPr>
        <w:t xml:space="preserve"> must compute everything the signal pillars require. Nothing more.</w:t>
      </w:r>
      <w:r/>
    </w:p>
    <w:p w14:paraId="71C22A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Layer 3 (Data Universe)</w:t>
      </w:r>
      <w:r>
        <w:rPr>
          <w:rFonts w:ascii="Times New Roman" w:hAnsi="Times New Roman" w:eastAsia="Times New Roman" w:cs="Times New Roman"/>
          <w:color w:val="000000"/>
          <w:sz w:val="24"/>
        </w:rPr>
        <w:t xml:space="preserve"> must be robust enough that Layer 4 can trust it — PIT integrity, validated values, no source-shaped structure leaking upward.</w:t>
      </w:r>
      <w:r/>
    </w:p>
    <w:p w14:paraId="7A45FF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Layer 2/1</w:t>
      </w:r>
      <w:r>
        <w:rPr>
          <w:rFonts w:ascii="Times New Roman" w:hAnsi="Times New Roman" w:eastAsia="Times New Roman" w:cs="Times New Roman"/>
          <w:color w:val="000000"/>
          <w:sz w:val="24"/>
        </w:rPr>
        <w:t xml:space="preserve"> must cover: derivatives (Coinalyze), flows (Explorer, fixed), DeFi health (DeFiLlama), macro context (FRED). Four domains, four pillars, cleanly mapped.</w:t>
      </w:r>
      <w:r/>
    </w:p>
    <w:p w14:paraId="3602C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four existing pillars from EDSx survive the top-down review. They're the right domains for a crypto intelligence product at this asset coverage level.</w:t>
      </w:r>
      <w:r/>
    </w:p>
    <w:p w14:paraId="4A5A630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Decisions locked by Thread 1</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3"/>
        <w:gridCol w:w="5679"/>
      </w:tblGrid>
      <w:tr>
        <w:trPr/>
        <w:tc>
          <w:tcPr>
            <w:tcBorders/>
            <w:tcMar>
              <w:left w:w="15" w:type="dxa"/>
              <w:top w:w="15" w:type="dxa"/>
              <w:right w:w="15" w:type="dxa"/>
              <w:bottom w:w="15" w:type="dxa"/>
            </w:tcMar>
            <w:tcW w:w="1993" w:type="dxa"/>
            <w:vAlign w:val="center"/>
          </w:tcPr>
          <w:p w14:paraId="3C494F05">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679" w:type="dxa"/>
            <w:vAlign w:val="center"/>
          </w:tcPr>
          <w:p w14:paraId="14E1CEC6">
            <w:pPr>
              <w:pBdr/>
              <w:spacing w:after="0" w:before="0" w:line="240"/>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1993" w:type="dxa"/>
            <w:vAlign w:val="center"/>
          </w:tcPr>
          <w:p w14:paraId="3557AF03">
            <w:pPr>
              <w:pBdr/>
              <w:spacing w:after="0" w:before="0" w:line="240"/>
              <w:ind/>
              <w:rPr/>
            </w:pPr>
            <w:r>
              <w:rPr>
                <w:rFonts w:ascii="Times New Roman" w:hAnsi="Times New Roman" w:eastAsia="Times New Roman" w:cs="Times New Roman"/>
                <w:color w:val="000000"/>
                <w:sz w:val="24"/>
              </w:rPr>
              <w:t xml:space="preserve">Primary revenue</w:t>
            </w:r>
            <w:r/>
          </w:p>
        </w:tc>
        <w:tc>
          <w:tcPr>
            <w:tcBorders/>
            <w:tcMar>
              <w:left w:w="15" w:type="dxa"/>
              <w:top w:w="15" w:type="dxa"/>
              <w:right w:w="15" w:type="dxa"/>
              <w:bottom w:w="15" w:type="dxa"/>
            </w:tcMar>
            <w:tcW w:w="5679" w:type="dxa"/>
            <w:vAlign w:val="center"/>
          </w:tcPr>
          <w:p w14:paraId="72AEF348">
            <w:pPr>
              <w:pBdr/>
              <w:spacing w:after="0" w:before="0" w:line="240"/>
              <w:ind/>
              <w:rPr/>
            </w:pPr>
            <w:r>
              <w:rPr>
                <w:rFonts w:ascii="Times New Roman" w:hAnsi="Times New Roman" w:eastAsia="Times New Roman" w:cs="Times New Roman"/>
                <w:color w:val="000000"/>
                <w:sz w:val="24"/>
              </w:rPr>
              <w:t xml:space="preserve">Intelligence-as-a-Service</w:t>
            </w:r>
            <w:r/>
          </w:p>
        </w:tc>
      </w:tr>
      <w:tr>
        <w:trPr/>
        <w:tc>
          <w:tcPr>
            <w:tcBorders/>
            <w:tcMar>
              <w:left w:w="15" w:type="dxa"/>
              <w:top w:w="15" w:type="dxa"/>
              <w:right w:w="15" w:type="dxa"/>
              <w:bottom w:w="15" w:type="dxa"/>
            </w:tcMar>
            <w:tcW w:w="1993" w:type="dxa"/>
            <w:vAlign w:val="center"/>
          </w:tcPr>
          <w:p w14:paraId="0008F2A5">
            <w:pPr>
              <w:pBdr/>
              <w:spacing w:after="0" w:before="0" w:line="240"/>
              <w:ind/>
              <w:rPr/>
            </w:pPr>
            <w:r>
              <w:rPr>
                <w:rFonts w:ascii="Times New Roman" w:hAnsi="Times New Roman" w:eastAsia="Times New Roman" w:cs="Times New Roman"/>
                <w:color w:val="000000"/>
                <w:sz w:val="24"/>
              </w:rPr>
              <w:t xml:space="preserve">Primary customer</w:t>
            </w:r>
            <w:r/>
          </w:p>
        </w:tc>
        <w:tc>
          <w:tcPr>
            <w:tcBorders/>
            <w:tcMar>
              <w:left w:w="15" w:type="dxa"/>
              <w:top w:w="15" w:type="dxa"/>
              <w:right w:w="15" w:type="dxa"/>
              <w:bottom w:w="15" w:type="dxa"/>
            </w:tcMar>
            <w:tcW w:w="5679" w:type="dxa"/>
            <w:vAlign w:val="center"/>
          </w:tcPr>
          <w:p w14:paraId="1E989A58">
            <w:pPr>
              <w:pBdr/>
              <w:spacing w:after="0" w:before="0" w:line="240"/>
              <w:ind/>
              <w:rPr/>
            </w:pPr>
            <w:r>
              <w:rPr>
                <w:rFonts w:ascii="Times New Roman" w:hAnsi="Times New Roman" w:eastAsia="Times New Roman" w:cs="Times New Roman"/>
                <w:color w:val="000000"/>
                <w:sz w:val="24"/>
              </w:rPr>
              <w:t xml:space="preserve">Quant/fund operators, 3–10 initially</w:t>
            </w:r>
            <w:r/>
          </w:p>
        </w:tc>
      </w:tr>
      <w:tr>
        <w:trPr/>
        <w:tc>
          <w:tcPr>
            <w:tcBorders/>
            <w:tcMar>
              <w:left w:w="15" w:type="dxa"/>
              <w:top w:w="15" w:type="dxa"/>
              <w:right w:w="15" w:type="dxa"/>
              <w:bottom w:w="15" w:type="dxa"/>
            </w:tcMar>
            <w:tcW w:w="1993" w:type="dxa"/>
            <w:vAlign w:val="center"/>
          </w:tcPr>
          <w:p w14:paraId="49CFDFC1">
            <w:pPr>
              <w:pBdr/>
              <w:spacing w:after="0" w:before="0" w:line="240"/>
              <w:ind/>
              <w:rPr/>
            </w:pPr>
            <w:r>
              <w:rPr>
                <w:rFonts w:ascii="Times New Roman" w:hAnsi="Times New Roman" w:eastAsia="Times New Roman" w:cs="Times New Roman"/>
                <w:color w:val="000000"/>
                <w:sz w:val="24"/>
              </w:rPr>
              <w:t xml:space="preserve">Product surface</w:t>
            </w:r>
            <w:r/>
          </w:p>
        </w:tc>
        <w:tc>
          <w:tcPr>
            <w:tcBorders/>
            <w:tcMar>
              <w:left w:w="15" w:type="dxa"/>
              <w:top w:w="15" w:type="dxa"/>
              <w:right w:w="15" w:type="dxa"/>
              <w:bottom w:w="15" w:type="dxa"/>
            </w:tcMar>
            <w:tcW w:w="5679" w:type="dxa"/>
            <w:vAlign w:val="center"/>
          </w:tcPr>
          <w:p w14:paraId="22D4EB4C">
            <w:pPr>
              <w:pBdr/>
              <w:spacing w:after="0" w:before="0" w:line="240"/>
              <w:ind/>
              <w:rPr/>
            </w:pPr>
            <w:r>
              <w:rPr>
                <w:rFonts w:ascii="Times New Roman" w:hAnsi="Times New Roman" w:eastAsia="Times New Roman" w:cs="Times New Roman"/>
                <w:color w:val="000000"/>
                <w:sz w:val="24"/>
              </w:rPr>
              <w:t xml:space="preserve">Layer 5 (signals), with Layer 3 as internal infrastructure</w:t>
            </w:r>
            <w:r/>
          </w:p>
        </w:tc>
      </w:tr>
      <w:tr>
        <w:trPr/>
        <w:tc>
          <w:tcPr>
            <w:tcBorders/>
            <w:tcMar>
              <w:left w:w="15" w:type="dxa"/>
              <w:top w:w="15" w:type="dxa"/>
              <w:right w:w="15" w:type="dxa"/>
              <w:bottom w:w="15" w:type="dxa"/>
            </w:tcMar>
            <w:tcW w:w="1993" w:type="dxa"/>
            <w:vAlign w:val="center"/>
          </w:tcPr>
          <w:p w14:paraId="7AFCB37A">
            <w:pPr>
              <w:pBdr/>
              <w:spacing w:after="0" w:before="0" w:line="240"/>
              <w:ind/>
              <w:rPr/>
            </w:pPr>
            <w:r>
              <w:rPr>
                <w:rFonts w:ascii="Times New Roman" w:hAnsi="Times New Roman" w:eastAsia="Times New Roman" w:cs="Times New Roman"/>
                <w:color w:val="000000"/>
                <w:sz w:val="24"/>
              </w:rPr>
              <w:t xml:space="preserve">MVP</w:t>
            </w:r>
            <w:r/>
          </w:p>
        </w:tc>
        <w:tc>
          <w:tcPr>
            <w:tcBorders/>
            <w:tcMar>
              <w:left w:w="15" w:type="dxa"/>
              <w:top w:w="15" w:type="dxa"/>
              <w:right w:w="15" w:type="dxa"/>
              <w:bottom w:w="15" w:type="dxa"/>
            </w:tcMar>
            <w:tcW w:w="5679" w:type="dxa"/>
            <w:vAlign w:val="center"/>
          </w:tcPr>
          <w:p w14:paraId="2E1455EF">
            <w:pPr>
              <w:pBdr/>
              <w:spacing w:after="0" w:before="0" w:line="240"/>
              <w:ind/>
              <w:rPr/>
            </w:pPr>
            <w:r>
              <w:rPr>
                <w:rFonts w:ascii="Times New Roman" w:hAnsi="Times New Roman" w:eastAsia="Times New Roman" w:cs="Times New Roman"/>
                <w:color w:val="000000"/>
                <w:sz w:val="24"/>
              </w:rPr>
              <w:t xml:space="preserve">BTC signal, delivered on schedule, to one paying customer</w:t>
            </w:r>
            <w:r/>
          </w:p>
        </w:tc>
      </w:tr>
      <w:tr>
        <w:trPr/>
        <w:tc>
          <w:tcPr>
            <w:tcBorders/>
            <w:tcMar>
              <w:left w:w="15" w:type="dxa"/>
              <w:top w:w="15" w:type="dxa"/>
              <w:right w:w="15" w:type="dxa"/>
              <w:bottom w:w="15" w:type="dxa"/>
            </w:tcMar>
            <w:tcW w:w="1993" w:type="dxa"/>
            <w:vAlign w:val="center"/>
          </w:tcPr>
          <w:p w14:paraId="19E2EF4E">
            <w:pPr>
              <w:pBdr/>
              <w:spacing w:after="0" w:before="0" w:line="240"/>
              <w:ind/>
              <w:rPr/>
            </w:pPr>
            <w:r>
              <w:rPr>
                <w:rFonts w:ascii="Times New Roman" w:hAnsi="Times New Roman" w:eastAsia="Times New Roman" w:cs="Times New Roman"/>
                <w:color w:val="000000"/>
                <w:sz w:val="24"/>
              </w:rPr>
              <w:t xml:space="preserve">Delivery mechanism</w:t>
            </w:r>
            <w:r/>
          </w:p>
        </w:tc>
        <w:tc>
          <w:tcPr>
            <w:tcBorders/>
            <w:tcMar>
              <w:left w:w="15" w:type="dxa"/>
              <w:top w:w="15" w:type="dxa"/>
              <w:right w:w="15" w:type="dxa"/>
              <w:bottom w:w="15" w:type="dxa"/>
            </w:tcMar>
            <w:tcW w:w="5679" w:type="dxa"/>
            <w:vAlign w:val="center"/>
          </w:tcPr>
          <w:p w14:paraId="1853E74A">
            <w:pPr>
              <w:pBdr/>
              <w:spacing w:after="0" w:before="0" w:line="240"/>
              <w:ind/>
              <w:rPr/>
            </w:pPr>
            <w:r>
              <w:rPr>
                <w:rFonts w:ascii="Times New Roman" w:hAnsi="Times New Roman" w:eastAsia="Times New Roman" w:cs="Times New Roman"/>
                <w:color w:val="000000"/>
                <w:sz w:val="24"/>
              </w:rPr>
              <w:t xml:space="preserve">Webhook + Telegram, not dashboard</w:t>
            </w:r>
            <w:r/>
          </w:p>
        </w:tc>
      </w:tr>
      <w:tr>
        <w:trPr/>
        <w:tc>
          <w:tcPr>
            <w:tcBorders/>
            <w:tcMar>
              <w:left w:w="15" w:type="dxa"/>
              <w:top w:w="15" w:type="dxa"/>
              <w:right w:w="15" w:type="dxa"/>
              <w:bottom w:w="15" w:type="dxa"/>
            </w:tcMar>
            <w:tcW w:w="1993" w:type="dxa"/>
            <w:vAlign w:val="center"/>
          </w:tcPr>
          <w:p w14:paraId="1767D74D">
            <w:pPr>
              <w:pBdr/>
              <w:spacing w:after="0" w:before="0" w:line="240"/>
              <w:ind/>
              <w:rPr/>
            </w:pPr>
            <w:r>
              <w:rPr>
                <w:rFonts w:ascii="Times New Roman" w:hAnsi="Times New Roman" w:eastAsia="Times New Roman" w:cs="Times New Roman"/>
                <w:color w:val="000000"/>
                <w:sz w:val="24"/>
              </w:rPr>
              <w:t xml:space="preserve">v1 instruments</w:t>
            </w:r>
            <w:r/>
          </w:p>
        </w:tc>
        <w:tc>
          <w:tcPr>
            <w:tcBorders/>
            <w:tcMar>
              <w:left w:w="15" w:type="dxa"/>
              <w:top w:w="15" w:type="dxa"/>
              <w:right w:w="15" w:type="dxa"/>
              <w:bottom w:w="15" w:type="dxa"/>
            </w:tcMar>
            <w:tcW w:w="5679" w:type="dxa"/>
            <w:vAlign w:val="center"/>
          </w:tcPr>
          <w:p w14:paraId="4AC7C81E">
            <w:pPr>
              <w:pBdr/>
              <w:spacing w:after="0" w:before="0" w:line="240"/>
              <w:ind/>
              <w:rPr/>
            </w:pPr>
            <w:r>
              <w:rPr>
                <w:rFonts w:ascii="Times New Roman" w:hAnsi="Times New Roman" w:eastAsia="Times New Roman" w:cs="Times New Roman"/>
                <w:color w:val="000000"/>
                <w:sz w:val="24"/>
              </w:rPr>
              <w:t xml:space="preserve">BTC required, ETH/SOL on signal quality</w:t>
            </w:r>
            <w:r/>
          </w:p>
        </w:tc>
      </w:tr>
      <w:tr>
        <w:trPr/>
        <w:tc>
          <w:tcPr>
            <w:tcBorders/>
            <w:tcMar>
              <w:left w:w="15" w:type="dxa"/>
              <w:top w:w="15" w:type="dxa"/>
              <w:right w:w="15" w:type="dxa"/>
              <w:bottom w:w="15" w:type="dxa"/>
            </w:tcMar>
            <w:tcW w:w="1993" w:type="dxa"/>
            <w:vAlign w:val="center"/>
          </w:tcPr>
          <w:p w14:paraId="0DF315D2">
            <w:pPr>
              <w:pBdr/>
              <w:spacing w:after="0" w:before="0" w:line="240"/>
              <w:ind/>
              <w:rPr/>
            </w:pPr>
            <w:r>
              <w:rPr>
                <w:rFonts w:ascii="Times New Roman" w:hAnsi="Times New Roman" w:eastAsia="Times New Roman" w:cs="Times New Roman"/>
                <w:color w:val="000000"/>
                <w:sz w:val="24"/>
              </w:rPr>
              <w:t xml:space="preserve">Signal pillars</w:t>
            </w:r>
            <w:r/>
          </w:p>
        </w:tc>
        <w:tc>
          <w:tcPr>
            <w:tcBorders/>
            <w:tcMar>
              <w:left w:w="15" w:type="dxa"/>
              <w:top w:w="15" w:type="dxa"/>
              <w:right w:w="15" w:type="dxa"/>
              <w:bottom w:w="15" w:type="dxa"/>
            </w:tcMar>
            <w:tcW w:w="5679" w:type="dxa"/>
            <w:vAlign w:val="center"/>
          </w:tcPr>
          <w:p w14:paraId="29CD169F">
            <w:pPr>
              <w:pBdr/>
              <w:spacing w:after="0" w:before="0" w:line="240"/>
              <w:ind/>
              <w:rPr/>
            </w:pPr>
            <w:r>
              <w:rPr>
                <w:rFonts w:ascii="Times New Roman" w:hAnsi="Times New Roman" w:eastAsia="Times New Roman" w:cs="Times New Roman"/>
                <w:color w:val="000000"/>
                <w:sz w:val="24"/>
              </w:rPr>
              <w:t xml:space="preserve">Derivatives, Flows, DeFi, Macro — validated</w:t>
            </w:r>
            <w:r/>
          </w:p>
        </w:tc>
      </w:tr>
      <w:tr>
        <w:trPr/>
        <w:tc>
          <w:tcPr>
            <w:tcBorders/>
            <w:tcMar>
              <w:left w:w="15" w:type="dxa"/>
              <w:top w:w="15" w:type="dxa"/>
              <w:right w:w="15" w:type="dxa"/>
              <w:bottom w:w="15" w:type="dxa"/>
            </w:tcMar>
            <w:tcW w:w="1993" w:type="dxa"/>
            <w:vAlign w:val="center"/>
          </w:tcPr>
          <w:p w14:paraId="4CBB8F8B">
            <w:pPr>
              <w:pBdr/>
              <w:spacing w:after="0" w:before="0" w:line="240"/>
              <w:ind/>
              <w:rPr/>
            </w:pPr>
            <w:r>
              <w:rPr>
                <w:rFonts w:ascii="Times New Roman" w:hAnsi="Times New Roman" w:eastAsia="Times New Roman" w:cs="Times New Roman"/>
                <w:color w:val="000000"/>
                <w:sz w:val="24"/>
              </w:rPr>
              <w:t xml:space="preserve">Data product</w:t>
            </w:r>
            <w:r/>
          </w:p>
        </w:tc>
        <w:tc>
          <w:tcPr>
            <w:tcBorders/>
            <w:tcMar>
              <w:left w:w="15" w:type="dxa"/>
              <w:top w:w="15" w:type="dxa"/>
              <w:right w:w="15" w:type="dxa"/>
              <w:bottom w:w="15" w:type="dxa"/>
            </w:tcMar>
            <w:tcW w:w="5679" w:type="dxa"/>
            <w:vAlign w:val="center"/>
          </w:tcPr>
          <w:p w14:paraId="44920344">
            <w:pPr>
              <w:pBdr/>
              <w:spacing w:after="0" w:before="0" w:line="240"/>
              <w:ind/>
              <w:rPr/>
            </w:pPr>
            <w:r>
              <w:rPr>
                <w:rFonts w:ascii="Times New Roman" w:hAnsi="Times New Roman" w:eastAsia="Times New Roman" w:cs="Times New Roman"/>
                <w:color w:val="000000"/>
                <w:sz w:val="24"/>
              </w:rPr>
              <w:t xml:space="preserve">Opportunistic v1, formalized v2</w:t>
            </w:r>
            <w:r/>
          </w:p>
        </w:tc>
      </w:tr>
      <w:tr>
        <w:trPr/>
        <w:tc>
          <w:tcPr>
            <w:tcBorders/>
            <w:tcMar>
              <w:left w:w="15" w:type="dxa"/>
              <w:top w:w="15" w:type="dxa"/>
              <w:right w:w="15" w:type="dxa"/>
              <w:bottom w:w="15" w:type="dxa"/>
            </w:tcMar>
            <w:tcW w:w="1993" w:type="dxa"/>
            <w:vAlign w:val="center"/>
          </w:tcPr>
          <w:p w14:paraId="7D4113A0">
            <w:pPr>
              <w:pBdr/>
              <w:spacing w:after="0" w:before="0" w:line="240"/>
              <w:ind/>
              <w:rPr/>
            </w:pPr>
            <w:r>
              <w:rPr>
                <w:rFonts w:ascii="Times New Roman" w:hAnsi="Times New Roman" w:eastAsia="Times New Roman" w:cs="Times New Roman"/>
                <w:color w:val="000000"/>
                <w:sz w:val="24"/>
              </w:rPr>
              <w:t xml:space="preserve">Content products</w:t>
            </w:r>
            <w:r/>
          </w:p>
        </w:tc>
        <w:tc>
          <w:tcPr>
            <w:tcBorders/>
            <w:tcMar>
              <w:left w:w="15" w:type="dxa"/>
              <w:top w:w="15" w:type="dxa"/>
              <w:right w:w="15" w:type="dxa"/>
              <w:bottom w:w="15" w:type="dxa"/>
            </w:tcMar>
            <w:tcW w:w="5679" w:type="dxa"/>
            <w:vAlign w:val="center"/>
          </w:tcPr>
          <w:p w14:paraId="3D53FC63">
            <w:pPr>
              <w:pBdr/>
              <w:spacing w:after="0" w:before="0" w:line="240"/>
              <w:ind/>
              <w:rPr/>
            </w:pPr>
            <w:r>
              <w:rPr>
                <w:rFonts w:ascii="Times New Roman" w:hAnsi="Times New Roman" w:eastAsia="Times New Roman" w:cs="Times New Roman"/>
                <w:color w:val="000000"/>
                <w:sz w:val="24"/>
              </w:rPr>
              <w:t xml:space="preserve">Not in v1</w:t>
            </w:r>
            <w:r/>
          </w:p>
        </w:tc>
      </w:tr>
      <w:tr>
        <w:trPr/>
        <w:tc>
          <w:tcPr>
            <w:tcBorders/>
            <w:tcMar>
              <w:left w:w="15" w:type="dxa"/>
              <w:top w:w="15" w:type="dxa"/>
              <w:right w:w="15" w:type="dxa"/>
              <w:bottom w:w="15" w:type="dxa"/>
            </w:tcMar>
            <w:tcW w:w="1993" w:type="dxa"/>
            <w:vAlign w:val="center"/>
          </w:tcPr>
          <w:p w14:paraId="4747ABFF">
            <w:pPr>
              <w:pBdr/>
              <w:spacing w:after="0" w:before="0" w:line="240"/>
              <w:ind/>
              <w:rPr/>
            </w:pPr>
            <w:r>
              <w:rPr>
                <w:rFonts w:ascii="Times New Roman" w:hAnsi="Times New Roman" w:eastAsia="Times New Roman" w:cs="Times New Roman"/>
                <w:color w:val="000000"/>
                <w:sz w:val="24"/>
              </w:rPr>
              <w:t xml:space="preserve">Billing infra</w:t>
            </w:r>
            <w:r/>
          </w:p>
        </w:tc>
        <w:tc>
          <w:tcPr>
            <w:tcBorders/>
            <w:tcMar>
              <w:left w:w="15" w:type="dxa"/>
              <w:top w:w="15" w:type="dxa"/>
              <w:right w:w="15" w:type="dxa"/>
              <w:bottom w:w="15" w:type="dxa"/>
            </w:tcMar>
            <w:tcW w:w="5679" w:type="dxa"/>
            <w:vAlign w:val="center"/>
          </w:tcPr>
          <w:p w14:paraId="286837D4">
            <w:pPr>
              <w:pBdr/>
              <w:spacing w:after="0" w:before="0" w:line="240"/>
              <w:ind/>
              <w:rPr/>
            </w:pPr>
            <w:r>
              <w:rPr>
                <w:rFonts w:ascii="Times New Roman" w:hAnsi="Times New Roman" w:eastAsia="Times New Roman" w:cs="Times New Roman"/>
                <w:color w:val="000000"/>
                <w:sz w:val="24"/>
              </w:rPr>
              <w:t xml:space="preserve">Not in v1 — manual invoicing</w:t>
            </w:r>
            <w:r/>
          </w:p>
        </w:tc>
      </w:tr>
    </w:tbl>
    <w:p w14:paraId="51CE04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Ready for Thread 2 when you are.</w:t>
      </w:r>
      <w:r>
        <w:rPr>
          <w:rFonts w:ascii="Times New Roman" w:hAnsi="Times New Roman" w:eastAsia="Times New Roman" w:cs="Times New Roman"/>
          <w:color w:val="000000"/>
          <w:sz w:val="24"/>
        </w:rPr>
        <w:t xml:space="preserve"> Thread 2 will lock the signal architecture: what EDSx produces, what the ML track produces, how they combine, what validation proves they work, and the exact feature requirements handed to Thread 3.</w:t>
      </w:r>
      <w:r/>
    </w:p>
    <w:p w14:paraId="42C9E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these Thread 1 decisions hold, or do you want to revise any of them before proceeding?</w:t>
      </w:r>
      <w:r/>
    </w:p>
    <w:p w14:paraId="041866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scope seems too narrow with only three assets. Nobody will pay for that. What is an existing service that we can model after while providing content originality that separates? What revenue streams are there beside those who log in and use and interfac</w:t>
      </w:r>
      <w:r>
        <w:rPr>
          <w:rFonts w:ascii="Times New Roman" w:hAnsi="Times New Roman" w:eastAsia="Times New Roman" w:cs="Times New Roman"/>
          <w:color w:val="000000"/>
          <w:sz w:val="24"/>
        </w:rPr>
        <w:t xml:space="preserve">e?</w:t>
      </w:r>
      <w:r/>
    </w:p>
    <w:p w14:paraId="4DAE4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11:55 AM</w:t>
      </w:r>
      <w:r/>
    </w:p>
    <w:p w14:paraId="6B7E9845">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Synthesized alternative revenue models and service benchmarks</w:t>
      </w:r>
      <w:r/>
    </w:p>
    <w:p w14:paraId="45D0AE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Synthesized alternative revenue models and service benchmarks</w:t>
      </w:r>
      <w:r/>
    </w:p>
    <w:p w14:paraId="37E7F2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Good challenge. Let me address this directly.</w:t>
      </w:r>
      <w:r/>
    </w:p>
    <w:p w14:paraId="557B588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Competitive Landscape and What It Reveals</w:t>
      </w:r>
      <w:r/>
    </w:p>
    <w:p w14:paraId="6D1BD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three players worth modeling against each solve a different part of the market:</w:t>
      </w:r>
      <w:r/>
    </w:p>
    <w:p w14:paraId="5D0BB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Glassnode</w:t>
      </w:r>
      <w:r>
        <w:rPr>
          <w:rFonts w:ascii="Times New Roman" w:hAnsi="Times New Roman" w:eastAsia="Times New Roman" w:cs="Times New Roman"/>
          <w:color w:val="000000"/>
          <w:sz w:val="24"/>
        </w:rPr>
        <w:t xml:space="preserve"> is a data + analytics product. It offers 7,500+ on-chain metrics across 1,200 assets, contextualized with spot, futures, and options data for 300+ assets. </w:t>
      </w:r>
      <w:hyperlink r:id="rId9" w:tooltip="https://glassnode.com/products/data" w:history="1">
        <w:r>
          <w:rPr>
            <w:rStyle w:val="187"/>
            <w:rFonts w:ascii="Times New Roman" w:hAnsi="Times New Roman" w:eastAsia="Times New Roman" w:cs="Times New Roman"/>
            <w:color w:val="0000ee"/>
            <w:sz w:val="24"/>
            <w:u w:val="single"/>
          </w:rPr>
          <w:t xml:space="preserve">Glassnode</w:t>
        </w:r>
      </w:hyperlink>
      <w:r>
        <w:rPr>
          <w:rFonts w:ascii="Times New Roman" w:hAnsi="Times New Roman" w:eastAsia="Times New Roman" w:cs="Times New Roman"/>
          <w:color w:val="000000"/>
          <w:sz w:val="24"/>
        </w:rPr>
        <w:t xml:space="preserve"> Its moat is on-chain depth and breadth. The weakness is that it's primarily a chart-and-dashboard product — customers get data they still have to interpret. The pricing structure deliberately gates history depth behind higher tiers, which creates friction</w:t>
      </w:r>
      <w:r>
        <w:rPr>
          <w:rFonts w:ascii="Times New Roman" w:hAnsi="Times New Roman" w:eastAsia="Times New Roman" w:cs="Times New Roman"/>
          <w:color w:val="000000"/>
          <w:sz w:val="24"/>
        </w:rPr>
        <w:t xml:space="preserve">. At the lower tier, the most popular metrics only plot for the last 30 days, making them nearly useless for on-chain analysis which is more suited to longer time frames. </w:t>
      </w:r>
      <w:hyperlink r:id="rId10" w:tooltip="https://captainaltcoin.com/glassnode-review/" w:history="1">
        <w:r>
          <w:rPr>
            <w:rStyle w:val="187"/>
            <w:rFonts w:ascii="Times New Roman" w:hAnsi="Times New Roman" w:eastAsia="Times New Roman" w:cs="Times New Roman"/>
            <w:color w:val="0000ee"/>
            <w:sz w:val="24"/>
            <w:u w:val="single"/>
          </w:rPr>
          <w:t xml:space="preserve">CaptainAltcoin</w:t>
        </w:r>
      </w:hyperlink>
      <w:r/>
      <w:r/>
    </w:p>
    <w:p w14:paraId="17DB7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Kaiko</w:t>
      </w:r>
      <w:r>
        <w:rPr>
          <w:rFonts w:ascii="Times New Roman" w:hAnsi="Times New Roman" w:eastAsia="Times New Roman" w:cs="Times New Roman"/>
          <w:color w:val="000000"/>
          <w:sz w:val="24"/>
        </w:rPr>
        <w:t xml:space="preserve"> is institutional infrastructure. Pricing ranges from roughly $9,500 to $55,000 annually, averaging around $28,500. </w:t>
      </w:r>
      <w:hyperlink r:id="rId11" w:tooltip="https://www.vendr.com/buyer-guides/kaiko" w:history="1">
        <w:r>
          <w:rPr>
            <w:rStyle w:val="187"/>
            <w:rFonts w:ascii="Times New Roman" w:hAnsi="Times New Roman" w:eastAsia="Times New Roman" w:cs="Times New Roman"/>
            <w:color w:val="0000ee"/>
            <w:sz w:val="24"/>
            <w:u w:val="single"/>
          </w:rPr>
          <w:t xml:space="preserve">Vendr</w:t>
        </w:r>
      </w:hyperlink>
      <w:r>
        <w:rPr>
          <w:rFonts w:ascii="Times New Roman" w:hAnsi="Times New Roman" w:eastAsia="Times New Roman" w:cs="Times New Roman"/>
          <w:color w:val="000000"/>
          <w:sz w:val="24"/>
        </w:rPr>
        <w:t xml:space="preserve"> It serves financial services firms, not traders — compliance, fair value pricing, market surveillance. Kaiko also produces rules-based crypto benchmarks and indices used for financial product settlement and fund benchmarking. </w:t>
      </w:r>
      <w:hyperlink r:id="rId12" w:tooltip="https://www.lseg.com/en/data-analytics/financial-data/pricing-and-market-data/kaiko-crypto-data" w:history="1">
        <w:r>
          <w:rPr>
            <w:rStyle w:val="187"/>
            <w:rFonts w:ascii="Times New Roman" w:hAnsi="Times New Roman" w:eastAsia="Times New Roman" w:cs="Times New Roman"/>
            <w:color w:val="0000ee"/>
            <w:sz w:val="24"/>
            <w:u w:val="single"/>
          </w:rPr>
          <w:t xml:space="preserve">LSEG</w:t>
        </w:r>
      </w:hyperlink>
      <w:r>
        <w:rPr>
          <w:rFonts w:ascii="Times New Roman" w:hAnsi="Times New Roman" w:eastAsia="Times New Roman" w:cs="Times New Roman"/>
          <w:color w:val="000000"/>
          <w:sz w:val="24"/>
        </w:rPr>
        <w:t xml:space="preserve"> That's a very different product surface than a signal platform.</w:t>
      </w:r>
      <w:r/>
    </w:p>
    <w:p w14:paraId="5925D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Messari</w:t>
      </w:r>
      <w:r>
        <w:rPr>
          <w:rFonts w:ascii="Times New Roman" w:hAnsi="Times New Roman" w:eastAsia="Times New Roman" w:cs="Times New Roman"/>
          <w:color w:val="000000"/>
          <w:sz w:val="24"/>
        </w:rPr>
        <w:t xml:space="preserve"> is the closest model. It combined data, research, and intelligence into a multi-layered product with multiple revenue surfaces. The critical move it made was </w:t>
      </w:r>
      <w:r>
        <w:rPr>
          <w:rFonts w:ascii="Times New Roman" w:hAnsi="Times New Roman" w:eastAsia="Times New Roman" w:cs="Times New Roman"/>
          <w:b/>
          <w:color w:val="000000"/>
          <w:sz w:val="24"/>
        </w:rPr>
        <w:t xml:space="preserve">Protocol Services</w:t>
      </w:r>
      <w:r>
        <w:rPr>
          <w:rFonts w:ascii="Times New Roman" w:hAnsi="Times New Roman" w:eastAsia="Times New Roman" w:cs="Times New Roman"/>
          <w:color w:val="000000"/>
          <w:sz w:val="24"/>
        </w:rPr>
        <w:t xml:space="preserve"> — sponsored reporting where protocols pay for data-driven ecosystem reporting </w:t>
      </w:r>
      <w:hyperlink r:id="rId13" w:tooltip="https://www.prnewswire.com/news-releases/messari-research-analysts-publish-crypto-theses-2025-302332583.html" w:history="1">
        <w:r>
          <w:rPr>
            <w:rStyle w:val="187"/>
            <w:rFonts w:ascii="Times New Roman" w:hAnsi="Times New Roman" w:eastAsia="Times New Roman" w:cs="Times New Roman"/>
            <w:color w:val="0000ee"/>
            <w:sz w:val="24"/>
            <w:u w:val="single"/>
          </w:rPr>
          <w:t xml:space="preserve">PR Newswire</w:t>
        </w:r>
      </w:hyperlink>
      <w:r>
        <w:rPr>
          <w:rFonts w:ascii="Times New Roman" w:hAnsi="Times New Roman" w:eastAsia="Times New Roman" w:cs="Times New Roman"/>
          <w:color w:val="000000"/>
          <w:sz w:val="24"/>
        </w:rPr>
        <w:t xml:space="preserve"> — which created a B2B revenue stream completely independent of subscriber count.</w:t>
      </w:r>
      <w:r/>
    </w:p>
    <w:p w14:paraId="79618A6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On the 3-asset concern</w:t>
      </w:r>
      <w:r/>
    </w:p>
    <w:p w14:paraId="7D875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You're right that 3 assets isn't a product — it's a proof of concept. The correction isn't to expand assets on day one, it's to frame coverage correctly.</w:t>
      </w:r>
      <w:r/>
    </w:p>
    <w:p w14:paraId="35214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real constraint isn't how many tickers you track. It's how many </w:t>
      </w:r>
      <w:r>
        <w:rPr>
          <w:rFonts w:ascii="Times New Roman" w:hAnsi="Times New Roman" w:eastAsia="Times New Roman" w:cs="Times New Roman"/>
          <w:b/>
          <w:color w:val="000000"/>
          <w:sz w:val="24"/>
        </w:rPr>
        <w:t xml:space="preserve">domains</w:t>
      </w:r>
      <w:r>
        <w:rPr>
          <w:rFonts w:ascii="Times New Roman" w:hAnsi="Times New Roman" w:eastAsia="Times New Roman" w:cs="Times New Roman"/>
          <w:color w:val="000000"/>
          <w:sz w:val="24"/>
        </w:rPr>
        <w:t xml:space="preserve"> of data your pipeline covers. Your existing sources already give you:</w:t>
      </w:r>
      <w:r/>
    </w:p>
    <w:p w14:paraId="6C497A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Derivatives</w:t>
      </w:r>
      <w:r>
        <w:rPr>
          <w:rFonts w:ascii="Times New Roman" w:hAnsi="Times New Roman" w:eastAsia="Times New Roman" w:cs="Times New Roman"/>
          <w:color w:val="000000"/>
          <w:sz w:val="24"/>
        </w:rPr>
        <w:t xml:space="preserve"> (Coinalyze — 121 instruments)</w:t>
      </w:r>
      <w:r/>
    </w:p>
    <w:p w14:paraId="18B805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On-chain flows</w:t>
      </w:r>
      <w:r>
        <w:rPr>
          <w:rFonts w:ascii="Times New Roman" w:hAnsi="Times New Roman" w:eastAsia="Times New Roman" w:cs="Times New Roman"/>
          <w:color w:val="000000"/>
          <w:sz w:val="24"/>
        </w:rPr>
        <w:t xml:space="preserve"> (Explorer — 18 instruments)</w:t>
      </w:r>
      <w:r/>
    </w:p>
    <w:p w14:paraId="1C48B7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DeFi health</w:t>
      </w:r>
      <w:r>
        <w:rPr>
          <w:rFonts w:ascii="Times New Roman" w:hAnsi="Times New Roman" w:eastAsia="Times New Roman" w:cs="Times New Roman"/>
          <w:color w:val="000000"/>
          <w:sz w:val="24"/>
        </w:rPr>
        <w:t xml:space="preserve"> (DeFiLlama — protocols, DEX, lending, stablecoins)</w:t>
      </w:r>
      <w:r/>
    </w:p>
    <w:p w14:paraId="79B2CF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Macro</w:t>
      </w:r>
      <w:r>
        <w:rPr>
          <w:rFonts w:ascii="Times New Roman" w:hAnsi="Times New Roman" w:eastAsia="Times New Roman" w:cs="Times New Roman"/>
          <w:color w:val="000000"/>
          <w:sz w:val="24"/>
        </w:rPr>
        <w:t xml:space="preserve"> (FRED — 23 series)</w:t>
      </w:r>
      <w:r/>
    </w:p>
    <w:p w14:paraId="248AEC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ETF flows</w:t>
      </w:r>
      <w:r>
        <w:rPr>
          <w:rFonts w:ascii="Times New Roman" w:hAnsi="Times New Roman" w:eastAsia="Times New Roman" w:cs="Times New Roman"/>
          <w:color w:val="000000"/>
          <w:sz w:val="24"/>
        </w:rPr>
        <w:t xml:space="preserve"> (SoSoValue)</w:t>
      </w:r>
      <w:r/>
    </w:p>
    <w:p w14:paraId="013A3A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Price/volume</w:t>
      </w:r>
      <w:r>
        <w:rPr>
          <w:rFonts w:ascii="Times New Roman" w:hAnsi="Times New Roman" w:eastAsia="Times New Roman" w:cs="Times New Roman"/>
          <w:color w:val="000000"/>
          <w:sz w:val="24"/>
        </w:rPr>
        <w:t xml:space="preserve"> (Tiingo — extensive equity + crypto coverage)</w:t>
      </w:r>
      <w:r/>
    </w:p>
    <w:p w14:paraId="29E0A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meaningful cross-domain coverage. The pitch isn't "we cover BTC, ETH, SOL" — it's "we integrate derivatives positioning, capital flows, DeFi health, and macro context into a unified intelligence layer, across the assets those domains actually cover.</w:t>
      </w:r>
      <w:r>
        <w:rPr>
          <w:rFonts w:ascii="Times New Roman" w:hAnsi="Times New Roman" w:eastAsia="Times New Roman" w:cs="Times New Roman"/>
          <w:color w:val="000000"/>
          <w:sz w:val="24"/>
        </w:rPr>
        <w:t xml:space="preserve">" That's a different scope claim, and it's defensible from day one.</w:t>
      </w:r>
      <w:r/>
    </w:p>
    <w:p w14:paraId="4A46F8C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Revenue Streams Beyond the Interface</w:t>
      </w:r>
      <w:r/>
    </w:p>
    <w:p w14:paraId="1E1EE9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right question. Direct subscriptions are one revenue stream among several. The full map:</w:t>
      </w:r>
      <w:r/>
    </w:p>
    <w:p w14:paraId="1D9A9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Direct subscriptions (tiered)</w:t>
      </w:r>
      <w:r>
        <w:rPr>
          <w:rFonts w:ascii="Times New Roman" w:hAnsi="Times New Roman" w:eastAsia="Times New Roman" w:cs="Times New Roman"/>
          <w:color w:val="000000"/>
          <w:sz w:val="24"/>
        </w:rPr>
        <w:t xml:space="preserve"> — what Glassnode sells. Dashboard + API access gated by feature depth and history. Retail to prosumer. Lowest friction to start, lowest revenue ceiling per customer.</w:t>
      </w:r>
      <w:r/>
    </w:p>
    <w:p w14:paraId="1962E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API data licensing (B2B)</w:t>
      </w:r>
      <w:r>
        <w:rPr>
          <w:rFonts w:ascii="Times New Roman" w:hAnsi="Times New Roman" w:eastAsia="Times New Roman" w:cs="Times New Roman"/>
          <w:color w:val="000000"/>
          <w:sz w:val="24"/>
        </w:rPr>
        <w:t xml:space="preserve"> — what Kaiko sells. A counterparty pays for normalized, auditable, attributed data to power their own product. They don't use your interface — they build on top of your data layer. Customers: exchanges, funds, fintech builders, index providers. Higher ACV</w:t>
      </w:r>
      <w:r>
        <w:rPr>
          <w:rFonts w:ascii="Times New Roman" w:hAnsi="Times New Roman" w:eastAsia="Times New Roman" w:cs="Times New Roman"/>
          <w:color w:val="000000"/>
          <w:sz w:val="24"/>
        </w:rPr>
        <w:t xml:space="preserve">, fewer customers, relationship-driven sales. This makes Layer 3 the product.</w:t>
      </w:r>
      <w:r/>
    </w:p>
    <w:p w14:paraId="634CA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Index and benchmark licensing</w:t>
      </w:r>
      <w:r>
        <w:rPr>
          <w:rFonts w:ascii="Times New Roman" w:hAnsi="Times New Roman" w:eastAsia="Times New Roman" w:cs="Times New Roman"/>
          <w:color w:val="000000"/>
          <w:sz w:val="24"/>
        </w:rPr>
        <w:t xml:space="preserve"> — Kaiko's highest-margin product. You construct a rules-based index (e.g. "top 10 crypto assets by derivatives open interest + on-chain activity score") and license it to financial product issuers — ETF providers, structured product desks — for use as a s</w:t>
      </w:r>
      <w:r>
        <w:rPr>
          <w:rFonts w:ascii="Times New Roman" w:hAnsi="Times New Roman" w:eastAsia="Times New Roman" w:cs="Times New Roman"/>
          <w:color w:val="000000"/>
          <w:sz w:val="24"/>
        </w:rPr>
        <w:t xml:space="preserve">ettlement benchmark. Recurring, high-value, zero marginal cost at scale. Requires methodology documentation and some legal structure, but the data infrastructure is already the hard part.</w:t>
      </w:r>
      <w:r/>
    </w:p>
    <w:p w14:paraId="00A55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Protocol/ecosystem reporting (sponsored)</w:t>
      </w:r>
      <w:r>
        <w:rPr>
          <w:rFonts w:ascii="Times New Roman" w:hAnsi="Times New Roman" w:eastAsia="Times New Roman" w:cs="Times New Roman"/>
          <w:color w:val="000000"/>
          <w:sz w:val="24"/>
        </w:rPr>
        <w:t xml:space="preserve"> — Messari's innovation. A protocol (e.g. Solana Foundation, Uniswap Labs) pays you to produce ongoing, data-driven reports on their ecosystem. You use your own infrastructure to generate the analysis. They get credible third-party intelligence. You get re</w:t>
      </w:r>
      <w:r>
        <w:rPr>
          <w:rFonts w:ascii="Times New Roman" w:hAnsi="Times New Roman" w:eastAsia="Times New Roman" w:cs="Times New Roman"/>
          <w:color w:val="000000"/>
          <w:sz w:val="24"/>
        </w:rPr>
        <w:t xml:space="preserve">curring B2B revenue without selling to retail subscribers. This is underexploited by the competition and maps naturally to your DeFi data coverage.</w:t>
      </w:r>
      <w:r/>
    </w:p>
    <w:p w14:paraId="3027A4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Embedded analytics (white-label)</w:t>
      </w:r>
      <w:r>
        <w:rPr>
          <w:rFonts w:ascii="Times New Roman" w:hAnsi="Times New Roman" w:eastAsia="Times New Roman" w:cs="Times New Roman"/>
          <w:color w:val="000000"/>
          <w:sz w:val="24"/>
        </w:rPr>
        <w:t xml:space="preserve"> — a fund, exchange, or wealth manager embeds your signal engine or data feeds directly into their own interface or workflow, white-labeled. They pay for the integration and ongoing access. You never appear to their customers. Revenue is larger contracts, </w:t>
      </w:r>
      <w:r>
        <w:rPr>
          <w:rFonts w:ascii="Times New Roman" w:hAnsi="Times New Roman" w:eastAsia="Times New Roman" w:cs="Times New Roman"/>
          <w:color w:val="000000"/>
          <w:sz w:val="24"/>
        </w:rPr>
        <w:t xml:space="preserve">longer sales cycles, but very sticky.</w:t>
      </w:r>
      <w:r/>
    </w:p>
    <w:p w14:paraId="3F679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Research syndication</w:t>
      </w:r>
      <w:r>
        <w:rPr>
          <w:rFonts w:ascii="Times New Roman" w:hAnsi="Times New Roman" w:eastAsia="Times New Roman" w:cs="Times New Roman"/>
          <w:color w:val="000000"/>
          <w:sz w:val="24"/>
        </w:rPr>
        <w:t xml:space="preserve"> — institutional research sold per-report or as a subscription bundle, separate from platform access. Messari does this. The Block does this. Works if your methodology is differentiated enough that people pay for the analysis itself, not the tool.</w:t>
      </w:r>
      <w:r/>
    </w:p>
    <w:p w14:paraId="47269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Alerting + event-driven delivery</w:t>
      </w:r>
      <w:r>
        <w:rPr>
          <w:rFonts w:ascii="Times New Roman" w:hAnsi="Times New Roman" w:eastAsia="Times New Roman" w:cs="Times New Roman"/>
          <w:color w:val="000000"/>
          <w:sz w:val="24"/>
        </w:rPr>
        <w:t xml:space="preserve"> — signal products delivered via Telegram, webhook, or email — no dashboard. Lower friction than an API, captures operators who want answers pushed to them rather than pulling from an interface. Can layer on top of any of the above.</w:t>
      </w:r>
      <w:r/>
    </w:p>
    <w:p w14:paraId="07EF19F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Model Worth Stealing From</w:t>
      </w:r>
      <w:r/>
    </w:p>
    <w:p w14:paraId="7AA345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closest analog isn't Glassnode or Kaiko — it's </w:t>
      </w:r>
      <w:r>
        <w:rPr>
          <w:rFonts w:ascii="Times New Roman" w:hAnsi="Times New Roman" w:eastAsia="Times New Roman" w:cs="Times New Roman"/>
          <w:b/>
          <w:color w:val="000000"/>
          <w:sz w:val="24"/>
        </w:rPr>
        <w:t xml:space="preserve">The Block Research</w:t>
      </w:r>
      <w:r>
        <w:rPr>
          <w:rFonts w:ascii="Times New Roman" w:hAnsi="Times New Roman" w:eastAsia="Times New Roman" w:cs="Times New Roman"/>
          <w:color w:val="000000"/>
          <w:sz w:val="24"/>
        </w:rPr>
        <w:t xml:space="preserve"> or early </w:t>
      </w:r>
      <w:r>
        <w:rPr>
          <w:rFonts w:ascii="Times New Roman" w:hAnsi="Times New Roman" w:eastAsia="Times New Roman" w:cs="Times New Roman"/>
          <w:b/>
          <w:color w:val="000000"/>
          <w:sz w:val="24"/>
        </w:rPr>
        <w:t xml:space="preserve">Delphi Digital</w:t>
      </w:r>
      <w:r>
        <w:rPr>
          <w:rFonts w:ascii="Times New Roman" w:hAnsi="Times New Roman" w:eastAsia="Times New Roman" w:cs="Times New Roman"/>
          <w:color w:val="000000"/>
          <w:sz w:val="24"/>
        </w:rPr>
        <w:t xml:space="preserve">: rigorous data-backed intelligence products that used research and content as the distribution flywheel, sold both retail subscriptions and institutional data/research access, and over time layered in data licensing and consulting revenue.</w:t>
      </w:r>
      <w:r/>
    </w:p>
    <w:p w14:paraId="5A21CF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separates you from that model: your signal generation infrastructure (EDSx + ML tracks) produces something those shops don't publish — systematic, backtested, quantitative signals with documented methodology. That's the content originality. Most crypt</w:t>
      </w:r>
      <w:r>
        <w:rPr>
          <w:rFonts w:ascii="Times New Roman" w:hAnsi="Times New Roman" w:eastAsia="Times New Roman" w:cs="Times New Roman"/>
          <w:color w:val="000000"/>
          <w:sz w:val="24"/>
        </w:rPr>
        <w:t xml:space="preserve">o research is qualitative analysis dressed up with charts. A quantitative signal product with auditable methodology and PIT-correct historical data is genuinely differentiated.</w:t>
      </w:r>
      <w:r/>
    </w:p>
    <w:p w14:paraId="4A227AD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Revised Thread 1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92"/>
        <w:gridCol w:w="8063"/>
      </w:tblGrid>
      <w:tr>
        <w:trPr/>
        <w:tc>
          <w:tcPr>
            <w:tcBorders/>
            <w:tcMar>
              <w:left w:w="15" w:type="dxa"/>
              <w:top w:w="15" w:type="dxa"/>
              <w:right w:w="15" w:type="dxa"/>
              <w:bottom w:w="15" w:type="dxa"/>
            </w:tcMar>
            <w:tcW w:w="1292" w:type="dxa"/>
            <w:vAlign w:val="center"/>
          </w:tcPr>
          <w:p w14:paraId="788CD161">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8063" w:type="dxa"/>
            <w:vAlign w:val="center"/>
          </w:tcPr>
          <w:p w14:paraId="73F2BDB7">
            <w:pPr>
              <w:pBdr/>
              <w:spacing w:after="0" w:before="0" w:line="240"/>
              <w:ind/>
              <w:jc w:val="center"/>
              <w:rPr/>
            </w:pPr>
            <w:r>
              <w:rPr>
                <w:rFonts w:ascii="Times New Roman" w:hAnsi="Times New Roman" w:eastAsia="Times New Roman" w:cs="Times New Roman"/>
                <w:b/>
                <w:color w:val="000000"/>
                <w:sz w:val="24"/>
              </w:rPr>
              <w:t xml:space="preserve">Revised Outcome</w:t>
            </w:r>
            <w:r/>
          </w:p>
        </w:tc>
      </w:tr>
      <w:tr>
        <w:trPr/>
        <w:tc>
          <w:tcPr>
            <w:tcBorders/>
            <w:tcMar>
              <w:left w:w="15" w:type="dxa"/>
              <w:top w:w="15" w:type="dxa"/>
              <w:right w:w="15" w:type="dxa"/>
              <w:bottom w:w="15" w:type="dxa"/>
            </w:tcMar>
            <w:tcW w:w="1292" w:type="dxa"/>
            <w:vAlign w:val="center"/>
          </w:tcPr>
          <w:p w14:paraId="0C29A178">
            <w:pPr>
              <w:pBdr/>
              <w:spacing w:after="0" w:before="0" w:line="240"/>
              <w:ind/>
              <w:rPr/>
            </w:pPr>
            <w:r>
              <w:rPr>
                <w:rFonts w:ascii="Times New Roman" w:hAnsi="Times New Roman" w:eastAsia="Times New Roman" w:cs="Times New Roman"/>
                <w:color w:val="000000"/>
                <w:sz w:val="24"/>
              </w:rPr>
              <w:t xml:space="preserve">Revenue architecture</w:t>
            </w:r>
            <w:r/>
          </w:p>
        </w:tc>
        <w:tc>
          <w:tcPr>
            <w:tcBorders/>
            <w:tcMar>
              <w:left w:w="15" w:type="dxa"/>
              <w:top w:w="15" w:type="dxa"/>
              <w:right w:w="15" w:type="dxa"/>
              <w:bottom w:w="15" w:type="dxa"/>
            </w:tcMar>
            <w:tcW w:w="8063" w:type="dxa"/>
            <w:vAlign w:val="center"/>
          </w:tcPr>
          <w:p w14:paraId="3B116DD8">
            <w:pPr>
              <w:pBdr/>
              <w:spacing w:after="0" w:before="0" w:line="240"/>
              <w:ind/>
              <w:rPr/>
            </w:pPr>
            <w:r>
              <w:rPr>
                <w:rFonts w:ascii="Times New Roman" w:hAnsi="Times New Roman" w:eastAsia="Times New Roman" w:cs="Times New Roman"/>
                <w:color w:val="000000"/>
                <w:sz w:val="24"/>
              </w:rPr>
              <w:t xml:space="preserve">Multi-stream from the start — not one stream at a time</w:t>
            </w:r>
            <w:r/>
          </w:p>
        </w:tc>
      </w:tr>
      <w:tr>
        <w:trPr/>
        <w:tc>
          <w:tcPr>
            <w:tcBorders/>
            <w:tcMar>
              <w:left w:w="15" w:type="dxa"/>
              <w:top w:w="15" w:type="dxa"/>
              <w:right w:w="15" w:type="dxa"/>
              <w:bottom w:w="15" w:type="dxa"/>
            </w:tcMar>
            <w:tcW w:w="1292" w:type="dxa"/>
            <w:vAlign w:val="center"/>
          </w:tcPr>
          <w:p w14:paraId="6AB4F24D">
            <w:pPr>
              <w:pBdr/>
              <w:spacing w:after="0" w:before="0" w:line="240"/>
              <w:ind/>
              <w:rPr/>
            </w:pPr>
            <w:r>
              <w:rPr>
                <w:rFonts w:ascii="Times New Roman" w:hAnsi="Times New Roman" w:eastAsia="Times New Roman" w:cs="Times New Roman"/>
                <w:color w:val="000000"/>
                <w:sz w:val="24"/>
              </w:rPr>
              <w:t xml:space="preserve">Stream 1</w:t>
            </w:r>
            <w:r/>
          </w:p>
        </w:tc>
        <w:tc>
          <w:tcPr>
            <w:tcBorders/>
            <w:tcMar>
              <w:left w:w="15" w:type="dxa"/>
              <w:top w:w="15" w:type="dxa"/>
              <w:right w:w="15" w:type="dxa"/>
              <w:bottom w:w="15" w:type="dxa"/>
            </w:tcMar>
            <w:tcW w:w="8063" w:type="dxa"/>
            <w:vAlign w:val="center"/>
          </w:tcPr>
          <w:p w14:paraId="5EE9445E">
            <w:pPr>
              <w:pBdr/>
              <w:spacing w:after="0" w:before="0" w:line="240"/>
              <w:ind/>
              <w:rPr/>
            </w:pPr>
            <w:r>
              <w:rPr>
                <w:rFonts w:ascii="Times New Roman" w:hAnsi="Times New Roman" w:eastAsia="Times New Roman" w:cs="Times New Roman"/>
                <w:color w:val="000000"/>
                <w:sz w:val="24"/>
              </w:rPr>
              <w:t xml:space="preserve">Direct subscriptions (prosumer + institutional tiers)</w:t>
            </w:r>
            <w:r/>
          </w:p>
        </w:tc>
      </w:tr>
      <w:tr>
        <w:trPr/>
        <w:tc>
          <w:tcPr>
            <w:tcBorders/>
            <w:tcMar>
              <w:left w:w="15" w:type="dxa"/>
              <w:top w:w="15" w:type="dxa"/>
              <w:right w:w="15" w:type="dxa"/>
              <w:bottom w:w="15" w:type="dxa"/>
            </w:tcMar>
            <w:tcW w:w="1292" w:type="dxa"/>
            <w:vAlign w:val="center"/>
          </w:tcPr>
          <w:p w14:paraId="20B7D831">
            <w:pPr>
              <w:pBdr/>
              <w:spacing w:after="0" w:before="0" w:line="240"/>
              <w:ind/>
              <w:rPr/>
            </w:pPr>
            <w:r>
              <w:rPr>
                <w:rFonts w:ascii="Times New Roman" w:hAnsi="Times New Roman" w:eastAsia="Times New Roman" w:cs="Times New Roman"/>
                <w:color w:val="000000"/>
                <w:sz w:val="24"/>
              </w:rPr>
              <w:t xml:space="preserve">Stream 2</w:t>
            </w:r>
            <w:r/>
          </w:p>
        </w:tc>
        <w:tc>
          <w:tcPr>
            <w:tcBorders/>
            <w:tcMar>
              <w:left w:w="15" w:type="dxa"/>
              <w:top w:w="15" w:type="dxa"/>
              <w:right w:w="15" w:type="dxa"/>
              <w:bottom w:w="15" w:type="dxa"/>
            </w:tcMar>
            <w:tcW w:w="8063" w:type="dxa"/>
            <w:vAlign w:val="center"/>
          </w:tcPr>
          <w:p w14:paraId="613B5C92">
            <w:pPr>
              <w:pBdr/>
              <w:spacing w:after="0" w:before="0" w:line="240"/>
              <w:ind/>
              <w:rPr/>
            </w:pPr>
            <w:r>
              <w:rPr>
                <w:rFonts w:ascii="Times New Roman" w:hAnsi="Times New Roman" w:eastAsia="Times New Roman" w:cs="Times New Roman"/>
                <w:color w:val="000000"/>
                <w:sz w:val="24"/>
              </w:rPr>
              <w:t xml:space="preserve">API data licensing — Layer 3 as B2B product surface</w:t>
            </w:r>
            <w:r/>
          </w:p>
        </w:tc>
      </w:tr>
      <w:tr>
        <w:trPr/>
        <w:tc>
          <w:tcPr>
            <w:tcBorders/>
            <w:tcMar>
              <w:left w:w="15" w:type="dxa"/>
              <w:top w:w="15" w:type="dxa"/>
              <w:right w:w="15" w:type="dxa"/>
              <w:bottom w:w="15" w:type="dxa"/>
            </w:tcMar>
            <w:tcW w:w="1292" w:type="dxa"/>
            <w:vAlign w:val="center"/>
          </w:tcPr>
          <w:p w14:paraId="47B1F9B9">
            <w:pPr>
              <w:pBdr/>
              <w:spacing w:after="0" w:before="0" w:line="240"/>
              <w:ind/>
              <w:rPr/>
            </w:pPr>
            <w:r>
              <w:rPr>
                <w:rFonts w:ascii="Times New Roman" w:hAnsi="Times New Roman" w:eastAsia="Times New Roman" w:cs="Times New Roman"/>
                <w:color w:val="000000"/>
                <w:sz w:val="24"/>
              </w:rPr>
              <w:t xml:space="preserve">Stream 3</w:t>
            </w:r>
            <w:r/>
          </w:p>
        </w:tc>
        <w:tc>
          <w:tcPr>
            <w:tcBorders/>
            <w:tcMar>
              <w:left w:w="15" w:type="dxa"/>
              <w:top w:w="15" w:type="dxa"/>
              <w:right w:w="15" w:type="dxa"/>
              <w:bottom w:w="15" w:type="dxa"/>
            </w:tcMar>
            <w:tcW w:w="8063" w:type="dxa"/>
            <w:vAlign w:val="center"/>
          </w:tcPr>
          <w:p w14:paraId="7FD11D25">
            <w:pPr>
              <w:pBdr/>
              <w:spacing w:after="0" w:before="0" w:line="240"/>
              <w:ind/>
              <w:rPr/>
            </w:pPr>
            <w:r>
              <w:rPr>
                <w:rFonts w:ascii="Times New Roman" w:hAnsi="Times New Roman" w:eastAsia="Times New Roman" w:cs="Times New Roman"/>
                <w:color w:val="000000"/>
                <w:sz w:val="24"/>
              </w:rPr>
              <w:t xml:space="preserve">Protocol/ecosystem reporting — sponsored, B2B, no subscriber dependency</w:t>
            </w:r>
            <w:r/>
          </w:p>
        </w:tc>
      </w:tr>
      <w:tr>
        <w:trPr/>
        <w:tc>
          <w:tcPr>
            <w:tcBorders/>
            <w:tcMar>
              <w:left w:w="15" w:type="dxa"/>
              <w:top w:w="15" w:type="dxa"/>
              <w:right w:w="15" w:type="dxa"/>
              <w:bottom w:w="15" w:type="dxa"/>
            </w:tcMar>
            <w:tcW w:w="1292" w:type="dxa"/>
            <w:vAlign w:val="center"/>
          </w:tcPr>
          <w:p w14:paraId="01B1EE5D">
            <w:pPr>
              <w:pBdr/>
              <w:spacing w:after="0" w:before="0" w:line="240"/>
              <w:ind/>
              <w:rPr/>
            </w:pPr>
            <w:r>
              <w:rPr>
                <w:rFonts w:ascii="Times New Roman" w:hAnsi="Times New Roman" w:eastAsia="Times New Roman" w:cs="Times New Roman"/>
                <w:color w:val="000000"/>
                <w:sz w:val="24"/>
              </w:rPr>
              <w:t xml:space="preserve">Stream 4</w:t>
            </w:r>
            <w:r/>
          </w:p>
        </w:tc>
        <w:tc>
          <w:tcPr>
            <w:tcBorders/>
            <w:tcMar>
              <w:left w:w="15" w:type="dxa"/>
              <w:top w:w="15" w:type="dxa"/>
              <w:right w:w="15" w:type="dxa"/>
              <w:bottom w:w="15" w:type="dxa"/>
            </w:tcMar>
            <w:tcW w:w="8063" w:type="dxa"/>
            <w:vAlign w:val="center"/>
          </w:tcPr>
          <w:p w14:paraId="2255C540">
            <w:pPr>
              <w:pBdr/>
              <w:spacing w:after="0" w:before="0" w:line="240"/>
              <w:ind/>
              <w:rPr/>
            </w:pPr>
            <w:r>
              <w:rPr>
                <w:rFonts w:ascii="Times New Roman" w:hAnsi="Times New Roman" w:eastAsia="Times New Roman" w:cs="Times New Roman"/>
                <w:color w:val="000000"/>
                <w:sz w:val="24"/>
              </w:rPr>
              <w:t xml:space="preserve">Index/benchmark licensing — deferred until methodology is documented, not far off</w:t>
            </w:r>
            <w:r/>
          </w:p>
        </w:tc>
      </w:tr>
      <w:tr>
        <w:trPr/>
        <w:tc>
          <w:tcPr>
            <w:tcBorders/>
            <w:tcMar>
              <w:left w:w="15" w:type="dxa"/>
              <w:top w:w="15" w:type="dxa"/>
              <w:right w:w="15" w:type="dxa"/>
              <w:bottom w:w="15" w:type="dxa"/>
            </w:tcMar>
            <w:tcW w:w="1292" w:type="dxa"/>
            <w:vAlign w:val="center"/>
          </w:tcPr>
          <w:p w14:paraId="072E6349">
            <w:pPr>
              <w:pBdr/>
              <w:spacing w:after="0" w:before="0" w:line="240"/>
              <w:ind/>
              <w:rPr/>
            </w:pPr>
            <w:r>
              <w:rPr>
                <w:rFonts w:ascii="Times New Roman" w:hAnsi="Times New Roman" w:eastAsia="Times New Roman" w:cs="Times New Roman"/>
                <w:color w:val="000000"/>
                <w:sz w:val="24"/>
              </w:rPr>
              <w:t xml:space="preserve">Content originality</w:t>
            </w:r>
            <w:r/>
          </w:p>
        </w:tc>
        <w:tc>
          <w:tcPr>
            <w:tcBorders/>
            <w:tcMar>
              <w:left w:w="15" w:type="dxa"/>
              <w:top w:w="15" w:type="dxa"/>
              <w:right w:w="15" w:type="dxa"/>
              <w:bottom w:w="15" w:type="dxa"/>
            </w:tcMar>
            <w:tcW w:w="8063" w:type="dxa"/>
            <w:vAlign w:val="center"/>
          </w:tcPr>
          <w:p w14:paraId="1411E88A">
            <w:pPr>
              <w:pBdr/>
              <w:spacing w:after="0" w:before="0" w:line="240"/>
              <w:ind/>
              <w:rPr/>
            </w:pPr>
            <w:r>
              <w:rPr>
                <w:rFonts w:ascii="Times New Roman" w:hAnsi="Times New Roman" w:eastAsia="Times New Roman" w:cs="Times New Roman"/>
                <w:color w:val="000000"/>
                <w:sz w:val="24"/>
              </w:rPr>
              <w:t xml:space="preserve">Quantitative, systematic signals with documented methodology — not qualitative analysis</w:t>
            </w:r>
            <w:r/>
          </w:p>
        </w:tc>
      </w:tr>
      <w:tr>
        <w:trPr/>
        <w:tc>
          <w:tcPr>
            <w:tcBorders/>
            <w:tcMar>
              <w:left w:w="15" w:type="dxa"/>
              <w:top w:w="15" w:type="dxa"/>
              <w:right w:w="15" w:type="dxa"/>
              <w:bottom w:w="15" w:type="dxa"/>
            </w:tcMar>
            <w:tcW w:w="1292" w:type="dxa"/>
            <w:vAlign w:val="center"/>
          </w:tcPr>
          <w:p w14:paraId="12F7A5B1">
            <w:pPr>
              <w:pBdr/>
              <w:spacing w:after="0" w:before="0" w:line="240"/>
              <w:ind/>
              <w:rPr/>
            </w:pPr>
            <w:r>
              <w:rPr>
                <w:rFonts w:ascii="Times New Roman" w:hAnsi="Times New Roman" w:eastAsia="Times New Roman" w:cs="Times New Roman"/>
                <w:color w:val="000000"/>
                <w:sz w:val="24"/>
              </w:rPr>
              <w:t xml:space="preserve">Asset coverage</w:t>
            </w:r>
            <w:r/>
          </w:p>
        </w:tc>
        <w:tc>
          <w:tcPr>
            <w:tcBorders/>
            <w:tcMar>
              <w:left w:w="15" w:type="dxa"/>
              <w:top w:w="15" w:type="dxa"/>
              <w:right w:w="15" w:type="dxa"/>
              <w:bottom w:w="15" w:type="dxa"/>
            </w:tcMar>
            <w:tcW w:w="8063" w:type="dxa"/>
            <w:vAlign w:val="center"/>
          </w:tcPr>
          <w:p w14:paraId="17619539">
            <w:pPr>
              <w:pBdr/>
              <w:spacing w:after="0" w:before="0" w:line="240"/>
              <w:ind/>
              <w:rPr/>
            </w:pPr>
            <w:r>
              <w:rPr>
                <w:rFonts w:ascii="Times New Roman" w:hAnsi="Times New Roman" w:eastAsia="Times New Roman" w:cs="Times New Roman"/>
                <w:color w:val="000000"/>
                <w:sz w:val="24"/>
              </w:rPr>
              <w:t xml:space="preserve">Framed by domain coverage, not ticker count — derivatives, flows, DeFi, macro, across all assets those domains cover</w:t>
            </w:r>
            <w:r/>
          </w:p>
        </w:tc>
      </w:tr>
      <w:tr>
        <w:trPr/>
        <w:tc>
          <w:tcPr>
            <w:tcBorders/>
            <w:tcMar>
              <w:left w:w="15" w:type="dxa"/>
              <w:top w:w="15" w:type="dxa"/>
              <w:right w:w="15" w:type="dxa"/>
              <w:bottom w:w="15" w:type="dxa"/>
            </w:tcMar>
            <w:tcW w:w="1292" w:type="dxa"/>
            <w:vAlign w:val="center"/>
          </w:tcPr>
          <w:p w14:paraId="52D9B321">
            <w:pPr>
              <w:pBdr/>
              <w:spacing w:after="0" w:before="0" w:line="240"/>
              <w:ind/>
              <w:rPr/>
            </w:pPr>
            <w:r>
              <w:rPr>
                <w:rFonts w:ascii="Times New Roman" w:hAnsi="Times New Roman" w:eastAsia="Times New Roman" w:cs="Times New Roman"/>
                <w:color w:val="000000"/>
                <w:sz w:val="24"/>
              </w:rPr>
              <w:t xml:space="preserve">MVP</w:t>
            </w:r>
            <w:r/>
          </w:p>
        </w:tc>
        <w:tc>
          <w:tcPr>
            <w:tcBorders/>
            <w:tcMar>
              <w:left w:w="15" w:type="dxa"/>
              <w:top w:w="15" w:type="dxa"/>
              <w:right w:w="15" w:type="dxa"/>
              <w:bottom w:w="15" w:type="dxa"/>
            </w:tcMar>
            <w:tcW w:w="8063" w:type="dxa"/>
            <w:vAlign w:val="center"/>
          </w:tcPr>
          <w:p w14:paraId="3E747A1B">
            <w:pPr>
              <w:pBdr/>
              <w:spacing w:after="0" w:before="0" w:line="240"/>
              <w:ind/>
              <w:rPr/>
            </w:pPr>
            <w:r>
              <w:rPr>
                <w:rFonts w:ascii="Times New Roman" w:hAnsi="Times New Roman" w:eastAsia="Times New Roman" w:cs="Times New Roman"/>
                <w:color w:val="000000"/>
                <w:sz w:val="24"/>
              </w:rPr>
              <w:t xml:space="preserve">Institutional early access: a small number of paying counterparties getting API access + signal feeds before the public product exists</w:t>
            </w:r>
            <w:r/>
          </w:p>
        </w:tc>
      </w:tr>
      <w:tr>
        <w:trPr/>
        <w:tc>
          <w:tcPr>
            <w:tcBorders/>
            <w:tcMar>
              <w:left w:w="15" w:type="dxa"/>
              <w:top w:w="15" w:type="dxa"/>
              <w:right w:w="15" w:type="dxa"/>
              <w:bottom w:w="15" w:type="dxa"/>
            </w:tcMar>
            <w:tcW w:w="1292" w:type="dxa"/>
            <w:vAlign w:val="center"/>
          </w:tcPr>
          <w:p w14:paraId="4A1DE52E">
            <w:pPr>
              <w:pBdr/>
              <w:spacing w:after="0" w:before="0" w:line="240"/>
              <w:ind/>
              <w:rPr/>
            </w:pPr>
            <w:r>
              <w:rPr>
                <w:rFonts w:ascii="Times New Roman" w:hAnsi="Times New Roman" w:eastAsia="Times New Roman" w:cs="Times New Roman"/>
                <w:color w:val="000000"/>
                <w:sz w:val="24"/>
              </w:rPr>
              <w:t xml:space="preserve">Instrument scope</w:t>
            </w:r>
            <w:r/>
          </w:p>
        </w:tc>
        <w:tc>
          <w:tcPr>
            <w:tcBorders/>
            <w:tcMar>
              <w:left w:w="15" w:type="dxa"/>
              <w:top w:w="15" w:type="dxa"/>
              <w:right w:w="15" w:type="dxa"/>
              <w:bottom w:w="15" w:type="dxa"/>
            </w:tcMar>
            <w:tcW w:w="8063" w:type="dxa"/>
            <w:vAlign w:val="center"/>
          </w:tcPr>
          <w:p w14:paraId="2D5DCF02">
            <w:pPr>
              <w:pBdr/>
              <w:spacing w:after="0" w:before="0" w:line="240"/>
              <w:ind/>
              <w:rPr/>
            </w:pPr>
            <w:r>
              <w:rPr>
                <w:rFonts w:ascii="Times New Roman" w:hAnsi="Times New Roman" w:eastAsia="Times New Roman" w:cs="Times New Roman"/>
                <w:color w:val="000000"/>
                <w:sz w:val="24"/>
              </w:rPr>
              <w:t xml:space="preserve">As broad as the data supports — not artificially limited to 3</w:t>
            </w:r>
            <w:r/>
          </w:p>
        </w:tc>
      </w:tr>
    </w:tbl>
    <w:p w14:paraId="3F934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 infrastructure you're building serves all of these simultaneously. The design doesn't change — but the revenue ceiling is substantially higher than a 3-asset signal product suggests.</w:t>
      </w:r>
      <w:r/>
    </w:p>
    <w:p w14:paraId="70F39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Ready to proceed to Thread 2 with this framing, or do any of these stream definitions need further development?</w:t>
      </w:r>
      <w:r/>
    </w:p>
    <w:p w14:paraId="5D45E2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Ready to proceed to Thread 2</w:t>
      </w:r>
      <w:r/>
    </w:p>
    <w:p w14:paraId="620891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11:57 AM</w:t>
      </w:r>
      <w:r/>
    </w:p>
    <w:p w14:paraId="1F1E1840">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Synthesized prior decisions to architect signal infrastructure systematically</w:t>
      </w:r>
      <w:r/>
    </w:p>
    <w:p w14:paraId="470F68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Synthesized prior decisions to architect signal infrastructure systematically</w:t>
      </w:r>
      <w:r/>
    </w:p>
    <w:p w14:paraId="43C7993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Thread 2: Signal Architecture (Layer 5)</w:t>
      </w:r>
      <w:r/>
    </w:p>
    <w:p w14:paraId="6470D7C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Starting Point: What Layer 6 Requires</w:t>
      </w:r>
      <w:r/>
    </w:p>
    <w:p w14:paraId="2A63A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output contract is already defined. Every signal generation decision must trace back to producing exactly this, reliably:</w:t>
      </w:r>
      <w:r/>
    </w:p>
    <w:p w14:paraId="5609C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json</w:t>
      </w:r>
      <w:r/>
    </w:p>
    <w:p w14:paraId="5F5B0A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03F5D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"instrument"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"BTC"</w:t>
      </w:r>
      <w:r>
        <w:rPr>
          <w:rFonts w:ascii="Times New Roman" w:hAnsi="Times New Roman" w:eastAsia="Times New Roman" w:cs="Times New Roman"/>
          <w:color w:val="d3d7de"/>
          <w:sz w:val="24"/>
        </w:rPr>
        <w:t xml:space="preserve">,</w:t>
      </w:r>
      <w:r/>
    </w:p>
    <w:p w14:paraId="221E4F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"timestamp"</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"2026-03-04T12:00:00Z"</w:t>
      </w:r>
      <w:r>
        <w:rPr>
          <w:rFonts w:ascii="Times New Roman" w:hAnsi="Times New Roman" w:eastAsia="Times New Roman" w:cs="Times New Roman"/>
          <w:color w:val="d3d7de"/>
          <w:sz w:val="24"/>
        </w:rPr>
        <w:t xml:space="preserve">,</w:t>
      </w:r>
      <w:r/>
    </w:p>
    <w:p w14:paraId="7FF36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"signal"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4B8693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d3d7de"/>
          <w:sz w:val="24"/>
        </w:rPr>
        <w:t xml:space="preserve">,</w:t>
      </w:r>
      <w:r/>
    </w:p>
    <w:p w14:paraId="4213A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0.73</w:t>
      </w:r>
      <w:r>
        <w:rPr>
          <w:rFonts w:ascii="Times New Roman" w:hAnsi="Times New Roman" w:eastAsia="Times New Roman" w:cs="Times New Roman"/>
          <w:color w:val="d3d7de"/>
          <w:sz w:val="24"/>
        </w:rPr>
        <w:t xml:space="preserve">,</w:t>
      </w:r>
      <w:r/>
    </w:p>
    <w:p w14:paraId="62E3D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"magnitude"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0.45</w:t>
      </w:r>
      <w:r>
        <w:rPr>
          <w:rFonts w:ascii="Times New Roman" w:hAnsi="Times New Roman" w:eastAsia="Times New Roman" w:cs="Times New Roman"/>
          <w:color w:val="d3d7de"/>
          <w:sz w:val="24"/>
        </w:rPr>
        <w:t xml:space="preserve">,</w:t>
      </w:r>
      <w:r/>
    </w:p>
    <w:p w14:paraId="7931E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"horizon"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"14d"</w:t>
      </w:r>
      <w:r>
        <w:rPr>
          <w:rFonts w:ascii="Times New Roman" w:hAnsi="Times New Roman" w:eastAsia="Times New Roman" w:cs="Times New Roman"/>
          <w:color w:val="d3d7de"/>
          <w:sz w:val="24"/>
        </w:rPr>
        <w:t xml:space="preserve">,</w:t>
      </w:r>
      <w:r/>
    </w:p>
    <w:p w14:paraId="0C7A4C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"regime"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"risk_on"</w:t>
      </w:r>
      <w:r/>
    </w:p>
    <w:p w14:paraId="40532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668377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"components"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1E00BE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"derivatives_pressure"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"weight"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0.40</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0.81</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6ADF7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"capital_flows"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"neutral"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"weight"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0.35</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0.65</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10F2E1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"defi_health"</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"neutral"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"weight"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0.15</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1FDE9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"macro_context"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"weight"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0.10</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0.70</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4E7DE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60D12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60167E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1BDA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BC61B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Every architecture decision in Thread </w:t>
      </w:r>
      <w:r>
        <w:rPr>
          <w:rFonts w:ascii="Times New Roman" w:hAnsi="Times New Roman" w:eastAsia="Times New Roman" w:cs="Times New Roman"/>
          <w:color w:val="5eeded"/>
          <w:sz w:val="24"/>
        </w:rPr>
        <w:t xml:space="preserve">2</w:t>
      </w:r>
      <w:r>
        <w:rPr>
          <w:rFonts w:ascii="Times New Roman" w:hAnsi="Times New Roman" w:eastAsia="Times New Roman" w:cs="Times New Roman"/>
          <w:color w:val="eaecf0"/>
          <w:sz w:val="24"/>
        </w:rPr>
        <w:t xml:space="preserve"> is answerable against one question: does this produce that output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correctly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on schedule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with defensible methodology?</w:t>
      </w:r>
      <w:r/>
    </w:p>
    <w:p w14:paraId="69A40E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D4AE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71BCAE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722F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Validating the Existing Architecture Decisions</w:t>
      </w:r>
      <w:r/>
    </w:p>
    <w:p w14:paraId="3EC36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2BE0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Before designing forward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the contested decisions from the audit table must be resolved.</w:t>
      </w:r>
      <w:r/>
    </w:p>
    <w:p w14:paraId="664A8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C9F74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**M1 — EDSx and ML fully independent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shared Layer </w:t>
      </w:r>
      <w:r>
        <w:rPr>
          <w:rFonts w:ascii="Times New Roman" w:hAnsi="Times New Roman" w:eastAsia="Times New Roman" w:cs="Times New Roman"/>
          <w:color w:val="5eeded"/>
          <w:sz w:val="24"/>
        </w:rPr>
        <w:t xml:space="preserve">0</w:t>
      </w:r>
      <w:r>
        <w:rPr>
          <w:rFonts w:ascii="Times New Roman" w:hAnsi="Times New Roman" w:eastAsia="Times New Roman" w:cs="Times New Roman"/>
          <w:color w:val="eaecf0"/>
          <w:sz w:val="24"/>
        </w:rPr>
        <w:t xml:space="preserve"> only.**</w:t>
      </w:r>
      <w:r/>
    </w:p>
    <w:p w14:paraId="14895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This decision was made in a bottom-up context where the two tracks were built separately. In a unified Data Universe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"shared Layer 0 only"</w:t>
      </w:r>
      <w:r>
        <w:rPr>
          <w:rFonts w:ascii="Times New Roman" w:hAnsi="Times New Roman" w:eastAsia="Times New Roman" w:cs="Times New Roman"/>
          <w:color w:val="eaecf0"/>
          <w:sz w:val="24"/>
        </w:rPr>
        <w:t xml:space="preserve"> is too narrow — both tracks should share the entire Data Universe (Layers </w:t>
      </w:r>
      <w:r>
        <w:rPr>
          <w:rFonts w:ascii="Times New Roman" w:hAnsi="Times New Roman" w:eastAsia="Times New Roman" w:cs="Times New Roman"/>
          <w:color w:val="5eeded"/>
          <w:sz w:val="24"/>
        </w:rPr>
        <w:t xml:space="preserve">1</w:t>
      </w:r>
      <w:r>
        <w:rPr>
          <w:rFonts w:ascii="Times New Roman" w:hAnsi="Times New Roman" w:eastAsia="Times New Roman" w:cs="Times New Roman"/>
          <w:color w:val="eaecf0"/>
          <w:sz w:val="24"/>
        </w:rPr>
        <w:t xml:space="preserve">–</w:t>
      </w:r>
      <w:r>
        <w:rPr>
          <w:rFonts w:ascii="Times New Roman" w:hAnsi="Times New Roman" w:eastAsia="Times New Roman" w:cs="Times New Roman"/>
          <w:color w:val="5eeded"/>
          <w:sz w:val="24"/>
        </w:rPr>
        <w:t xml:space="preserve">3</w:t>
      </w:r>
      <w:r>
        <w:rPr>
          <w:rFonts w:ascii="Times New Roman" w:hAnsi="Times New Roman" w:eastAsia="Times New Roman" w:cs="Times New Roman"/>
          <w:color w:val="eaecf0"/>
          <w:sz w:val="24"/>
        </w:rPr>
        <w:t xml:space="preserve">) and the feature layer (Layer </w:t>
      </w:r>
      <w:r>
        <w:rPr>
          <w:rFonts w:ascii="Times New Roman" w:hAnsi="Times New Roman" w:eastAsia="Times New Roman" w:cs="Times New Roman"/>
          <w:color w:val="5eeded"/>
          <w:sz w:val="24"/>
        </w:rPr>
        <w:t xml:space="preserve">4</w:t>
      </w:r>
      <w:r>
        <w:rPr>
          <w:rFonts w:ascii="Times New Roman" w:hAnsi="Times New Roman" w:eastAsia="Times New Roman" w:cs="Times New Roman"/>
          <w:color w:val="eaecf0"/>
          <w:sz w:val="24"/>
        </w:rPr>
        <w:t xml:space="preserve">). The independence that matters is *computational* independence: neither track's output influences the other's inputs. They run separately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produce separate output schemas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are combined at a defined synthesis step. **Revised: independent computation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shared data and feature infrastructure.**</w:t>
      </w:r>
      <w:r/>
    </w:p>
    <w:p w14:paraId="5D9D9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BA687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**M3 — </w:t>
      </w:r>
      <w:r>
        <w:rPr>
          <w:rFonts w:ascii="Times New Roman" w:hAnsi="Times New Roman" w:eastAsia="Times New Roman" w:cs="Times New Roman"/>
          <w:color w:val="5eeded"/>
          <w:sz w:val="24"/>
        </w:rPr>
        <w:t xml:space="preserve">5</w:t>
      </w:r>
      <w:r>
        <w:rPr>
          <w:rFonts w:ascii="Times New Roman" w:hAnsi="Times New Roman" w:eastAsia="Times New Roman" w:cs="Times New Roman"/>
          <w:color w:val="eaecf0"/>
          <w:sz w:val="24"/>
        </w:rPr>
        <w:t xml:space="preserve"> Layer </w:t>
      </w:r>
      <w:r>
        <w:rPr>
          <w:rFonts w:ascii="Times New Roman" w:hAnsi="Times New Roman" w:eastAsia="Times New Roman" w:cs="Times New Roman"/>
          <w:color w:val="5eeded"/>
          <w:sz w:val="24"/>
        </w:rPr>
        <w:t xml:space="preserve">1</w:t>
      </w:r>
      <w:r>
        <w:rPr>
          <w:rFonts w:ascii="Times New Roman" w:hAnsi="Times New Roman" w:eastAsia="Times New Roman" w:cs="Times New Roman"/>
          <w:color w:val="eaecf0"/>
          <w:sz w:val="24"/>
        </w:rPr>
        <w:t xml:space="preserve"> domain models.**</w:t>
      </w:r>
      <w:r/>
    </w:p>
    <w:p w14:paraId="22A77C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The four pillars (derivatives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flows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DeFi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macro) are the right domains given the data and the product. Five models implies one pillar maps to two models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or there's a fifth domain. The design document doesn't specify what the fifth is. This needs to be resolved: either the pillar structure is </w:t>
      </w:r>
      <w:r>
        <w:rPr>
          <w:rFonts w:ascii="Times New Roman" w:hAnsi="Times New Roman" w:eastAsia="Times New Roman" w:cs="Times New Roman"/>
          <w:color w:val="5eeded"/>
          <w:sz w:val="24"/>
        </w:rPr>
        <w:t xml:space="preserve">4</w:t>
      </w:r>
      <w:r>
        <w:rPr>
          <w:rFonts w:ascii="Times New Roman" w:hAnsi="Times New Roman" w:eastAsia="Times New Roman" w:cs="Times New Roman"/>
          <w:color w:val="eaecf0"/>
          <w:sz w:val="24"/>
        </w:rPr>
        <w:t xml:space="preserve"> (cleaner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maps to data coverage)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or a fifth domain is explicitly named and justified. **Decision: four pillars unless a fifth domain is named with a data source. Defer to Thread </w:t>
      </w:r>
      <w:r>
        <w:rPr>
          <w:rFonts w:ascii="Times New Roman" w:hAnsi="Times New Roman" w:eastAsia="Times New Roman" w:cs="Times New Roman"/>
          <w:color w:val="5eeded"/>
          <w:sz w:val="24"/>
        </w:rPr>
        <w:t xml:space="preserve">3</w:t>
      </w:r>
      <w:r>
        <w:rPr>
          <w:rFonts w:ascii="Times New Roman" w:hAnsi="Times New Roman" w:eastAsia="Times New Roman" w:cs="Times New Roman"/>
          <w:color w:val="eaecf0"/>
          <w:sz w:val="24"/>
        </w:rPr>
        <w:t xml:space="preserve"> data requirements to confirm.**</w:t>
      </w:r>
      <w:r/>
    </w:p>
    <w:p w14:paraId="4931DD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E5DE8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**M5 — </w:t>
      </w:r>
      <w:r>
        <w:rPr>
          <w:rFonts w:ascii="Times New Roman" w:hAnsi="Times New Roman" w:eastAsia="Times New Roman" w:cs="Times New Roman"/>
          <w:color w:val="5eeded"/>
          <w:sz w:val="24"/>
        </w:rPr>
        <w:t xml:space="preserve">14</w:t>
      </w:r>
      <w:r>
        <w:rPr>
          <w:rFonts w:ascii="Times New Roman" w:hAnsi="Times New Roman" w:eastAsia="Times New Roman" w:cs="Times New Roman"/>
          <w:color w:val="eaecf0"/>
          <w:sz w:val="24"/>
        </w:rPr>
        <w:t xml:space="preserve">-day horizon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volume-adjusted labels.**</w:t>
      </w:r>
      <w:r/>
    </w:p>
    <w:p w14:paraId="107D46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5eeded"/>
          <w:sz w:val="24"/>
        </w:rPr>
        <w:t xml:space="preserve">14</w:t>
      </w:r>
      <w:r>
        <w:rPr>
          <w:rFonts w:ascii="Times New Roman" w:hAnsi="Times New Roman" w:eastAsia="Times New Roman" w:cs="Times New Roman"/>
          <w:color w:val="eaecf0"/>
          <w:sz w:val="24"/>
        </w:rPr>
        <w:t xml:space="preserve"> days is a reasonable tactical horizon for the intelligence product — long enough to filter noise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short enough to be actionable. Volume-adjusted labels (weighting observations by volume) reduce the influence of low-liquidity periods on training. Both are defensible. **Keep</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with one addition: the horizon must be exposed in the output schema and documented in the methodology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because customers will ask.**</w:t>
      </w:r>
      <w:r/>
    </w:p>
    <w:p w14:paraId="04837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41A22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**M9 — LightGBM for all models.**</w:t>
      </w:r>
      <w:r/>
    </w:p>
    <w:p w14:paraId="2C0C4A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LightGBM is the right choice for tabular financial data at this scale. It handles mixed feature types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is fast to train and retrain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produces calibrated probabilities with isotonic regression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is interpretable enough to document methodology. The risk is using it as a black box without feature importance tracking. **Keep</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with mandatory: feature importance logged per model version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calibration validation required before production graduation.**</w:t>
      </w:r>
      <w:r/>
    </w:p>
    <w:p w14:paraId="0E59E5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95BC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**D6 — </w:t>
      </w:r>
      <w:r>
        <w:rPr>
          <w:rFonts w:ascii="Times New Roman" w:hAnsi="Times New Roman" w:eastAsia="Times New Roman" w:cs="Times New Roman"/>
          <w:color w:val="5eeded"/>
          <w:sz w:val="24"/>
        </w:rPr>
        <w:t xml:space="preserve">4</w:t>
      </w:r>
      <w:r>
        <w:rPr>
          <w:rFonts w:ascii="Times New Roman" w:hAnsi="Times New Roman" w:eastAsia="Times New Roman" w:cs="Times New Roman"/>
          <w:color w:val="eaecf0"/>
          <w:sz w:val="24"/>
        </w:rPr>
        <w:t xml:space="preserve"> sub-scores for EDSx.**</w:t>
      </w:r>
      <w:r/>
    </w:p>
    <w:p w14:paraId="6A471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Four pillars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four sub-scores. This is consistent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clean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maps directly to the component structure in the Layer </w:t>
      </w:r>
      <w:r>
        <w:rPr>
          <w:rFonts w:ascii="Times New Roman" w:hAnsi="Times New Roman" w:eastAsia="Times New Roman" w:cs="Times New Roman"/>
          <w:color w:val="5eeded"/>
          <w:sz w:val="24"/>
        </w:rPr>
        <w:t xml:space="preserve">6</w:t>
      </w:r>
      <w:r>
        <w:rPr>
          <w:rFonts w:ascii="Times New Roman" w:hAnsi="Times New Roman" w:eastAsia="Times New Roman" w:cs="Times New Roman"/>
          <w:color w:val="eaecf0"/>
          <w:sz w:val="24"/>
        </w:rPr>
        <w:t xml:space="preserve"> output schema. **Keep.**</w:t>
      </w:r>
      <w:r/>
    </w:p>
    <w:p w14:paraId="3F7EC9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E708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**D41 — Three universe tiers: collection / scoring / trading.**</w:t>
      </w:r>
      <w:r/>
    </w:p>
    <w:p w14:paraId="12E7B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In the new architecture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this maps to: Layer </w:t>
      </w:r>
      <w:r>
        <w:rPr>
          <w:rFonts w:ascii="Times New Roman" w:hAnsi="Times New Roman" w:eastAsia="Times New Roman" w:cs="Times New Roman"/>
          <w:color w:val="5eeded"/>
          <w:sz w:val="24"/>
        </w:rPr>
        <w:t xml:space="preserve">1</w:t>
      </w:r>
      <w:r>
        <w:rPr>
          <w:rFonts w:ascii="Times New Roman" w:hAnsi="Times New Roman" w:eastAsia="Times New Roman" w:cs="Times New Roman"/>
          <w:color w:val="eaecf0"/>
          <w:sz w:val="24"/>
        </w:rPr>
        <w:t xml:space="preserve"> (collection)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Layer </w:t>
      </w:r>
      <w:r>
        <w:rPr>
          <w:rFonts w:ascii="Times New Roman" w:hAnsi="Times New Roman" w:eastAsia="Times New Roman" w:cs="Times New Roman"/>
          <w:color w:val="5eeded"/>
          <w:sz w:val="24"/>
        </w:rPr>
        <w:t xml:space="preserve">3</w:t>
      </w:r>
      <w:r>
        <w:rPr>
          <w:rFonts w:ascii="Times New Roman" w:hAnsi="Times New Roman" w:eastAsia="Times New Roman" w:cs="Times New Roman"/>
          <w:color w:val="eaecf0"/>
          <w:sz w:val="24"/>
        </w:rPr>
        <w:t xml:space="preserve"> (scoring universe — instruments with sufficient data quality for signal generation)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a coverage tier for instruments actually included in the output product. The </w:t>
      </w:r>
      <w:r>
        <w:rPr>
          <w:rFonts w:ascii="Times New Roman" w:hAnsi="Times New Roman" w:eastAsia="Times New Roman" w:cs="Times New Roman"/>
          <w:color w:val="9be963"/>
          <w:sz w:val="24"/>
        </w:rPr>
        <w:t xml:space="preserve">"trading"</w:t>
      </w:r>
      <w:r>
        <w:rPr>
          <w:rFonts w:ascii="Times New Roman" w:hAnsi="Times New Roman" w:eastAsia="Times New Roman" w:cs="Times New Roman"/>
          <w:color w:val="eaecf0"/>
          <w:sz w:val="24"/>
        </w:rPr>
        <w:t xml:space="preserve"> tier likely becomes </w:t>
      </w:r>
      <w:r>
        <w:rPr>
          <w:rFonts w:ascii="Times New Roman" w:hAnsi="Times New Roman" w:eastAsia="Times New Roman" w:cs="Times New Roman"/>
          <w:color w:val="9be963"/>
          <w:sz w:val="24"/>
        </w:rPr>
        <w:t xml:space="preserve">"signal-eligible"</w:t>
      </w:r>
      <w:r>
        <w:rPr>
          <w:rFonts w:ascii="Times New Roman" w:hAnsi="Times New Roman" w:eastAsia="Times New Roman" w:cs="Times New Roman"/>
          <w:color w:val="eaecf0"/>
          <w:sz w:val="24"/>
        </w:rPr>
        <w:t xml:space="preserve"> — instruments that meet data completeness thresholds. **Keep the concept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rename for clarity: collection tier → scoring tier → signal-eligible tier.**</w:t>
      </w:r>
      <w:r/>
    </w:p>
    <w:p w14:paraId="3854B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29DB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3217DF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AAD6B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The Two Tracks</w:t>
      </w:r>
      <w:r/>
    </w:p>
    <w:p w14:paraId="7E5892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D13D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Signal generation has two computationally independent tracks that converge at synthesis.</w:t>
      </w:r>
      <w:r/>
    </w:p>
    <w:p w14:paraId="2E982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4195F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2B6340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8665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Track A: EDSx — Deterministic Scoring</w:t>
      </w:r>
      <w:r/>
    </w:p>
    <w:p w14:paraId="241A8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7659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**What it is:** A rule-based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fully transparent scoring system. Given a set of metrics at a point in time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EDSx applies documented rules to produce a directional score and confidence for each pillar. No training data. No model state. Fully reproducible from methodology alone.</w:t>
      </w:r>
      <w:r/>
    </w:p>
    <w:p w14:paraId="182756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C0AC9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**Why it exists alongside ML:** Customers — especially institutional ones — need to be able to interrogate a signal. </w:t>
      </w:r>
      <w:r>
        <w:rPr>
          <w:rFonts w:ascii="Times New Roman" w:hAnsi="Times New Roman" w:eastAsia="Times New Roman" w:cs="Times New Roman"/>
          <w:color w:val="9be963"/>
          <w:sz w:val="24"/>
        </w:rPr>
        <w:t xml:space="preserve">"Why is this bullish?"</w:t>
      </w:r>
      <w:r>
        <w:rPr>
          <w:rFonts w:ascii="Times New Roman" w:hAnsi="Times New Roman" w:eastAsia="Times New Roman" w:cs="Times New Roman"/>
          <w:color w:val="eaecf0"/>
          <w:sz w:val="24"/>
        </w:rPr>
        <w:t xml:space="preserve"> must have an answer that doesn't require understanding a gradient boosted tree. EDSx provides that. It also provides a baseline against which to measure ML performance: if ML consistently underperforms EDSx</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the ML pipeline has a problem.</w:t>
      </w:r>
      <w:r/>
    </w:p>
    <w:p w14:paraId="12E943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A2AA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**Output contract (per instrument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per pillar):**</w:t>
      </w:r>
      <w:r/>
    </w:p>
    <w:p w14:paraId="4ECD19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0C9498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0C3E42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"pillar"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"derivatives_pressure"</w:t>
      </w:r>
      <w:r>
        <w:rPr>
          <w:rFonts w:ascii="Times New Roman" w:hAnsi="Times New Roman" w:eastAsia="Times New Roman" w:cs="Times New Roman"/>
          <w:color w:val="d3d7de"/>
          <w:sz w:val="24"/>
        </w:rPr>
        <w:t xml:space="preserve">,</w:t>
      </w:r>
      <w:r/>
    </w:p>
    <w:p w14:paraId="40456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"instrument"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"BTC"</w:t>
      </w:r>
      <w:r>
        <w:rPr>
          <w:rFonts w:ascii="Times New Roman" w:hAnsi="Times New Roman" w:eastAsia="Times New Roman" w:cs="Times New Roman"/>
          <w:color w:val="d3d7de"/>
          <w:sz w:val="24"/>
        </w:rPr>
        <w:t xml:space="preserve">,</w:t>
      </w:r>
      <w:r/>
    </w:p>
    <w:p w14:paraId="1291F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"timestamp"</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51E89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bullish | neutral | bearish</w:t>
      </w:r>
      <w:r/>
    </w:p>
    <w:p w14:paraId="6CCB87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"score"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0.72</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0.0–1.0, continuous</w:t>
      </w:r>
      <w:r/>
    </w:p>
    <w:p w14:paraId="4C062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0.81</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0.0–1.0, based on data completeness</w:t>
      </w:r>
      <w:r/>
    </w:p>
    <w:p w14:paraId="0A2C6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"signals_fired"</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"funding_rate_elevated"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"oi_increasing"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"liquidations_low"</w:t>
      </w:r>
      <w:r>
        <w:rPr>
          <w:rFonts w:ascii="Times New Roman" w:hAnsi="Times New Roman" w:eastAsia="Times New Roman" w:cs="Times New Roman"/>
          <w:color w:val="d3d7de"/>
          <w:sz w:val="24"/>
        </w:rPr>
        <w:t xml:space="preserve">],</w:t>
      </w:r>
      <w:r/>
    </w:p>
    <w:p w14:paraId="6332F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"signals_available"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8</w:t>
      </w:r>
      <w:r>
        <w:rPr>
          <w:rFonts w:ascii="Times New Roman" w:hAnsi="Times New Roman" w:eastAsia="Times New Roman" w:cs="Times New Roman"/>
          <w:color w:val="d3d7de"/>
          <w:sz w:val="24"/>
        </w:rPr>
        <w:t xml:space="preserve">,</w:t>
      </w:r>
      <w:r/>
    </w:p>
    <w:p w14:paraId="5B7D9E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"signals_computed"</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7</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confidence = computed / available</w:t>
      </w:r>
      <w:r/>
    </w:p>
    <w:p w14:paraId="20EAA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54A4D9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083C8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72BC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**Pillar definitions:**</w:t>
      </w:r>
      <w:r/>
    </w:p>
    <w:p w14:paraId="014277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07F56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*Derivatives Pressure* — reads funding rates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open interest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liquidations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perpetual basis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options skew. Answers: is derivatives positioning leaning long or short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is leverage building or unwinding?</w:t>
      </w:r>
      <w:r/>
    </w:p>
    <w:p w14:paraId="22F8F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75F1F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*Capital Flows* — reads exchange inflows/outflows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stablecoin supply changes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ETF flows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on-chain transfer volume. Answers: is money entering or leaving risk assets?</w:t>
      </w:r>
      <w:r/>
    </w:p>
    <w:p w14:paraId="1B57D8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F70B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*DeFi Health* — reads protocol TVL trends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lending utilization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DEX volume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stablecoin peg stability. Answers: is DeFi expanding or contracting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does that signal risk appetite or stress?</w:t>
      </w:r>
      <w:r/>
    </w:p>
    <w:p w14:paraId="74133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2DB2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*Macro Context* — reads FRED series: yield curve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credit spreads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dollar index</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Fed funds rate trajectory. Answers: is the macro environment supportive or hostile to risk assets?</w:t>
      </w:r>
      <w:r/>
    </w:p>
    <w:p w14:paraId="5D9E1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D1BB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**Confidence semantics:** Confidence is not a prediction confidence — it's a data completeness score. If </w:t>
      </w:r>
      <w:r>
        <w:rPr>
          <w:rFonts w:ascii="Times New Roman" w:hAnsi="Times New Roman" w:eastAsia="Times New Roman" w:cs="Times New Roman"/>
          <w:color w:val="5eeded"/>
          <w:sz w:val="24"/>
        </w:rPr>
        <w:t xml:space="preserve">7</w:t>
      </w:r>
      <w:r>
        <w:rPr>
          <w:rFonts w:ascii="Times New Roman" w:hAnsi="Times New Roman" w:eastAsia="Times New Roman" w:cs="Times New Roman"/>
          <w:color w:val="eaecf0"/>
          <w:sz w:val="24"/>
        </w:rPr>
        <w:t xml:space="preserve"> of </w:t>
      </w:r>
      <w:r>
        <w:rPr>
          <w:rFonts w:ascii="Times New Roman" w:hAnsi="Times New Roman" w:eastAsia="Times New Roman" w:cs="Times New Roman"/>
          <w:color w:val="5eeded"/>
          <w:sz w:val="24"/>
        </w:rPr>
        <w:t xml:space="preserve">8</w:t>
      </w:r>
      <w:r>
        <w:rPr>
          <w:rFonts w:ascii="Times New Roman" w:hAnsi="Times New Roman" w:eastAsia="Times New Roman" w:cs="Times New Roman"/>
          <w:color w:val="eaecf0"/>
          <w:sz w:val="24"/>
        </w:rPr>
        <w:t xml:space="preserve"> signals are computable (one source is stale or missing)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confidence = </w:t>
      </w:r>
      <w:r>
        <w:rPr>
          <w:rFonts w:ascii="Times New Roman" w:hAnsi="Times New Roman" w:eastAsia="Times New Roman" w:cs="Times New Roman"/>
          <w:color w:val="5eeded"/>
          <w:sz w:val="24"/>
        </w:rPr>
        <w:t xml:space="preserve">7</w:t>
      </w:r>
      <w:r>
        <w:rPr>
          <w:rFonts w:ascii="Times New Roman" w:hAnsi="Times New Roman" w:eastAsia="Times New Roman" w:cs="Times New Roman"/>
          <w:color w:val="eaecf0"/>
          <w:sz w:val="24"/>
        </w:rPr>
        <w:t xml:space="preserve">/</w:t>
      </w:r>
      <w:r>
        <w:rPr>
          <w:rFonts w:ascii="Times New Roman" w:hAnsi="Times New Roman" w:eastAsia="Times New Roman" w:cs="Times New Roman"/>
          <w:color w:val="5eeded"/>
          <w:sz w:val="24"/>
        </w:rPr>
        <w:t xml:space="preserve">8</w:t>
      </w:r>
      <w:r>
        <w:rPr>
          <w:rFonts w:ascii="Times New Roman" w:hAnsi="Times New Roman" w:eastAsia="Times New Roman" w:cs="Times New Roman"/>
          <w:color w:val="eaecf0"/>
          <w:sz w:val="24"/>
        </w:rPr>
        <w:t xml:space="preserve"> = </w:t>
      </w:r>
      <w:r>
        <w:rPr>
          <w:rFonts w:ascii="Times New Roman" w:hAnsi="Times New Roman" w:eastAsia="Times New Roman" w:cs="Times New Roman"/>
          <w:color w:val="5eeded"/>
          <w:sz w:val="24"/>
        </w:rPr>
        <w:t xml:space="preserve">0.875</w:t>
      </w:r>
      <w:r>
        <w:rPr>
          <w:rFonts w:ascii="Times New Roman" w:hAnsi="Times New Roman" w:eastAsia="Times New Roman" w:cs="Times New Roman"/>
          <w:color w:val="eaecf0"/>
          <w:sz w:val="24"/>
        </w:rPr>
        <w:t xml:space="preserve">. This is honest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auditable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and means </w:t>
      </w:r>
      <w:r>
        <w:rPr>
          <w:rFonts w:ascii="Times New Roman" w:hAnsi="Times New Roman" w:eastAsia="Times New Roman" w:cs="Times New Roman"/>
          <w:color w:val="cc7bf4"/>
          <w:sz w:val="24"/>
        </w:rPr>
        <w:t xml:space="preserve">null</w:t>
      </w:r>
      <w:r>
        <w:rPr>
          <w:rFonts w:ascii="Times New Roman" w:hAnsi="Times New Roman" w:eastAsia="Times New Roman" w:cs="Times New Roman"/>
          <w:color w:val="eaecf0"/>
          <w:sz w:val="24"/>
        </w:rPr>
        <w:t xml:space="preserve"> confidence in the output schema has a specific meaning: not enough data to score this pillar at all.</w:t>
      </w:r>
      <w:r/>
    </w:p>
    <w:p w14:paraId="0DEA4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DCDC2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**EDSx composite formation:** The four pillar scores combine into a composite direction with weights. Default weights are specified in Thread </w:t>
      </w:r>
      <w:r>
        <w:rPr>
          <w:rFonts w:ascii="Times New Roman" w:hAnsi="Times New Roman" w:eastAsia="Times New Roman" w:cs="Times New Roman"/>
          <w:color w:val="5eeded"/>
          <w:sz w:val="24"/>
        </w:rPr>
        <w:t xml:space="preserve">2</w:t>
      </w:r>
      <w:r>
        <w:rPr>
          <w:rFonts w:ascii="Times New Roman" w:hAnsi="Times New Roman" w:eastAsia="Times New Roman" w:cs="Times New Roman"/>
          <w:color w:val="eaecf0"/>
          <w:sz w:val="24"/>
        </w:rPr>
        <w:t xml:space="preserve"> but must be validated empirically — if the ML track consistently assigns very different weights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investigate. Composite direction:</w:t>
      </w:r>
      <w:r/>
    </w:p>
    <w:p w14:paraId="309968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192F7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composite_score = Σ(pillar_score × pillar_weight)</w:t>
      </w:r>
      <w:r/>
    </w:p>
    <w:p w14:paraId="0DE6B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direction =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eaecf0"/>
          <w:sz w:val="24"/>
        </w:rPr>
        <w:t xml:space="preserve">  if composite_score &gt; </w:t>
      </w:r>
      <w:r>
        <w:rPr>
          <w:rFonts w:ascii="Times New Roman" w:hAnsi="Times New Roman" w:eastAsia="Times New Roman" w:cs="Times New Roman"/>
          <w:color w:val="5eeded"/>
          <w:sz w:val="24"/>
        </w:rPr>
        <w:t xml:space="preserve">0.55</w:t>
      </w:r>
      <w:r/>
    </w:p>
    <w:p w14:paraId="5A6F36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direction = </w:t>
      </w:r>
      <w:r>
        <w:rPr>
          <w:rFonts w:ascii="Times New Roman" w:hAnsi="Times New Roman" w:eastAsia="Times New Roman" w:cs="Times New Roman"/>
          <w:color w:val="9be963"/>
          <w:sz w:val="24"/>
        </w:rPr>
        <w:t xml:space="preserve">"bearish"</w:t>
      </w:r>
      <w:r>
        <w:rPr>
          <w:rFonts w:ascii="Times New Roman" w:hAnsi="Times New Roman" w:eastAsia="Times New Roman" w:cs="Times New Roman"/>
          <w:color w:val="eaecf0"/>
          <w:sz w:val="24"/>
        </w:rPr>
        <w:t xml:space="preserve">  if composite_score &lt; </w:t>
      </w:r>
      <w:r>
        <w:rPr>
          <w:rFonts w:ascii="Times New Roman" w:hAnsi="Times New Roman" w:eastAsia="Times New Roman" w:cs="Times New Roman"/>
          <w:color w:val="5eeded"/>
          <w:sz w:val="24"/>
        </w:rPr>
        <w:t xml:space="preserve">0.45</w:t>
      </w:r>
      <w:r/>
    </w:p>
    <w:p w14:paraId="7A96C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direction = </w:t>
      </w:r>
      <w:r>
        <w:rPr>
          <w:rFonts w:ascii="Times New Roman" w:hAnsi="Times New Roman" w:eastAsia="Times New Roman" w:cs="Times New Roman"/>
          <w:color w:val="9be963"/>
          <w:sz w:val="24"/>
        </w:rPr>
        <w:t xml:space="preserve">"neutral"</w:t>
      </w:r>
      <w:r>
        <w:rPr>
          <w:rFonts w:ascii="Times New Roman" w:hAnsi="Times New Roman" w:eastAsia="Times New Roman" w:cs="Times New Roman"/>
          <w:color w:val="eaecf0"/>
          <w:sz w:val="24"/>
        </w:rPr>
        <w:t xml:space="preserve">  otherwise</w:t>
      </w:r>
      <w:r/>
    </w:p>
    <w:p w14:paraId="708E8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3DE2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8CCD8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Thresholds (</w:t>
      </w:r>
      <w:r>
        <w:rPr>
          <w:rFonts w:ascii="Times New Roman" w:hAnsi="Times New Roman" w:eastAsia="Times New Roman" w:cs="Times New Roman"/>
          <w:color w:val="5eeded"/>
          <w:sz w:val="24"/>
        </w:rPr>
        <w:t xml:space="preserve">0.55</w:t>
      </w:r>
      <w:r>
        <w:rPr>
          <w:rFonts w:ascii="Times New Roman" w:hAnsi="Times New Roman" w:eastAsia="Times New Roman" w:cs="Times New Roman"/>
          <w:color w:val="eaecf0"/>
          <w:sz w:val="24"/>
        </w:rPr>
        <w:t xml:space="preserve">/</w:t>
      </w:r>
      <w:r>
        <w:rPr>
          <w:rFonts w:ascii="Times New Roman" w:hAnsi="Times New Roman" w:eastAsia="Times New Roman" w:cs="Times New Roman"/>
          <w:color w:val="5eeded"/>
          <w:sz w:val="24"/>
        </w:rPr>
        <w:t xml:space="preserve">0.45</w:t>
      </w:r>
      <w:r>
        <w:rPr>
          <w:rFonts w:ascii="Times New Roman" w:hAnsi="Times New Roman" w:eastAsia="Times New Roman" w:cs="Times New Roman"/>
          <w:color w:val="eaecf0"/>
          <w:sz w:val="24"/>
        </w:rPr>
        <w:t xml:space="preserve">) are calibrated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not arbitrary. Calibration methodology: measure EDSx directional accuracy at various thresholds across backtested history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select thresholds that maximize F1 at the </w:t>
      </w:r>
      <w:r>
        <w:rPr>
          <w:rFonts w:ascii="Times New Roman" w:hAnsi="Times New Roman" w:eastAsia="Times New Roman" w:cs="Times New Roman"/>
          <w:color w:val="5eeded"/>
          <w:sz w:val="24"/>
        </w:rPr>
        <w:t xml:space="preserve">14</w:t>
      </w:r>
      <w:r>
        <w:rPr>
          <w:rFonts w:ascii="Times New Roman" w:hAnsi="Times New Roman" w:eastAsia="Times New Roman" w:cs="Times New Roman"/>
          <w:color w:val="eaecf0"/>
          <w:sz w:val="24"/>
        </w:rPr>
        <w:t xml:space="preserve">-day horizon.</w:t>
      </w:r>
      <w:r/>
    </w:p>
    <w:p w14:paraId="121394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3293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74B6B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9DC4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Track B: ML Models</w:t>
      </w:r>
      <w:r/>
    </w:p>
    <w:p w14:paraId="20F3C9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728ED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**What it is:** A set of trained LightGBM classifiers that consume feature vectors and produce probability distributions over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bullish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neutral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bearish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at a </w:t>
      </w:r>
      <w:r>
        <w:rPr>
          <w:rFonts w:ascii="Times New Roman" w:hAnsi="Times New Roman" w:eastAsia="Times New Roman" w:cs="Times New Roman"/>
          <w:color w:val="5eeded"/>
          <w:sz w:val="24"/>
        </w:rPr>
        <w:t xml:space="preserve">14</w:t>
      </w:r>
      <w:r>
        <w:rPr>
          <w:rFonts w:ascii="Times New Roman" w:hAnsi="Times New Roman" w:eastAsia="Times New Roman" w:cs="Times New Roman"/>
          <w:color w:val="eaecf0"/>
          <w:sz w:val="24"/>
        </w:rPr>
        <w:t xml:space="preserve">-day horizon. Probabilistic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data-driven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not human-interpretable in the same way as EDSx — but potentially more accurate.</w:t>
      </w:r>
      <w:r/>
    </w:p>
    <w:p w14:paraId="02EC9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2698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**Architecture: Domain models → synthesis model.**</w:t>
      </w:r>
      <w:r/>
    </w:p>
    <w:p w14:paraId="0F873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65A7E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Five domain models were specified (M3). Given four pillars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the most natural structure is four domain models — one per pillar — plus one cross-asset model that captures market-wide dynamics not visible in any single pillar. That resolves M3 without inventing a fifth pillar domain:</w:t>
      </w:r>
      <w:r/>
    </w:p>
    <w:p w14:paraId="65D61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42E82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Model | Input features | Scope |</w:t>
      </w:r>
      <w:r/>
    </w:p>
    <w:p w14:paraId="2DC74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2FA63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M-Derivatives | Derivatives features | Per-instrument |</w:t>
      </w:r>
      <w:r/>
    </w:p>
    <w:p w14:paraId="3DCB7C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M-Flows | Capital flow features | Per-instrument |</w:t>
      </w:r>
      <w:r/>
    </w:p>
    <w:p w14:paraId="5BC823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M-DeFi | DeFi health features | Per-instrument (where applicable) |</w:t>
      </w:r>
      <w:r/>
    </w:p>
    <w:p w14:paraId="3458F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M-Macro | Macro feature vectors | Market-level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applied to all instruments |</w:t>
      </w:r>
      <w:r/>
    </w:p>
    <w:p w14:paraId="0C62E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M-Synthesis | Outputs of M1–M4 + cross-asset breadth features | Per-instrument |</w:t>
      </w:r>
      <w:r/>
    </w:p>
    <w:p w14:paraId="1B305F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B05E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**Output contract (per domain model):**</w:t>
      </w:r>
      <w:r/>
    </w:p>
    <w:p w14:paraId="103510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7A2FF1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1F1C32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"model"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"M-Derivatives"</w:t>
      </w:r>
      <w:r>
        <w:rPr>
          <w:rFonts w:ascii="Times New Roman" w:hAnsi="Times New Roman" w:eastAsia="Times New Roman" w:cs="Times New Roman"/>
          <w:color w:val="d3d7de"/>
          <w:sz w:val="24"/>
        </w:rPr>
        <w:t xml:space="preserve">,</w:t>
      </w:r>
      <w:r/>
    </w:p>
    <w:p w14:paraId="43847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"instrument"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"BTC"</w:t>
      </w:r>
      <w:r>
        <w:rPr>
          <w:rFonts w:ascii="Times New Roman" w:hAnsi="Times New Roman" w:eastAsia="Times New Roman" w:cs="Times New Roman"/>
          <w:color w:val="d3d7de"/>
          <w:sz w:val="24"/>
        </w:rPr>
        <w:t xml:space="preserve">,</w:t>
      </w:r>
      <w:r/>
    </w:p>
    <w:p w14:paraId="25FC7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"timestamp"</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49474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"p_bullish"</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0.61</w:t>
      </w:r>
      <w:r>
        <w:rPr>
          <w:rFonts w:ascii="Times New Roman" w:hAnsi="Times New Roman" w:eastAsia="Times New Roman" w:cs="Times New Roman"/>
          <w:color w:val="d3d7de"/>
          <w:sz w:val="24"/>
        </w:rPr>
        <w:t xml:space="preserve">,</w:t>
      </w:r>
      <w:r/>
    </w:p>
    <w:p w14:paraId="5EE27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"p_neutral"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0.24</w:t>
      </w:r>
      <w:r>
        <w:rPr>
          <w:rFonts w:ascii="Times New Roman" w:hAnsi="Times New Roman" w:eastAsia="Times New Roman" w:cs="Times New Roman"/>
          <w:color w:val="d3d7de"/>
          <w:sz w:val="24"/>
        </w:rPr>
        <w:t xml:space="preserve">,</w:t>
      </w:r>
      <w:r/>
    </w:p>
    <w:p w14:paraId="1AE14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"p_bearish"</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0.15</w:t>
      </w:r>
      <w:r>
        <w:rPr>
          <w:rFonts w:ascii="Times New Roman" w:hAnsi="Times New Roman" w:eastAsia="Times New Roman" w:cs="Times New Roman"/>
          <w:color w:val="d3d7de"/>
          <w:sz w:val="24"/>
        </w:rPr>
        <w:t xml:space="preserve">,</w:t>
      </w:r>
      <w:r/>
    </w:p>
    <w:p w14:paraId="296960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argmax(p_bullish, p_neutral, p_bearish)</w:t>
      </w:r>
      <w:r/>
    </w:p>
    <w:p w14:paraId="5D6E9E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0.61</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p of predicted direction</w:t>
      </w:r>
      <w:r/>
    </w:p>
    <w:p w14:paraId="581D8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"magnitude"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0.45</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expected move size, separately calibrated</w:t>
      </w:r>
      <w:r/>
    </w:p>
    <w:p w14:paraId="573DC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"feature_version"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"v1.4"</w:t>
      </w:r>
      <w:r>
        <w:rPr>
          <w:rFonts w:ascii="Times New Roman" w:hAnsi="Times New Roman" w:eastAsia="Times New Roman" w:cs="Times New Roman"/>
          <w:color w:val="d3d7de"/>
          <w:sz w:val="24"/>
        </w:rPr>
        <w:t xml:space="preserve">,</w:t>
      </w:r>
      <w:r/>
    </w:p>
    <w:p w14:paraId="739A3C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"model_version"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"20260301"</w:t>
      </w:r>
      <w:r/>
    </w:p>
    <w:p w14:paraId="3EBBC3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55C32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64B6C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B25A2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**Output contract (synthesis model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M-Synthesis):**</w:t>
      </w:r>
      <w:r/>
    </w:p>
    <w:p w14:paraId="51F84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This becomes the ML track's contribution to the final signal. Same schema as the EDSx composite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enabling direct comparison and combination.</w:t>
      </w:r>
      <w:r/>
    </w:p>
    <w:p w14:paraId="483F5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80315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**Training and validation protocol:**</w:t>
      </w:r>
      <w:r/>
    </w:p>
    <w:p w14:paraId="7C709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1B941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Training is walk-forward only. No future data ever enters a training window. Each model is trained on all data up to point 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validated on the window T to T+30d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never retrained within that validation window.</w:t>
      </w:r>
      <w:r/>
    </w:p>
    <w:p w14:paraId="13C6D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29148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Labels: volume-adjusted </w:t>
      </w:r>
      <w:r>
        <w:rPr>
          <w:rFonts w:ascii="Times New Roman" w:hAnsi="Times New Roman" w:eastAsia="Times New Roman" w:cs="Times New Roman"/>
          <w:color w:val="5eeded"/>
          <w:sz w:val="24"/>
        </w:rPr>
        <w:t xml:space="preserve">14</w:t>
      </w:r>
      <w:r>
        <w:rPr>
          <w:rFonts w:ascii="Times New Roman" w:hAnsi="Times New Roman" w:eastAsia="Times New Roman" w:cs="Times New Roman"/>
          <w:color w:val="eaecf0"/>
          <w:sz w:val="24"/>
        </w:rPr>
        <w:t xml:space="preserve">-day forward returns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discretized into bullish/neutral/bearish using tercile boundaries on the training set. The boundaries are recalculated each training cycle. This means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eaecf0"/>
          <w:sz w:val="24"/>
        </w:rPr>
        <w:t xml:space="preserve"> always means top-tercile forward performance in the training universe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not an absolute return threshold. This is more statistically honest than fixed thresholds.</w:t>
      </w:r>
      <w:r/>
    </w:p>
    <w:p w14:paraId="48584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9CC1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Calibration: after training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isotonic regression is applied to align predicted probabilities to empirical frequencies. A model that says </w:t>
      </w:r>
      <w:r>
        <w:rPr>
          <w:rFonts w:ascii="Times New Roman" w:hAnsi="Times New Roman" w:eastAsia="Times New Roman" w:cs="Times New Roman"/>
          <w:color w:val="5eeded"/>
          <w:sz w:val="24"/>
        </w:rPr>
        <w:t xml:space="preserve">70</w:t>
      </w:r>
      <w:r>
        <w:rPr>
          <w:rFonts w:ascii="Times New Roman" w:hAnsi="Times New Roman" w:eastAsia="Times New Roman" w:cs="Times New Roman"/>
          <w:color w:val="eaecf0"/>
          <w:sz w:val="24"/>
        </w:rPr>
        <w:t xml:space="preserve">% bullish should be right </w:t>
      </w:r>
      <w:r>
        <w:rPr>
          <w:rFonts w:ascii="Times New Roman" w:hAnsi="Times New Roman" w:eastAsia="Times New Roman" w:cs="Times New Roman"/>
          <w:color w:val="5eeded"/>
          <w:sz w:val="24"/>
        </w:rPr>
        <w:t xml:space="preserve">70</w:t>
      </w:r>
      <w:r>
        <w:rPr>
          <w:rFonts w:ascii="Times New Roman" w:hAnsi="Times New Roman" w:eastAsia="Times New Roman" w:cs="Times New Roman"/>
          <w:color w:val="eaecf0"/>
          <w:sz w:val="24"/>
        </w:rPr>
        <w:t xml:space="preserve">% of the time. Pre-calibration curves are logged and monitored.</w:t>
      </w:r>
      <w:r/>
    </w:p>
    <w:p w14:paraId="0B13EF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616BB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**Graduation path (shadow → production):**</w:t>
      </w:r>
      <w:r/>
    </w:p>
    <w:p w14:paraId="7C8B1D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723D9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No model reaches production without passing graduation criteria:</w:t>
      </w:r>
      <w:r/>
    </w:p>
    <w:p w14:paraId="16AC3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7CB1D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5eeded"/>
          <w:sz w:val="24"/>
        </w:rPr>
        <w:t xml:space="preserve">1</w:t>
      </w:r>
      <w:r>
        <w:rPr>
          <w:rFonts w:ascii="Times New Roman" w:hAnsi="Times New Roman" w:eastAsia="Times New Roman" w:cs="Times New Roman"/>
          <w:color w:val="eaecf0"/>
          <w:sz w:val="24"/>
        </w:rPr>
        <w:t xml:space="preserve">. Walk-forward Sharpe of directional calls &gt; </w:t>
      </w:r>
      <w:r>
        <w:rPr>
          <w:rFonts w:ascii="Times New Roman" w:hAnsi="Times New Roman" w:eastAsia="Times New Roman" w:cs="Times New Roman"/>
          <w:color w:val="5eeded"/>
          <w:sz w:val="24"/>
        </w:rPr>
        <w:t xml:space="preserve">0.5</w:t>
      </w:r>
      <w:r>
        <w:rPr>
          <w:rFonts w:ascii="Times New Roman" w:hAnsi="Times New Roman" w:eastAsia="Times New Roman" w:cs="Times New Roman"/>
          <w:color w:val="eaecf0"/>
          <w:sz w:val="24"/>
        </w:rPr>
        <w:t xml:space="preserve"> over minimum </w:t>
      </w:r>
      <w:r>
        <w:rPr>
          <w:rFonts w:ascii="Times New Roman" w:hAnsi="Times New Roman" w:eastAsia="Times New Roman" w:cs="Times New Roman"/>
          <w:color w:val="5eeded"/>
          <w:sz w:val="24"/>
        </w:rPr>
        <w:t xml:space="preserve">12</w:t>
      </w:r>
      <w:r>
        <w:rPr>
          <w:rFonts w:ascii="Times New Roman" w:hAnsi="Times New Roman" w:eastAsia="Times New Roman" w:cs="Times New Roman"/>
          <w:color w:val="eaecf0"/>
          <w:sz w:val="24"/>
        </w:rPr>
        <w:t xml:space="preserve"> months of OOS data</w:t>
      </w:r>
      <w:r/>
    </w:p>
    <w:p w14:paraId="0622A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5eeded"/>
          <w:sz w:val="24"/>
        </w:rPr>
        <w:t xml:space="preserve">2</w:t>
      </w:r>
      <w:r>
        <w:rPr>
          <w:rFonts w:ascii="Times New Roman" w:hAnsi="Times New Roman" w:eastAsia="Times New Roman" w:cs="Times New Roman"/>
          <w:color w:val="eaecf0"/>
          <w:sz w:val="24"/>
        </w:rPr>
        <w:t xml:space="preserve">. Calibration error (ECE) &lt; </w:t>
      </w:r>
      <w:r>
        <w:rPr>
          <w:rFonts w:ascii="Times New Roman" w:hAnsi="Times New Roman" w:eastAsia="Times New Roman" w:cs="Times New Roman"/>
          <w:color w:val="5eeded"/>
          <w:sz w:val="24"/>
        </w:rPr>
        <w:t xml:space="preserve">0.05</w:t>
      </w:r>
      <w:r/>
    </w:p>
    <w:p w14:paraId="33472C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5eeded"/>
          <w:sz w:val="24"/>
        </w:rPr>
        <w:t xml:space="preserve">3</w:t>
      </w:r>
      <w:r>
        <w:rPr>
          <w:rFonts w:ascii="Times New Roman" w:hAnsi="Times New Roman" w:eastAsia="Times New Roman" w:cs="Times New Roman"/>
          <w:color w:val="eaecf0"/>
          <w:sz w:val="24"/>
        </w:rPr>
        <w:t xml:space="preserve">. Directional accuracy &gt; </w:t>
      </w:r>
      <w:r>
        <w:rPr>
          <w:rFonts w:ascii="Times New Roman" w:hAnsi="Times New Roman" w:eastAsia="Times New Roman" w:cs="Times New Roman"/>
          <w:color w:val="5eeded"/>
          <w:sz w:val="24"/>
        </w:rPr>
        <w:t xml:space="preserve">55</w:t>
      </w:r>
      <w:r>
        <w:rPr>
          <w:rFonts w:ascii="Times New Roman" w:hAnsi="Times New Roman" w:eastAsia="Times New Roman" w:cs="Times New Roman"/>
          <w:color w:val="eaecf0"/>
          <w:sz w:val="24"/>
        </w:rPr>
        <w:t xml:space="preserve">% on OOS data (better than coin flip adjusted for class imbalance)</w:t>
      </w:r>
      <w:r/>
    </w:p>
    <w:p w14:paraId="3CE41E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5eeded"/>
          <w:sz w:val="24"/>
        </w:rPr>
        <w:t xml:space="preserve">4</w:t>
      </w:r>
      <w:r>
        <w:rPr>
          <w:rFonts w:ascii="Times New Roman" w:hAnsi="Times New Roman" w:eastAsia="Times New Roman" w:cs="Times New Roman"/>
          <w:color w:val="eaecf0"/>
          <w:sz w:val="24"/>
        </w:rPr>
        <w:t xml:space="preserve">. Feature importance stable across at least </w:t>
      </w:r>
      <w:r>
        <w:rPr>
          <w:rFonts w:ascii="Times New Roman" w:hAnsi="Times New Roman" w:eastAsia="Times New Roman" w:cs="Times New Roman"/>
          <w:color w:val="5eeded"/>
          <w:sz w:val="24"/>
        </w:rPr>
        <w:t xml:space="preserve">3</w:t>
      </w:r>
      <w:r>
        <w:rPr>
          <w:rFonts w:ascii="Times New Roman" w:hAnsi="Times New Roman" w:eastAsia="Times New Roman" w:cs="Times New Roman"/>
          <w:color w:val="eaecf0"/>
          <w:sz w:val="24"/>
        </w:rPr>
        <w:t xml:space="preserve"> training cycles (no single feature explaining &gt; </w:t>
      </w:r>
      <w:r>
        <w:rPr>
          <w:rFonts w:ascii="Times New Roman" w:hAnsi="Times New Roman" w:eastAsia="Times New Roman" w:cs="Times New Roman"/>
          <w:color w:val="5eeded"/>
          <w:sz w:val="24"/>
        </w:rPr>
        <w:t xml:space="preserve">40</w:t>
      </w:r>
      <w:r>
        <w:rPr>
          <w:rFonts w:ascii="Times New Roman" w:hAnsi="Times New Roman" w:eastAsia="Times New Roman" w:cs="Times New Roman"/>
          <w:color w:val="eaecf0"/>
          <w:sz w:val="24"/>
        </w:rPr>
        <w:t xml:space="preserve">% of importance)</w:t>
      </w:r>
      <w:r/>
    </w:p>
    <w:p w14:paraId="0F3E85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5eeded"/>
          <w:sz w:val="24"/>
        </w:rPr>
        <w:t xml:space="preserve">5</w:t>
      </w:r>
      <w:r>
        <w:rPr>
          <w:rFonts w:ascii="Times New Roman" w:hAnsi="Times New Roman" w:eastAsia="Times New Roman" w:cs="Times New Roman"/>
          <w:color w:val="eaecf0"/>
          <w:sz w:val="24"/>
        </w:rPr>
        <w:t xml:space="preserve">. Manual review by the architect before each production deployment</w:t>
      </w:r>
      <w:r/>
    </w:p>
    <w:p w14:paraId="58D114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8FFB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Shadow mode: models run in production infrastructure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produce outputs to a shadow table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are compared to EDSx and to live market outcomes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but are not served to customers. Shadow period minimum: </w:t>
      </w:r>
      <w:r>
        <w:rPr>
          <w:rFonts w:ascii="Times New Roman" w:hAnsi="Times New Roman" w:eastAsia="Times New Roman" w:cs="Times New Roman"/>
          <w:color w:val="5eeded"/>
          <w:sz w:val="24"/>
        </w:rPr>
        <w:t xml:space="preserve">30</w:t>
      </w:r>
      <w:r>
        <w:rPr>
          <w:rFonts w:ascii="Times New Roman" w:hAnsi="Times New Roman" w:eastAsia="Times New Roman" w:cs="Times New Roman"/>
          <w:color w:val="eaecf0"/>
          <w:sz w:val="24"/>
        </w:rPr>
        <w:t xml:space="preserve"> days. Graduation from shadow requires passing all five criteria on the shadow period data plus historical OOS.</w:t>
      </w:r>
      <w:r/>
    </w:p>
    <w:p w14:paraId="4EA73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5939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AF37E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C55E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Signal Synthesis: How the Tracks Combine</w:t>
      </w:r>
      <w:r/>
    </w:p>
    <w:p w14:paraId="63A3E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6363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The final signal served via Layer </w:t>
      </w:r>
      <w:r>
        <w:rPr>
          <w:rFonts w:ascii="Times New Roman" w:hAnsi="Times New Roman" w:eastAsia="Times New Roman" w:cs="Times New Roman"/>
          <w:color w:val="5eeded"/>
          <w:sz w:val="24"/>
        </w:rPr>
        <w:t xml:space="preserve">6</w:t>
      </w:r>
      <w:r>
        <w:rPr>
          <w:rFonts w:ascii="Times New Roman" w:hAnsi="Times New Roman" w:eastAsia="Times New Roman" w:cs="Times New Roman"/>
          <w:color w:val="eaecf0"/>
          <w:sz w:val="24"/>
        </w:rPr>
        <w:t xml:space="preserve"> is a synthesis of both tracks. This is not an average — it's a structured combination with logic:</w:t>
      </w:r>
      <w:r/>
    </w:p>
    <w:p w14:paraId="4EBD6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08F6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w:t>
      </w:r>
      <w:r>
        <w:rPr>
          <w:rFonts w:ascii="Times New Roman" w:hAnsi="Times New Roman" w:eastAsia="Times New Roman" w:cs="Times New Roman"/>
          <w:color w:val="5eeded"/>
          <w:sz w:val="24"/>
        </w:rPr>
        <w:t xml:space="preserve">1</w:t>
      </w:r>
      <w:r>
        <w:rPr>
          <w:rFonts w:ascii="Times New Roman" w:hAnsi="Times New Roman" w:eastAsia="Times New Roman" w:cs="Times New Roman"/>
          <w:color w:val="eaecf0"/>
          <w:sz w:val="24"/>
        </w:rPr>
        <w:t xml:space="preserve">: Agreement check.**</w:t>
      </w:r>
      <w:r/>
    </w:p>
    <w:p w14:paraId="41712E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If EDSx and ML-Synthesis agree on direction → confidence gets a boost. If they disagree → confidence is penalized and a flag is set. Disagreement doesn't suppress the signal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but it's surfaced to the customer.</w:t>
      </w:r>
      <w:r/>
    </w:p>
    <w:p w14:paraId="0A630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C9A81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w:t>
      </w:r>
      <w:r>
        <w:rPr>
          <w:rFonts w:ascii="Times New Roman" w:hAnsi="Times New Roman" w:eastAsia="Times New Roman" w:cs="Times New Roman"/>
          <w:color w:val="5eeded"/>
          <w:sz w:val="24"/>
        </w:rPr>
        <w:t xml:space="preserve">2</w:t>
      </w:r>
      <w:r>
        <w:rPr>
          <w:rFonts w:ascii="Times New Roman" w:hAnsi="Times New Roman" w:eastAsia="Times New Roman" w:cs="Times New Roman"/>
          <w:color w:val="eaecf0"/>
          <w:sz w:val="24"/>
        </w:rPr>
        <w:t xml:space="preserve">: Confidence-weighted direction.**</w:t>
      </w:r>
      <w:r/>
    </w:p>
    <w:p w14:paraId="485CE2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6F626F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final_direction = argmax(</w:t>
      </w:r>
      <w:r/>
    </w:p>
    <w:p w14:paraId="00F58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EDSx_score × EDSx_confidence × EDSx_weight +</w:t>
      </w:r>
      <w:r/>
    </w:p>
    <w:p w14:paraId="5931A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ML_p_direction × ML_confidence × ML_weight</w:t>
      </w:r>
      <w:r/>
    </w:p>
    <w:p w14:paraId="4D8328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7D59B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Default weights: EDSx 0.5, ML 0.5. These are recalibrated quarterly.</w:t>
      </w:r>
      <w:r/>
    </w:p>
    <w:p w14:paraId="014781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3: Magnitude from ML only.</w:t>
      </w:r>
      <w:r>
        <w:rPr>
          <w:rFonts w:ascii="Times New Roman" w:hAnsi="Times New Roman" w:eastAsia="Times New Roman" w:cs="Times New Roman"/>
          <w:color w:val="000000"/>
          <w:sz w:val="24"/>
        </w:rPr>
        <w:t xml:space="preserve"> Magnitude (expected size of move) comes from the ML track exclusively. EDSx doesn't produce magnitude — it produces direction and intensity, not a continuous return estimate.</w:t>
      </w:r>
      <w:r/>
    </w:p>
    <w:p w14:paraId="49492B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 Regime classification.</w:t>
      </w:r>
      <w:r>
        <w:rPr>
          <w:rFonts w:ascii="Times New Roman" w:hAnsi="Times New Roman" w:eastAsia="Times New Roman" w:cs="Times New Roman"/>
          <w:color w:val="000000"/>
          <w:sz w:val="24"/>
        </w:rPr>
        <w:t xml:space="preserve"> Regime (risk_on / risk_off / transition) is a separate output, computed from macro context + market-breadth features. It's not a per-instrument signal — it's a market-level label applied to all instruments. A separate lightweight classifier (also LightGBM</w:t>
      </w:r>
      <w:r>
        <w:rPr>
          <w:rFonts w:ascii="Times New Roman" w:hAnsi="Times New Roman" w:eastAsia="Times New Roman" w:cs="Times New Roman"/>
          <w:color w:val="000000"/>
          <w:sz w:val="24"/>
        </w:rPr>
        <w:t xml:space="preserve">, also walk-forward validated) produces this.</w:t>
      </w:r>
      <w:r/>
    </w:p>
    <w:p w14:paraId="6F7741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5: Confidence null handling.</w:t>
      </w:r>
      <w:r>
        <w:rPr>
          <w:rFonts w:ascii="Times New Roman" w:hAnsi="Times New Roman" w:eastAsia="Times New Roman" w:cs="Times New Roman"/>
          <w:color w:val="000000"/>
          <w:sz w:val="24"/>
        </w:rPr>
        <w:t xml:space="preserve"> If a pillar can't be scored (data completeness below threshold), it contributes zero weight to the composite and its component block in the output gets </w:t>
      </w:r>
      <w:r>
        <w:rPr>
          <w:rFonts w:ascii="Courier New" w:hAnsi="Courier New" w:eastAsia="Courier New" w:cs="Courier New"/>
          <w:color w:val="000000"/>
          <w:sz w:val="20"/>
        </w:rPr>
        <w:t xml:space="preserve">"confidence": null</w:t>
      </w:r>
      <w:r>
        <w:rPr>
          <w:rFonts w:ascii="Times New Roman" w:hAnsi="Times New Roman" w:eastAsia="Times New Roman" w:cs="Times New Roman"/>
          <w:color w:val="000000"/>
          <w:sz w:val="24"/>
        </w:rPr>
        <w:t xml:space="preserve">. The overall signal confidence is recalculated on the available pillars only. A signal is still served — it's just honest about what it was computed from.</w:t>
      </w:r>
      <w:r/>
    </w:p>
    <w:p w14:paraId="66ACB78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Track A and Track B Actually Deliver to the Revenue Streams</w:t>
      </w:r>
      <w:r/>
    </w:p>
    <w:p w14:paraId="757A2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worth making explicit, because it shapes how the product is packaged: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87"/>
        <w:gridCol w:w="3925"/>
        <w:gridCol w:w="3143"/>
      </w:tblGrid>
      <w:tr>
        <w:trPr/>
        <w:tc>
          <w:tcPr>
            <w:tcBorders/>
            <w:tcMar>
              <w:left w:w="15" w:type="dxa"/>
              <w:top w:w="15" w:type="dxa"/>
              <w:right w:w="15" w:type="dxa"/>
              <w:bottom w:w="15" w:type="dxa"/>
            </w:tcMar>
            <w:tcW w:w="2287" w:type="dxa"/>
            <w:vAlign w:val="center"/>
          </w:tcPr>
          <w:p w14:paraId="4505DB68">
            <w:pPr>
              <w:pBdr/>
              <w:spacing w:after="0" w:before="0" w:line="240"/>
              <w:ind/>
              <w:jc w:val="center"/>
              <w:rPr/>
            </w:pPr>
            <w:r>
              <w:rPr>
                <w:rFonts w:ascii="Times New Roman" w:hAnsi="Times New Roman" w:eastAsia="Times New Roman" w:cs="Times New Roman"/>
                <w:b/>
                <w:color w:val="000000"/>
                <w:sz w:val="24"/>
              </w:rPr>
              <w:t xml:space="preserve">Revenue stream</w:t>
            </w:r>
            <w:r/>
          </w:p>
        </w:tc>
        <w:tc>
          <w:tcPr>
            <w:tcBorders/>
            <w:tcMar>
              <w:left w:w="15" w:type="dxa"/>
              <w:top w:w="15" w:type="dxa"/>
              <w:right w:w="15" w:type="dxa"/>
              <w:bottom w:w="15" w:type="dxa"/>
            </w:tcMar>
            <w:tcW w:w="3925" w:type="dxa"/>
            <w:vAlign w:val="center"/>
          </w:tcPr>
          <w:p w14:paraId="787DB58C">
            <w:pPr>
              <w:pBdr/>
              <w:spacing w:after="0" w:before="0" w:line="240"/>
              <w:ind/>
              <w:jc w:val="center"/>
              <w:rPr/>
            </w:pPr>
            <w:r>
              <w:rPr>
                <w:rFonts w:ascii="Times New Roman" w:hAnsi="Times New Roman" w:eastAsia="Times New Roman" w:cs="Times New Roman"/>
                <w:b/>
                <w:color w:val="000000"/>
                <w:sz w:val="24"/>
              </w:rPr>
              <w:t xml:space="preserve">EDSx contribution</w:t>
            </w:r>
            <w:r/>
          </w:p>
        </w:tc>
        <w:tc>
          <w:tcPr>
            <w:tcBorders/>
            <w:tcMar>
              <w:left w:w="15" w:type="dxa"/>
              <w:top w:w="15" w:type="dxa"/>
              <w:right w:w="15" w:type="dxa"/>
              <w:bottom w:w="15" w:type="dxa"/>
            </w:tcMar>
            <w:tcW w:w="3143" w:type="dxa"/>
            <w:vAlign w:val="center"/>
          </w:tcPr>
          <w:p w14:paraId="17A8707F">
            <w:pPr>
              <w:pBdr/>
              <w:spacing w:after="0" w:before="0" w:line="240"/>
              <w:ind/>
              <w:jc w:val="center"/>
              <w:rPr/>
            </w:pPr>
            <w:r>
              <w:rPr>
                <w:rFonts w:ascii="Times New Roman" w:hAnsi="Times New Roman" w:eastAsia="Times New Roman" w:cs="Times New Roman"/>
                <w:b/>
                <w:color w:val="000000"/>
                <w:sz w:val="24"/>
              </w:rPr>
              <w:t xml:space="preserve">ML contribution</w:t>
            </w:r>
            <w:r/>
          </w:p>
        </w:tc>
      </w:tr>
      <w:tr>
        <w:trPr/>
        <w:tc>
          <w:tcPr>
            <w:tcBorders/>
            <w:tcMar>
              <w:left w:w="15" w:type="dxa"/>
              <w:top w:w="15" w:type="dxa"/>
              <w:right w:w="15" w:type="dxa"/>
              <w:bottom w:w="15" w:type="dxa"/>
            </w:tcMar>
            <w:tcW w:w="2287" w:type="dxa"/>
            <w:vAlign w:val="center"/>
          </w:tcPr>
          <w:p w14:paraId="0F3D10E3">
            <w:pPr>
              <w:pBdr/>
              <w:spacing w:after="0" w:before="0" w:line="240"/>
              <w:ind/>
              <w:rPr/>
            </w:pPr>
            <w:r>
              <w:rPr>
                <w:rFonts w:ascii="Times New Roman" w:hAnsi="Times New Roman" w:eastAsia="Times New Roman" w:cs="Times New Roman"/>
                <w:color w:val="000000"/>
                <w:sz w:val="24"/>
              </w:rPr>
              <w:t xml:space="preserve">Direct subscription (prosumer)</w:t>
            </w:r>
            <w:r/>
          </w:p>
        </w:tc>
        <w:tc>
          <w:tcPr>
            <w:tcBorders/>
            <w:tcMar>
              <w:left w:w="15" w:type="dxa"/>
              <w:top w:w="15" w:type="dxa"/>
              <w:right w:w="15" w:type="dxa"/>
              <w:bottom w:w="15" w:type="dxa"/>
            </w:tcMar>
            <w:tcW w:w="3925" w:type="dxa"/>
            <w:vAlign w:val="center"/>
          </w:tcPr>
          <w:p w14:paraId="66326B9A">
            <w:pPr>
              <w:pBdr/>
              <w:spacing w:after="0" w:before="0" w:line="240"/>
              <w:ind/>
              <w:rPr/>
            </w:pPr>
            <w:r>
              <w:rPr>
                <w:rFonts w:ascii="Times New Roman" w:hAnsi="Times New Roman" w:eastAsia="Times New Roman" w:cs="Times New Roman"/>
                <w:color w:val="000000"/>
                <w:sz w:val="24"/>
              </w:rPr>
              <w:t xml:space="preserve">Human-readable component breakdown, explainable</w:t>
            </w:r>
            <w:r/>
          </w:p>
        </w:tc>
        <w:tc>
          <w:tcPr>
            <w:tcBorders/>
            <w:tcMar>
              <w:left w:w="15" w:type="dxa"/>
              <w:top w:w="15" w:type="dxa"/>
              <w:right w:w="15" w:type="dxa"/>
              <w:bottom w:w="15" w:type="dxa"/>
            </w:tcMar>
            <w:tcW w:w="3143" w:type="dxa"/>
            <w:vAlign w:val="center"/>
          </w:tcPr>
          <w:p w14:paraId="3E95F668">
            <w:pPr>
              <w:pBdr/>
              <w:spacing w:after="0" w:before="0" w:line="240"/>
              <w:ind/>
              <w:rPr/>
            </w:pPr>
            <w:r>
              <w:rPr>
                <w:rFonts w:ascii="Times New Roman" w:hAnsi="Times New Roman" w:eastAsia="Times New Roman" w:cs="Times New Roman"/>
                <w:color w:val="000000"/>
                <w:sz w:val="24"/>
              </w:rPr>
              <w:t xml:space="preserve">Probability scores, confidence intervals</w:t>
            </w:r>
            <w:r/>
          </w:p>
        </w:tc>
      </w:tr>
      <w:tr>
        <w:trPr/>
        <w:tc>
          <w:tcPr>
            <w:tcBorders/>
            <w:tcMar>
              <w:left w:w="15" w:type="dxa"/>
              <w:top w:w="15" w:type="dxa"/>
              <w:right w:w="15" w:type="dxa"/>
              <w:bottom w:w="15" w:type="dxa"/>
            </w:tcMar>
            <w:tcW w:w="2287" w:type="dxa"/>
            <w:vAlign w:val="center"/>
          </w:tcPr>
          <w:p w14:paraId="4BC03D5E">
            <w:pPr>
              <w:pBdr/>
              <w:spacing w:after="0" w:before="0" w:line="240"/>
              <w:ind/>
              <w:rPr/>
            </w:pPr>
            <w:r>
              <w:rPr>
                <w:rFonts w:ascii="Times New Roman" w:hAnsi="Times New Roman" w:eastAsia="Times New Roman" w:cs="Times New Roman"/>
                <w:color w:val="000000"/>
                <w:sz w:val="24"/>
              </w:rPr>
              <w:t xml:space="preserve">API data licensing (B2B)</w:t>
            </w:r>
            <w:r/>
          </w:p>
        </w:tc>
        <w:tc>
          <w:tcPr>
            <w:tcBorders/>
            <w:tcMar>
              <w:left w:w="15" w:type="dxa"/>
              <w:top w:w="15" w:type="dxa"/>
              <w:right w:w="15" w:type="dxa"/>
              <w:bottom w:w="15" w:type="dxa"/>
            </w:tcMar>
            <w:tcW w:w="3925" w:type="dxa"/>
            <w:vAlign w:val="center"/>
          </w:tcPr>
          <w:p w14:paraId="23F566FE">
            <w:pPr>
              <w:pBdr/>
              <w:spacing w:after="0" w:before="0" w:line="240"/>
              <w:ind/>
              <w:rPr/>
            </w:pPr>
            <w:r>
              <w:rPr>
                <w:rFonts w:ascii="Times New Roman" w:hAnsi="Times New Roman" w:eastAsia="Times New Roman" w:cs="Times New Roman"/>
                <w:color w:val="000000"/>
                <w:sz w:val="24"/>
              </w:rPr>
              <w:t xml:space="preserve">Deterministic scores — reproducible, auditable</w:t>
            </w:r>
            <w:r/>
          </w:p>
        </w:tc>
        <w:tc>
          <w:tcPr>
            <w:tcBorders/>
            <w:tcMar>
              <w:left w:w="15" w:type="dxa"/>
              <w:top w:w="15" w:type="dxa"/>
              <w:right w:w="15" w:type="dxa"/>
              <w:bottom w:w="15" w:type="dxa"/>
            </w:tcMar>
            <w:tcW w:w="3143" w:type="dxa"/>
            <w:vAlign w:val="center"/>
          </w:tcPr>
          <w:p w14:paraId="17D63C3B">
            <w:pPr>
              <w:pBdr/>
              <w:spacing w:after="0" w:before="0" w:line="240"/>
              <w:ind/>
              <w:rPr/>
            </w:pPr>
            <w:r>
              <w:rPr>
                <w:rFonts w:ascii="Times New Roman" w:hAnsi="Times New Roman" w:eastAsia="Times New Roman" w:cs="Times New Roman"/>
                <w:color w:val="000000"/>
                <w:sz w:val="24"/>
              </w:rPr>
              <w:t xml:space="preserve">Probabilistic outputs — model-versioned</w:t>
            </w:r>
            <w:r/>
          </w:p>
        </w:tc>
      </w:tr>
      <w:tr>
        <w:trPr/>
        <w:tc>
          <w:tcPr>
            <w:tcBorders/>
            <w:tcMar>
              <w:left w:w="15" w:type="dxa"/>
              <w:top w:w="15" w:type="dxa"/>
              <w:right w:w="15" w:type="dxa"/>
              <w:bottom w:w="15" w:type="dxa"/>
            </w:tcMar>
            <w:tcW w:w="2287" w:type="dxa"/>
            <w:vAlign w:val="center"/>
          </w:tcPr>
          <w:p w14:paraId="7B9D7641">
            <w:pPr>
              <w:pBdr/>
              <w:spacing w:after="0" w:before="0" w:line="240"/>
              <w:ind/>
              <w:rPr/>
            </w:pPr>
            <w:r>
              <w:rPr>
                <w:rFonts w:ascii="Times New Roman" w:hAnsi="Times New Roman" w:eastAsia="Times New Roman" w:cs="Times New Roman"/>
                <w:color w:val="000000"/>
                <w:sz w:val="24"/>
              </w:rPr>
              <w:t xml:space="preserve">Protocol/ecosystem reporting</w:t>
            </w:r>
            <w:r/>
          </w:p>
        </w:tc>
        <w:tc>
          <w:tcPr>
            <w:tcBorders/>
            <w:tcMar>
              <w:left w:w="15" w:type="dxa"/>
              <w:top w:w="15" w:type="dxa"/>
              <w:right w:w="15" w:type="dxa"/>
              <w:bottom w:w="15" w:type="dxa"/>
            </w:tcMar>
            <w:tcW w:w="3925" w:type="dxa"/>
            <w:vAlign w:val="center"/>
          </w:tcPr>
          <w:p w14:paraId="2065F35F">
            <w:pPr>
              <w:pBdr/>
              <w:spacing w:after="0" w:before="0" w:line="240"/>
              <w:ind/>
              <w:rPr/>
            </w:pPr>
            <w:r>
              <w:rPr>
                <w:rFonts w:ascii="Times New Roman" w:hAnsi="Times New Roman" w:eastAsia="Times New Roman" w:cs="Times New Roman"/>
                <w:color w:val="000000"/>
                <w:sz w:val="24"/>
              </w:rPr>
              <w:t xml:space="preserve">Pillar narratives, signal history</w:t>
            </w:r>
            <w:r/>
          </w:p>
        </w:tc>
        <w:tc>
          <w:tcPr>
            <w:tcBorders/>
            <w:tcMar>
              <w:left w:w="15" w:type="dxa"/>
              <w:top w:w="15" w:type="dxa"/>
              <w:right w:w="15" w:type="dxa"/>
              <w:bottom w:w="15" w:type="dxa"/>
            </w:tcMar>
            <w:tcW w:w="3143" w:type="dxa"/>
            <w:vAlign w:val="center"/>
          </w:tcPr>
          <w:p w14:paraId="6E9AC3A5">
            <w:pPr>
              <w:pBdr/>
              <w:spacing w:after="0" w:before="0" w:line="240"/>
              <w:ind/>
              <w:rPr/>
            </w:pPr>
            <w:r>
              <w:rPr>
                <w:rFonts w:ascii="Times New Roman" w:hAnsi="Times New Roman" w:eastAsia="Times New Roman" w:cs="Times New Roman"/>
                <w:color w:val="000000"/>
                <w:sz w:val="24"/>
              </w:rPr>
              <w:t xml:space="preserve">Backtested accuracy, calibration charts</w:t>
            </w:r>
            <w:r/>
          </w:p>
        </w:tc>
      </w:tr>
      <w:tr>
        <w:trPr/>
        <w:tc>
          <w:tcPr>
            <w:tcBorders/>
            <w:tcMar>
              <w:left w:w="15" w:type="dxa"/>
              <w:top w:w="15" w:type="dxa"/>
              <w:right w:w="15" w:type="dxa"/>
              <w:bottom w:w="15" w:type="dxa"/>
            </w:tcMar>
            <w:tcW w:w="2287" w:type="dxa"/>
            <w:vAlign w:val="center"/>
          </w:tcPr>
          <w:p w14:paraId="23F49FD2">
            <w:pPr>
              <w:pBdr/>
              <w:spacing w:after="0" w:before="0" w:line="240"/>
              <w:ind/>
              <w:rPr/>
            </w:pPr>
            <w:r>
              <w:rPr>
                <w:rFonts w:ascii="Times New Roman" w:hAnsi="Times New Roman" w:eastAsia="Times New Roman" w:cs="Times New Roman"/>
                <w:color w:val="000000"/>
                <w:sz w:val="24"/>
              </w:rPr>
              <w:t xml:space="preserve">Index/benchmark licensing</w:t>
            </w:r>
            <w:r/>
          </w:p>
        </w:tc>
        <w:tc>
          <w:tcPr>
            <w:tcBorders/>
            <w:tcMar>
              <w:left w:w="15" w:type="dxa"/>
              <w:top w:w="15" w:type="dxa"/>
              <w:right w:w="15" w:type="dxa"/>
              <w:bottom w:w="15" w:type="dxa"/>
            </w:tcMar>
            <w:tcW w:w="3925" w:type="dxa"/>
            <w:vAlign w:val="center"/>
          </w:tcPr>
          <w:p w14:paraId="774DA5C5">
            <w:pPr>
              <w:pBdr/>
              <w:spacing w:after="0" w:before="0" w:line="240"/>
              <w:ind/>
              <w:rPr/>
            </w:pPr>
            <w:r>
              <w:rPr>
                <w:rFonts w:ascii="Times New Roman" w:hAnsi="Times New Roman" w:eastAsia="Times New Roman" w:cs="Times New Roman"/>
                <w:color w:val="000000"/>
                <w:sz w:val="24"/>
              </w:rPr>
              <w:t xml:space="preserve">Rules-based — ideal for benchmark construction</w:t>
            </w:r>
            <w:r/>
          </w:p>
        </w:tc>
        <w:tc>
          <w:tcPr>
            <w:tcBorders/>
            <w:tcMar>
              <w:left w:w="15" w:type="dxa"/>
              <w:top w:w="15" w:type="dxa"/>
              <w:right w:w="15" w:type="dxa"/>
              <w:bottom w:w="15" w:type="dxa"/>
            </w:tcMar>
            <w:tcW w:w="3143" w:type="dxa"/>
            <w:vAlign w:val="center"/>
          </w:tcPr>
          <w:p w14:paraId="214A7727">
            <w:pPr>
              <w:pBdr/>
              <w:spacing w:after="0" w:before="0" w:line="240"/>
              <w:ind/>
              <w:rPr/>
            </w:pPr>
            <w:r>
              <w:rPr>
                <w:rFonts w:ascii="Times New Roman" w:hAnsi="Times New Roman" w:eastAsia="Times New Roman" w:cs="Times New Roman"/>
                <w:color w:val="000000"/>
                <w:sz w:val="24"/>
              </w:rPr>
              <w:t xml:space="preserve">Supporting signal, not the index definition</w:t>
            </w:r>
            <w:r/>
          </w:p>
        </w:tc>
      </w:tr>
      <w:tr>
        <w:trPr/>
        <w:tc>
          <w:tcPr>
            <w:tcBorders/>
            <w:tcMar>
              <w:left w:w="15" w:type="dxa"/>
              <w:top w:w="15" w:type="dxa"/>
              <w:right w:w="15" w:type="dxa"/>
              <w:bottom w:w="15" w:type="dxa"/>
            </w:tcMar>
            <w:tcW w:w="2287" w:type="dxa"/>
            <w:vAlign w:val="center"/>
          </w:tcPr>
          <w:p w14:paraId="263901AB">
            <w:pPr>
              <w:pBdr/>
              <w:spacing w:after="0" w:before="0" w:line="240"/>
              <w:ind/>
              <w:rPr/>
            </w:pPr>
            <w:r>
              <w:rPr>
                <w:rFonts w:ascii="Times New Roman" w:hAnsi="Times New Roman" w:eastAsia="Times New Roman" w:cs="Times New Roman"/>
                <w:color w:val="000000"/>
                <w:sz w:val="24"/>
              </w:rPr>
              <w:t xml:space="preserve">Embedded analytics</w:t>
            </w:r>
            <w:r/>
          </w:p>
        </w:tc>
        <w:tc>
          <w:tcPr>
            <w:tcBorders/>
            <w:tcMar>
              <w:left w:w="15" w:type="dxa"/>
              <w:top w:w="15" w:type="dxa"/>
              <w:right w:w="15" w:type="dxa"/>
              <w:bottom w:w="15" w:type="dxa"/>
            </w:tcMar>
            <w:tcW w:w="3925" w:type="dxa"/>
            <w:vAlign w:val="center"/>
          </w:tcPr>
          <w:p w14:paraId="6B971831">
            <w:pPr>
              <w:pBdr/>
              <w:spacing w:after="0" w:before="0" w:line="240"/>
              <w:ind/>
              <w:rPr/>
            </w:pPr>
            <w:r>
              <w:rPr>
                <w:rFonts w:ascii="Times New Roman" w:hAnsi="Times New Roman" w:eastAsia="Times New Roman" w:cs="Times New Roman"/>
                <w:color w:val="000000"/>
                <w:sz w:val="24"/>
              </w:rPr>
              <w:t xml:space="preserve">Full synthesis signal</w:t>
            </w:r>
            <w:r/>
          </w:p>
        </w:tc>
        <w:tc>
          <w:tcPr>
            <w:tcBorders/>
            <w:tcMar>
              <w:left w:w="15" w:type="dxa"/>
              <w:top w:w="15" w:type="dxa"/>
              <w:right w:w="15" w:type="dxa"/>
              <w:bottom w:w="15" w:type="dxa"/>
            </w:tcMar>
            <w:tcW w:w="3143" w:type="dxa"/>
            <w:vAlign w:val="center"/>
          </w:tcPr>
          <w:p w14:paraId="130D8135">
            <w:pPr>
              <w:pBdr/>
              <w:spacing w:after="0" w:before="0" w:line="240"/>
              <w:ind/>
              <w:rPr/>
            </w:pPr>
            <w:r>
              <w:rPr>
                <w:rFonts w:ascii="Times New Roman" w:hAnsi="Times New Roman" w:eastAsia="Times New Roman" w:cs="Times New Roman"/>
                <w:color w:val="000000"/>
                <w:sz w:val="24"/>
              </w:rPr>
              <w:t xml:space="preserve">Both tracks served</w:t>
            </w:r>
            <w:r/>
          </w:p>
        </w:tc>
      </w:tr>
    </w:tbl>
    <w:p w14:paraId="1A1BF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EDSx is what makes the product auditable and licensable. ML is what makes it accurate and defensible against quant scrutiny.</w:t>
      </w:r>
      <w:r/>
    </w:p>
    <w:p w14:paraId="3899C46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Instrument Coverage Strategy</w:t>
      </w:r>
      <w:r/>
    </w:p>
    <w:p w14:paraId="37DA8D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resolves the 3-asset concern directly. Coverage is determined by data completeness at the pillar level, not by manual selection.</w:t>
      </w:r>
      <w:r/>
    </w:p>
    <w:p w14:paraId="6A00FF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instrument is </w:t>
      </w:r>
      <w:r>
        <w:rPr>
          <w:rFonts w:ascii="Times New Roman" w:hAnsi="Times New Roman" w:eastAsia="Times New Roman" w:cs="Times New Roman"/>
          <w:b/>
          <w:color w:val="000000"/>
          <w:sz w:val="24"/>
        </w:rPr>
        <w:t xml:space="preserve">signal-eligible</w:t>
      </w:r>
      <w:r>
        <w:rPr>
          <w:rFonts w:ascii="Times New Roman" w:hAnsi="Times New Roman" w:eastAsia="Times New Roman" w:cs="Times New Roman"/>
          <w:color w:val="000000"/>
          <w:sz w:val="24"/>
        </w:rPr>
        <w:t xml:space="preserve"> when:</w:t>
      </w:r>
      <w:r/>
    </w:p>
    <w:p w14:paraId="36249FD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Derivatives pillar: funding rate + OI data available at required cadence (Coinalyze currently covers 121 instruments)</w:t>
      </w:r>
      <w:r/>
    </w:p>
    <w:p w14:paraId="1935678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Flows pillar: exchange flow data available OR stablecoin proxy available</w:t>
      </w:r>
      <w:r/>
    </w:p>
    <w:p w14:paraId="62F45D9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 pillar: applicable for DeFi-native assets; non-applicable instruments get null confidence on this pillar without penalizing the signal</w:t>
      </w:r>
      <w:r/>
    </w:p>
    <w:p w14:paraId="1C40ADC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Macro pillar: market-level, applies to all instruments uniformly</w:t>
      </w:r>
      <w:r/>
    </w:p>
    <w:p w14:paraId="32478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practice, this means the signal product launches with the full set of instruments Coinalyze covers on derivatives, which is already well beyond BTC/ETH/SOL. DeFi pillar is optional per instrument. Macro pillar is universal. Flows pillar expands as the E</w:t>
      </w:r>
      <w:r>
        <w:rPr>
          <w:rFonts w:ascii="Times New Roman" w:hAnsi="Times New Roman" w:eastAsia="Times New Roman" w:cs="Times New Roman"/>
          <w:color w:val="000000"/>
          <w:sz w:val="24"/>
        </w:rPr>
        <w:t xml:space="preserve">xplorer agent coverage expands.</w:t>
      </w:r>
      <w:r/>
    </w:p>
    <w:p w14:paraId="6D89F0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instrument catalog is a data decision (Thread 4), not a product decision made here. But the signal architecture doesn't artificially constrain it.</w:t>
      </w:r>
      <w:r/>
    </w:p>
    <w:p w14:paraId="53F2941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 Requirements Handed to Thread 3</w:t>
      </w:r>
      <w:r/>
    </w:p>
    <w:p w14:paraId="764E4D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Thread 2 → Thread 3 contract. Feature Engineering must produce:</w:t>
      </w:r>
      <w:r/>
    </w:p>
    <w:p w14:paraId="5FA16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Derivatives pillar features (per instrument, per 8h period):</w:t>
      </w:r>
      <w:r/>
    </w:p>
    <w:p w14:paraId="6C92E98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Funding rate: raw, z-score vs. 30d window, z-score vs. 90d window</w:t>
      </w:r>
      <w:r/>
    </w:p>
    <w:p w14:paraId="1CCE445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interest: raw USD, 1d change %, 7d change %, z-score</w:t>
      </w:r>
      <w:r/>
    </w:p>
    <w:p w14:paraId="1235EEC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Liquidations: long liquidations USD, short liquidations USD, net liquidation direction, 24h rolling sum</w:t>
      </w:r>
      <w:r/>
    </w:p>
    <w:p w14:paraId="147B023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Perpetual basis: spot vs. perp premium/discount</w:t>
      </w:r>
      <w:r/>
    </w:p>
    <w:p w14:paraId="486DE79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Options: delta skew (where available), IV term structure slope (where available)</w:t>
      </w:r>
      <w:r/>
    </w:p>
    <w:p w14:paraId="22A47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Flows pillar features (per instrument, daily):</w:t>
      </w:r>
      <w:r/>
    </w:p>
    <w:p w14:paraId="0D5F95C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Exchange net flows: net inflow/outflow USD, 7d rolling sum, z-score</w:t>
      </w:r>
      <w:r/>
    </w:p>
    <w:p w14:paraId="5ACC33E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Stablecoin supply change: 1d, 7d, 30d</w:t>
      </w:r>
      <w:r/>
    </w:p>
    <w:p w14:paraId="309243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ETF flows: daily net flow USD, 7d cumulative (BTC/ETH/SOL)</w:t>
      </w:r>
      <w:r/>
    </w:p>
    <w:p w14:paraId="2506479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On-chain transfer volume: USD denominated, 7d MA</w:t>
      </w:r>
      <w:r/>
    </w:p>
    <w:p w14:paraId="19CA6E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DeFi pillar features (market-level, daily):</w:t>
      </w:r>
      <w:r/>
    </w:p>
    <w:p w14:paraId="6F9B29A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TVL: raw, 1d change %, 7d change %</w:t>
      </w:r>
      <w:r/>
    </w:p>
    <w:p w14:paraId="720184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DEX volume: 1d, 7d MA, 30d MA</w:t>
      </w:r>
      <w:r/>
    </w:p>
    <w:p w14:paraId="7FBFA2C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Lending utilization rates: weighted average across protocols</w:t>
      </w:r>
      <w:r/>
    </w:p>
    <w:p w14:paraId="3A4EE66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Stablecoin peg deviation: max deviation across major stablecoins</w:t>
      </w:r>
      <w:r/>
    </w:p>
    <w:p w14:paraId="54896A2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Per-protocol TVL change for top 20 protocols</w:t>
      </w:r>
      <w:r/>
    </w:p>
    <w:p w14:paraId="26809A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Macro pillar features (weekly/daily from FRED):</w:t>
      </w:r>
      <w:r/>
    </w:p>
    <w:p w14:paraId="09C790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Yield curve: 10Y-2Y spread</w:t>
      </w:r>
      <w:r/>
    </w:p>
    <w:p w14:paraId="25AE3F1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Dollar index: raw, 1d change, 30d trend</w:t>
      </w:r>
      <w:r/>
    </w:p>
    <w:p w14:paraId="6213AA0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Credit spreads: HY OAS</w:t>
      </w:r>
      <w:r/>
    </w:p>
    <w:p w14:paraId="08223B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Fed funds rate: current, implied path from futures (where available)</w:t>
      </w:r>
      <w:r/>
    </w:p>
    <w:p w14:paraId="2A3E7E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Risk-on/risk-off composite: derived from above</w:t>
      </w:r>
      <w:r/>
    </w:p>
    <w:p w14:paraId="14450A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Cross-asset / breadth features (ML only, market-level):</w:t>
      </w:r>
      <w:r/>
    </w:p>
    <w:p w14:paraId="4F4133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Median funding rate across all instruments</w:t>
      </w:r>
      <w:r/>
    </w:p>
    <w:p w14:paraId="3D91F3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of instruments with positive funding</w:t>
      </w:r>
      <w:r/>
    </w:p>
    <w:p w14:paraId="00F06AE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of instruments with increasing OI</w:t>
      </w:r>
      <w:r/>
    </w:p>
    <w:p w14:paraId="525058D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Sector-level capital flow aggregates</w:t>
      </w:r>
      <w:r/>
    </w:p>
    <w:p w14:paraId="4285C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Label construction feature (training only):</w:t>
      </w:r>
      <w:r/>
    </w:p>
    <w:p w14:paraId="7077C5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14-day forward return per instrument</w:t>
      </w:r>
      <w:r/>
    </w:p>
    <w:p w14:paraId="36A708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Volume-adjusted (weighted by daily volume in training window)</w:t>
      </w:r>
      <w:r/>
    </w:p>
    <w:p w14:paraId="768B2D6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Discretized to tercile boundaries computed on training set</w:t>
      </w:r>
      <w:r/>
    </w:p>
    <w:p w14:paraId="644BA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PIT constraint:</w:t>
      </w:r>
      <w:r>
        <w:rPr>
          <w:rFonts w:ascii="Times New Roman" w:hAnsi="Times New Roman" w:eastAsia="Times New Roman" w:cs="Times New Roman"/>
          <w:color w:val="000000"/>
          <w:sz w:val="24"/>
        </w:rPr>
        <w:t xml:space="preserve"> All features must be computable using only data available at the computation timestamp. No look-ahead. Walk-forward training enforces this for ML; EDSx rules must be audited to confirm no feature implicitly uses forward data.</w:t>
      </w:r>
      <w:r/>
    </w:p>
    <w:p w14:paraId="2CF14B7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Monitoring and Health</w:t>
      </w:r>
      <w:r/>
    </w:p>
    <w:p w14:paraId="072D58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Signal layer health monitoring is non-negotiable for a revenue product. Required:</w:t>
      </w:r>
      <w:r/>
    </w:p>
    <w:p w14:paraId="58AB3E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Directional accuracy tracking:</w:t>
      </w:r>
      <w:r>
        <w:rPr>
          <w:rFonts w:ascii="Times New Roman" w:hAnsi="Times New Roman" w:eastAsia="Times New Roman" w:cs="Times New Roman"/>
          <w:color w:val="000000"/>
          <w:sz w:val="24"/>
        </w:rPr>
        <w:t xml:space="preserve"> rolling 14d, 30d, 90d accuracy per instrument per track, logged continuously</w:t>
      </w:r>
      <w:r/>
    </w:p>
    <w:p w14:paraId="75BCAE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Confidence calibration monitoring:</w:t>
      </w:r>
      <w:r>
        <w:rPr>
          <w:rFonts w:ascii="Times New Roman" w:hAnsi="Times New Roman" w:eastAsia="Times New Roman" w:cs="Times New Roman"/>
          <w:color w:val="000000"/>
          <w:sz w:val="24"/>
        </w:rPr>
        <w:t xml:space="preserve"> expected vs. actual accuracy at each confidence band</w:t>
      </w:r>
      <w:r/>
    </w:p>
    <w:p w14:paraId="51C385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Track agreement rate:</w:t>
      </w:r>
      <w:r>
        <w:rPr>
          <w:rFonts w:ascii="Times New Roman" w:hAnsi="Times New Roman" w:eastAsia="Times New Roman" w:cs="Times New Roman"/>
          <w:color w:val="000000"/>
          <w:sz w:val="24"/>
        </w:rPr>
        <w:t xml:space="preserve"> % of signals where EDSx and ML agree — sustained disagreement is a data quality signal</w:t>
      </w:r>
      <w:r/>
    </w:p>
    <w:p w14:paraId="7C52CC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Coverage rate:</w:t>
      </w:r>
      <w:r>
        <w:rPr>
          <w:rFonts w:ascii="Times New Roman" w:hAnsi="Times New Roman" w:eastAsia="Times New Roman" w:cs="Times New Roman"/>
          <w:color w:val="000000"/>
          <w:sz w:val="24"/>
        </w:rPr>
        <w:t xml:space="preserve"> % of signal-eligible instruments successfully scored each run — gaps indicate data pipeline issues</w:t>
      </w:r>
      <w:r/>
    </w:p>
    <w:p w14:paraId="1558577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Staleness flag:</w:t>
      </w:r>
      <w:r>
        <w:rPr>
          <w:rFonts w:ascii="Times New Roman" w:hAnsi="Times New Roman" w:eastAsia="Times New Roman" w:cs="Times New Roman"/>
          <w:color w:val="000000"/>
          <w:sz w:val="24"/>
        </w:rPr>
        <w:t xml:space="preserve"> if input features are older than the expected cadence, signal is flagged stale in the output</w:t>
      </w:r>
      <w:r/>
    </w:p>
    <w:p w14:paraId="7F34402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Model drift detection:</w:t>
      </w:r>
      <w:r>
        <w:rPr>
          <w:rFonts w:ascii="Times New Roman" w:hAnsi="Times New Roman" w:eastAsia="Times New Roman" w:cs="Times New Roman"/>
          <w:color w:val="000000"/>
          <w:sz w:val="24"/>
        </w:rPr>
        <w:t xml:space="preserve"> feature distributions monitored against training distribution — significant drift triggers retraining review</w:t>
      </w:r>
      <w:r/>
    </w:p>
    <w:p w14:paraId="15FB58F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Decisions Locked by Thread 2</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99"/>
        <w:gridCol w:w="6855"/>
      </w:tblGrid>
      <w:tr>
        <w:trPr/>
        <w:tc>
          <w:tcPr>
            <w:tcBorders/>
            <w:tcMar>
              <w:left w:w="15" w:type="dxa"/>
              <w:top w:w="15" w:type="dxa"/>
              <w:right w:w="15" w:type="dxa"/>
              <w:bottom w:w="15" w:type="dxa"/>
            </w:tcMar>
            <w:tcW w:w="2499" w:type="dxa"/>
            <w:vAlign w:val="center"/>
          </w:tcPr>
          <w:p w14:paraId="1C5058E8">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6855" w:type="dxa"/>
            <w:vAlign w:val="center"/>
          </w:tcPr>
          <w:p w14:paraId="7F7651D8">
            <w:pPr>
              <w:pBdr/>
              <w:spacing w:after="0" w:before="0" w:line="240"/>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2499" w:type="dxa"/>
            <w:vAlign w:val="center"/>
          </w:tcPr>
          <w:p w14:paraId="587B9397">
            <w:pPr>
              <w:pBdr/>
              <w:spacing w:after="0" w:before="0" w:line="240"/>
              <w:ind/>
              <w:rPr/>
            </w:pPr>
            <w:r>
              <w:rPr>
                <w:rFonts w:ascii="Times New Roman" w:hAnsi="Times New Roman" w:eastAsia="Times New Roman" w:cs="Times New Roman"/>
                <w:color w:val="000000"/>
                <w:sz w:val="24"/>
              </w:rPr>
              <w:t xml:space="preserve">Track architecture</w:t>
            </w:r>
            <w:r/>
          </w:p>
        </w:tc>
        <w:tc>
          <w:tcPr>
            <w:tcBorders/>
            <w:tcMar>
              <w:left w:w="15" w:type="dxa"/>
              <w:top w:w="15" w:type="dxa"/>
              <w:right w:w="15" w:type="dxa"/>
              <w:bottom w:w="15" w:type="dxa"/>
            </w:tcMar>
            <w:tcW w:w="6855" w:type="dxa"/>
            <w:vAlign w:val="center"/>
          </w:tcPr>
          <w:p w14:paraId="7B021BDB">
            <w:pPr>
              <w:pBdr/>
              <w:spacing w:after="0" w:before="0" w:line="240"/>
              <w:ind/>
              <w:rPr/>
            </w:pPr>
            <w:r>
              <w:rPr>
                <w:rFonts w:ascii="Times New Roman" w:hAnsi="Times New Roman" w:eastAsia="Times New Roman" w:cs="Times New Roman"/>
                <w:color w:val="000000"/>
                <w:sz w:val="24"/>
              </w:rPr>
              <w:t xml:space="preserve">Two independent tracks (EDSx + ML), shared data and features</w:t>
            </w:r>
            <w:r/>
          </w:p>
        </w:tc>
      </w:tr>
      <w:tr>
        <w:trPr/>
        <w:tc>
          <w:tcPr>
            <w:tcBorders/>
            <w:tcMar>
              <w:left w:w="15" w:type="dxa"/>
              <w:top w:w="15" w:type="dxa"/>
              <w:right w:w="15" w:type="dxa"/>
              <w:bottom w:w="15" w:type="dxa"/>
            </w:tcMar>
            <w:tcW w:w="2499" w:type="dxa"/>
            <w:vAlign w:val="center"/>
          </w:tcPr>
          <w:p w14:paraId="76F3964E">
            <w:pPr>
              <w:pBdr/>
              <w:spacing w:after="0" w:before="0" w:line="240"/>
              <w:ind/>
              <w:rPr/>
            </w:pPr>
            <w:r>
              <w:rPr>
                <w:rFonts w:ascii="Times New Roman" w:hAnsi="Times New Roman" w:eastAsia="Times New Roman" w:cs="Times New Roman"/>
                <w:color w:val="000000"/>
                <w:sz w:val="24"/>
              </w:rPr>
              <w:t xml:space="preserve">EDSx confidence semantics</w:t>
            </w:r>
            <w:r/>
          </w:p>
        </w:tc>
        <w:tc>
          <w:tcPr>
            <w:tcBorders/>
            <w:tcMar>
              <w:left w:w="15" w:type="dxa"/>
              <w:top w:w="15" w:type="dxa"/>
              <w:right w:w="15" w:type="dxa"/>
              <w:bottom w:w="15" w:type="dxa"/>
            </w:tcMar>
            <w:tcW w:w="6855" w:type="dxa"/>
            <w:vAlign w:val="center"/>
          </w:tcPr>
          <w:p w14:paraId="0D12D87E">
            <w:pPr>
              <w:pBdr/>
              <w:spacing w:after="0" w:before="0" w:line="240"/>
              <w:ind/>
              <w:rPr/>
            </w:pPr>
            <w:r>
              <w:rPr>
                <w:rFonts w:ascii="Times New Roman" w:hAnsi="Times New Roman" w:eastAsia="Times New Roman" w:cs="Times New Roman"/>
                <w:color w:val="000000"/>
                <w:sz w:val="24"/>
              </w:rPr>
              <w:t xml:space="preserve">Data completeness, not prediction confidence</w:t>
            </w:r>
            <w:r/>
          </w:p>
        </w:tc>
      </w:tr>
      <w:tr>
        <w:trPr/>
        <w:tc>
          <w:tcPr>
            <w:tcBorders/>
            <w:tcMar>
              <w:left w:w="15" w:type="dxa"/>
              <w:top w:w="15" w:type="dxa"/>
              <w:right w:w="15" w:type="dxa"/>
              <w:bottom w:w="15" w:type="dxa"/>
            </w:tcMar>
            <w:tcW w:w="2499" w:type="dxa"/>
            <w:vAlign w:val="center"/>
          </w:tcPr>
          <w:p w14:paraId="6228361A">
            <w:pPr>
              <w:pBdr/>
              <w:spacing w:after="0" w:before="0" w:line="240"/>
              <w:ind/>
              <w:rPr/>
            </w:pPr>
            <w:r>
              <w:rPr>
                <w:rFonts w:ascii="Times New Roman" w:hAnsi="Times New Roman" w:eastAsia="Times New Roman" w:cs="Times New Roman"/>
                <w:color w:val="000000"/>
                <w:sz w:val="24"/>
              </w:rPr>
              <w:t xml:space="preserve">Pillar count</w:t>
            </w:r>
            <w:r/>
          </w:p>
        </w:tc>
        <w:tc>
          <w:tcPr>
            <w:tcBorders/>
            <w:tcMar>
              <w:left w:w="15" w:type="dxa"/>
              <w:top w:w="15" w:type="dxa"/>
              <w:right w:w="15" w:type="dxa"/>
              <w:bottom w:w="15" w:type="dxa"/>
            </w:tcMar>
            <w:tcW w:w="6855" w:type="dxa"/>
            <w:vAlign w:val="center"/>
          </w:tcPr>
          <w:p w14:paraId="1D7300E5">
            <w:pPr>
              <w:pBdr/>
              <w:spacing w:after="0" w:before="0" w:line="240"/>
              <w:ind/>
              <w:rPr/>
            </w:pPr>
            <w:r>
              <w:rPr>
                <w:rFonts w:ascii="Times New Roman" w:hAnsi="Times New Roman" w:eastAsia="Times New Roman" w:cs="Times New Roman"/>
                <w:color w:val="000000"/>
                <w:sz w:val="24"/>
              </w:rPr>
              <w:t xml:space="preserve">Four: derivatives, flows, DeFi, macro</w:t>
            </w:r>
            <w:r/>
          </w:p>
        </w:tc>
      </w:tr>
      <w:tr>
        <w:trPr/>
        <w:tc>
          <w:tcPr>
            <w:tcBorders/>
            <w:tcMar>
              <w:left w:w="15" w:type="dxa"/>
              <w:top w:w="15" w:type="dxa"/>
              <w:right w:w="15" w:type="dxa"/>
              <w:bottom w:w="15" w:type="dxa"/>
            </w:tcMar>
            <w:tcW w:w="2499" w:type="dxa"/>
            <w:vAlign w:val="center"/>
          </w:tcPr>
          <w:p w14:paraId="028B1F7B">
            <w:pPr>
              <w:pBdr/>
              <w:spacing w:after="0" w:before="0" w:line="240"/>
              <w:ind/>
              <w:rPr/>
            </w:pPr>
            <w:r>
              <w:rPr>
                <w:rFonts w:ascii="Times New Roman" w:hAnsi="Times New Roman" w:eastAsia="Times New Roman" w:cs="Times New Roman"/>
                <w:color w:val="000000"/>
                <w:sz w:val="24"/>
              </w:rPr>
              <w:t xml:space="preserve">ML model count</w:t>
            </w:r>
            <w:r/>
          </w:p>
        </w:tc>
        <w:tc>
          <w:tcPr>
            <w:tcBorders/>
            <w:tcMar>
              <w:left w:w="15" w:type="dxa"/>
              <w:top w:w="15" w:type="dxa"/>
              <w:right w:w="15" w:type="dxa"/>
              <w:bottom w:w="15" w:type="dxa"/>
            </w:tcMar>
            <w:tcW w:w="6855" w:type="dxa"/>
            <w:vAlign w:val="center"/>
          </w:tcPr>
          <w:p w14:paraId="52B02197">
            <w:pPr>
              <w:pBdr/>
              <w:spacing w:after="0" w:before="0" w:line="240"/>
              <w:ind/>
              <w:rPr/>
            </w:pPr>
            <w:r>
              <w:rPr>
                <w:rFonts w:ascii="Times New Roman" w:hAnsi="Times New Roman" w:eastAsia="Times New Roman" w:cs="Times New Roman"/>
                <w:color w:val="000000"/>
                <w:sz w:val="24"/>
              </w:rPr>
              <w:t xml:space="preserve">Five: four domain models + one synthesis model</w:t>
            </w:r>
            <w:r/>
          </w:p>
        </w:tc>
      </w:tr>
      <w:tr>
        <w:trPr/>
        <w:tc>
          <w:tcPr>
            <w:tcBorders/>
            <w:tcMar>
              <w:left w:w="15" w:type="dxa"/>
              <w:top w:w="15" w:type="dxa"/>
              <w:right w:w="15" w:type="dxa"/>
              <w:bottom w:w="15" w:type="dxa"/>
            </w:tcMar>
            <w:tcW w:w="2499" w:type="dxa"/>
            <w:vAlign w:val="center"/>
          </w:tcPr>
          <w:p w14:paraId="49AA7E04">
            <w:pPr>
              <w:pBdr/>
              <w:spacing w:after="0" w:before="0" w:line="240"/>
              <w:ind/>
              <w:rPr/>
            </w:pPr>
            <w:r>
              <w:rPr>
                <w:rFonts w:ascii="Times New Roman" w:hAnsi="Times New Roman" w:eastAsia="Times New Roman" w:cs="Times New Roman"/>
                <w:color w:val="000000"/>
                <w:sz w:val="24"/>
              </w:rPr>
              <w:t xml:space="preserve">ML algorithm</w:t>
            </w:r>
            <w:r/>
          </w:p>
        </w:tc>
        <w:tc>
          <w:tcPr>
            <w:tcBorders/>
            <w:tcMar>
              <w:left w:w="15" w:type="dxa"/>
              <w:top w:w="15" w:type="dxa"/>
              <w:right w:w="15" w:type="dxa"/>
              <w:bottom w:w="15" w:type="dxa"/>
            </w:tcMar>
            <w:tcW w:w="6855" w:type="dxa"/>
            <w:vAlign w:val="center"/>
          </w:tcPr>
          <w:p w14:paraId="25394ECB">
            <w:pPr>
              <w:pBdr/>
              <w:spacing w:after="0" w:before="0" w:line="240"/>
              <w:ind/>
              <w:rPr/>
            </w:pPr>
            <w:r>
              <w:rPr>
                <w:rFonts w:ascii="Times New Roman" w:hAnsi="Times New Roman" w:eastAsia="Times New Roman" w:cs="Times New Roman"/>
                <w:color w:val="000000"/>
                <w:sz w:val="24"/>
              </w:rPr>
              <w:t xml:space="preserve">LightGBM with isotonic calibration</w:t>
            </w:r>
            <w:r/>
          </w:p>
        </w:tc>
      </w:tr>
      <w:tr>
        <w:trPr/>
        <w:tc>
          <w:tcPr>
            <w:tcBorders/>
            <w:tcMar>
              <w:left w:w="15" w:type="dxa"/>
              <w:top w:w="15" w:type="dxa"/>
              <w:right w:w="15" w:type="dxa"/>
              <w:bottom w:w="15" w:type="dxa"/>
            </w:tcMar>
            <w:tcW w:w="2499" w:type="dxa"/>
            <w:vAlign w:val="center"/>
          </w:tcPr>
          <w:p w14:paraId="394E8A85">
            <w:pPr>
              <w:pBdr/>
              <w:spacing w:after="0" w:before="0" w:line="240"/>
              <w:ind/>
              <w:rPr/>
            </w:pPr>
            <w:r>
              <w:rPr>
                <w:rFonts w:ascii="Times New Roman" w:hAnsi="Times New Roman" w:eastAsia="Times New Roman" w:cs="Times New Roman"/>
                <w:color w:val="000000"/>
                <w:sz w:val="24"/>
              </w:rPr>
              <w:t xml:space="preserve">Prediction horizon</w:t>
            </w:r>
            <w:r/>
          </w:p>
        </w:tc>
        <w:tc>
          <w:tcPr>
            <w:tcBorders/>
            <w:tcMar>
              <w:left w:w="15" w:type="dxa"/>
              <w:top w:w="15" w:type="dxa"/>
              <w:right w:w="15" w:type="dxa"/>
              <w:bottom w:w="15" w:type="dxa"/>
            </w:tcMar>
            <w:tcW w:w="6855" w:type="dxa"/>
            <w:vAlign w:val="center"/>
          </w:tcPr>
          <w:p w14:paraId="74684D87">
            <w:pPr>
              <w:pBdr/>
              <w:spacing w:after="0" w:before="0" w:line="240"/>
              <w:ind/>
              <w:rPr/>
            </w:pPr>
            <w:r>
              <w:rPr>
                <w:rFonts w:ascii="Times New Roman" w:hAnsi="Times New Roman" w:eastAsia="Times New Roman" w:cs="Times New Roman"/>
                <w:color w:val="000000"/>
                <w:sz w:val="24"/>
              </w:rPr>
              <w:t xml:space="preserve">14 days, volume-adjusted labels</w:t>
            </w:r>
            <w:r/>
          </w:p>
        </w:tc>
      </w:tr>
      <w:tr>
        <w:trPr/>
        <w:tc>
          <w:tcPr>
            <w:tcBorders/>
            <w:tcMar>
              <w:left w:w="15" w:type="dxa"/>
              <w:top w:w="15" w:type="dxa"/>
              <w:right w:w="15" w:type="dxa"/>
              <w:bottom w:w="15" w:type="dxa"/>
            </w:tcMar>
            <w:tcW w:w="2499" w:type="dxa"/>
            <w:vAlign w:val="center"/>
          </w:tcPr>
          <w:p w14:paraId="369CF93A">
            <w:pPr>
              <w:pBdr/>
              <w:spacing w:after="0" w:before="0" w:line="240"/>
              <w:ind/>
              <w:rPr/>
            </w:pPr>
            <w:r>
              <w:rPr>
                <w:rFonts w:ascii="Times New Roman" w:hAnsi="Times New Roman" w:eastAsia="Times New Roman" w:cs="Times New Roman"/>
                <w:color w:val="000000"/>
                <w:sz w:val="24"/>
              </w:rPr>
              <w:t xml:space="preserve">Label discretization</w:t>
            </w:r>
            <w:r/>
          </w:p>
        </w:tc>
        <w:tc>
          <w:tcPr>
            <w:tcBorders/>
            <w:tcMar>
              <w:left w:w="15" w:type="dxa"/>
              <w:top w:w="15" w:type="dxa"/>
              <w:right w:w="15" w:type="dxa"/>
              <w:bottom w:w="15" w:type="dxa"/>
            </w:tcMar>
            <w:tcW w:w="6855" w:type="dxa"/>
            <w:vAlign w:val="center"/>
          </w:tcPr>
          <w:p w14:paraId="72678F7B">
            <w:pPr>
              <w:pBdr/>
              <w:spacing w:after="0" w:before="0" w:line="240"/>
              <w:ind/>
              <w:rPr/>
            </w:pPr>
            <w:r>
              <w:rPr>
                <w:rFonts w:ascii="Times New Roman" w:hAnsi="Times New Roman" w:eastAsia="Times New Roman" w:cs="Times New Roman"/>
                <w:color w:val="000000"/>
                <w:sz w:val="24"/>
              </w:rPr>
              <w:t xml:space="preserve">Tercile boundaries on training set, recalculated each cycle</w:t>
            </w:r>
            <w:r/>
          </w:p>
        </w:tc>
      </w:tr>
      <w:tr>
        <w:trPr/>
        <w:tc>
          <w:tcPr>
            <w:tcBorders/>
            <w:tcMar>
              <w:left w:w="15" w:type="dxa"/>
              <w:top w:w="15" w:type="dxa"/>
              <w:right w:w="15" w:type="dxa"/>
              <w:bottom w:w="15" w:type="dxa"/>
            </w:tcMar>
            <w:tcW w:w="2499" w:type="dxa"/>
            <w:vAlign w:val="center"/>
          </w:tcPr>
          <w:p w14:paraId="00F24285">
            <w:pPr>
              <w:pBdr/>
              <w:spacing w:after="0" w:before="0" w:line="240"/>
              <w:ind/>
              <w:rPr/>
            </w:pPr>
            <w:r>
              <w:rPr>
                <w:rFonts w:ascii="Times New Roman" w:hAnsi="Times New Roman" w:eastAsia="Times New Roman" w:cs="Times New Roman"/>
                <w:color w:val="000000"/>
                <w:sz w:val="24"/>
              </w:rPr>
              <w:t xml:space="preserve">Synthesis method</w:t>
            </w:r>
            <w:r/>
          </w:p>
        </w:tc>
        <w:tc>
          <w:tcPr>
            <w:tcBorders/>
            <w:tcMar>
              <w:left w:w="15" w:type="dxa"/>
              <w:top w:w="15" w:type="dxa"/>
              <w:right w:w="15" w:type="dxa"/>
              <w:bottom w:w="15" w:type="dxa"/>
            </w:tcMar>
            <w:tcW w:w="6855" w:type="dxa"/>
            <w:vAlign w:val="center"/>
          </w:tcPr>
          <w:p w14:paraId="22DA0DC7">
            <w:pPr>
              <w:pBdr/>
              <w:spacing w:after="0" w:before="0" w:line="240"/>
              <w:ind/>
              <w:rPr/>
            </w:pPr>
            <w:r>
              <w:rPr>
                <w:rFonts w:ascii="Times New Roman" w:hAnsi="Times New Roman" w:eastAsia="Times New Roman" w:cs="Times New Roman"/>
                <w:color w:val="000000"/>
                <w:sz w:val="24"/>
              </w:rPr>
              <w:t xml:space="preserve">Confidence-weighted combination, not simple average</w:t>
            </w:r>
            <w:r/>
          </w:p>
        </w:tc>
      </w:tr>
      <w:tr>
        <w:trPr/>
        <w:tc>
          <w:tcPr>
            <w:tcBorders/>
            <w:tcMar>
              <w:left w:w="15" w:type="dxa"/>
              <w:top w:w="15" w:type="dxa"/>
              <w:right w:w="15" w:type="dxa"/>
              <w:bottom w:w="15" w:type="dxa"/>
            </w:tcMar>
            <w:tcW w:w="2499" w:type="dxa"/>
            <w:vAlign w:val="center"/>
          </w:tcPr>
          <w:p w14:paraId="5A3F72E1">
            <w:pPr>
              <w:pBdr/>
              <w:spacing w:after="0" w:before="0" w:line="240"/>
              <w:ind/>
              <w:rPr/>
            </w:pPr>
            <w:r>
              <w:rPr>
                <w:rFonts w:ascii="Times New Roman" w:hAnsi="Times New Roman" w:eastAsia="Times New Roman" w:cs="Times New Roman"/>
                <w:color w:val="000000"/>
                <w:sz w:val="24"/>
              </w:rPr>
              <w:t xml:space="preserve">Regime classification</w:t>
            </w:r>
            <w:r/>
          </w:p>
        </w:tc>
        <w:tc>
          <w:tcPr>
            <w:tcBorders/>
            <w:tcMar>
              <w:left w:w="15" w:type="dxa"/>
              <w:top w:w="15" w:type="dxa"/>
              <w:right w:w="15" w:type="dxa"/>
              <w:bottom w:w="15" w:type="dxa"/>
            </w:tcMar>
            <w:tcW w:w="6855" w:type="dxa"/>
            <w:vAlign w:val="center"/>
          </w:tcPr>
          <w:p w14:paraId="336DA42F">
            <w:pPr>
              <w:pBdr/>
              <w:spacing w:after="0" w:before="0" w:line="240"/>
              <w:ind/>
              <w:rPr/>
            </w:pPr>
            <w:r>
              <w:rPr>
                <w:rFonts w:ascii="Times New Roman" w:hAnsi="Times New Roman" w:eastAsia="Times New Roman" w:cs="Times New Roman"/>
                <w:color w:val="000000"/>
                <w:sz w:val="24"/>
              </w:rPr>
              <w:t xml:space="preserve">Separate lightweight classifier, market-level</w:t>
            </w:r>
            <w:r/>
          </w:p>
        </w:tc>
      </w:tr>
      <w:tr>
        <w:trPr/>
        <w:tc>
          <w:tcPr>
            <w:tcBorders/>
            <w:tcMar>
              <w:left w:w="15" w:type="dxa"/>
              <w:top w:w="15" w:type="dxa"/>
              <w:right w:w="15" w:type="dxa"/>
              <w:bottom w:w="15" w:type="dxa"/>
            </w:tcMar>
            <w:tcW w:w="2499" w:type="dxa"/>
            <w:vAlign w:val="center"/>
          </w:tcPr>
          <w:p w14:paraId="6F6C3D7E">
            <w:pPr>
              <w:pBdr/>
              <w:spacing w:after="0" w:before="0" w:line="240"/>
              <w:ind/>
              <w:rPr/>
            </w:pPr>
            <w:r>
              <w:rPr>
                <w:rFonts w:ascii="Times New Roman" w:hAnsi="Times New Roman" w:eastAsia="Times New Roman" w:cs="Times New Roman"/>
                <w:color w:val="000000"/>
                <w:sz w:val="24"/>
              </w:rPr>
              <w:t xml:space="preserve">Graduation criteria</w:t>
            </w:r>
            <w:r/>
          </w:p>
        </w:tc>
        <w:tc>
          <w:tcPr>
            <w:tcBorders/>
            <w:tcMar>
              <w:left w:w="15" w:type="dxa"/>
              <w:top w:w="15" w:type="dxa"/>
              <w:right w:w="15" w:type="dxa"/>
              <w:bottom w:w="15" w:type="dxa"/>
            </w:tcMar>
            <w:tcW w:w="6855" w:type="dxa"/>
            <w:vAlign w:val="center"/>
          </w:tcPr>
          <w:p w14:paraId="24870E74">
            <w:pPr>
              <w:pBdr/>
              <w:spacing w:after="0" w:before="0" w:line="240"/>
              <w:ind/>
              <w:rPr/>
            </w:pPr>
            <w:r>
              <w:rPr>
                <w:rFonts w:ascii="Times New Roman" w:hAnsi="Times New Roman" w:eastAsia="Times New Roman" w:cs="Times New Roman"/>
                <w:color w:val="000000"/>
                <w:sz w:val="24"/>
              </w:rPr>
              <w:t xml:space="preserve">Five hard criteria before any model enters production</w:t>
            </w:r>
            <w:r/>
          </w:p>
        </w:tc>
      </w:tr>
      <w:tr>
        <w:trPr/>
        <w:tc>
          <w:tcPr>
            <w:tcBorders/>
            <w:tcMar>
              <w:left w:w="15" w:type="dxa"/>
              <w:top w:w="15" w:type="dxa"/>
              <w:right w:w="15" w:type="dxa"/>
              <w:bottom w:w="15" w:type="dxa"/>
            </w:tcMar>
            <w:tcW w:w="2499" w:type="dxa"/>
            <w:vAlign w:val="center"/>
          </w:tcPr>
          <w:p w14:paraId="353BA7F2">
            <w:pPr>
              <w:pBdr/>
              <w:spacing w:after="0" w:before="0" w:line="240"/>
              <w:ind/>
              <w:rPr/>
            </w:pPr>
            <w:r>
              <w:rPr>
                <w:rFonts w:ascii="Times New Roman" w:hAnsi="Times New Roman" w:eastAsia="Times New Roman" w:cs="Times New Roman"/>
                <w:color w:val="000000"/>
                <w:sz w:val="24"/>
              </w:rPr>
              <w:t xml:space="preserve">Instrument coverage</w:t>
            </w:r>
            <w:r/>
          </w:p>
        </w:tc>
        <w:tc>
          <w:tcPr>
            <w:tcBorders/>
            <w:tcMar>
              <w:left w:w="15" w:type="dxa"/>
              <w:top w:w="15" w:type="dxa"/>
              <w:right w:w="15" w:type="dxa"/>
              <w:bottom w:w="15" w:type="dxa"/>
            </w:tcMar>
            <w:tcW w:w="6855" w:type="dxa"/>
            <w:vAlign w:val="center"/>
          </w:tcPr>
          <w:p w14:paraId="17A3328A">
            <w:pPr>
              <w:pBdr/>
              <w:spacing w:after="0" w:before="0" w:line="240"/>
              <w:ind/>
              <w:rPr/>
            </w:pPr>
            <w:r>
              <w:rPr>
                <w:rFonts w:ascii="Times New Roman" w:hAnsi="Times New Roman" w:eastAsia="Times New Roman" w:cs="Times New Roman"/>
                <w:color w:val="000000"/>
                <w:sz w:val="24"/>
              </w:rPr>
              <w:t xml:space="preserve">Driven by data completeness, not manual selection</w:t>
            </w:r>
            <w:r/>
          </w:p>
        </w:tc>
      </w:tr>
      <w:tr>
        <w:trPr/>
        <w:tc>
          <w:tcPr>
            <w:tcBorders/>
            <w:tcMar>
              <w:left w:w="15" w:type="dxa"/>
              <w:top w:w="15" w:type="dxa"/>
              <w:right w:w="15" w:type="dxa"/>
              <w:bottom w:w="15" w:type="dxa"/>
            </w:tcMar>
            <w:tcW w:w="2499" w:type="dxa"/>
            <w:vAlign w:val="center"/>
          </w:tcPr>
          <w:p w14:paraId="615B03D1">
            <w:pPr>
              <w:pBdr/>
              <w:spacing w:after="0" w:before="0" w:line="240"/>
              <w:ind/>
              <w:rPr/>
            </w:pPr>
            <w:r>
              <w:rPr>
                <w:rFonts w:ascii="Times New Roman" w:hAnsi="Times New Roman" w:eastAsia="Times New Roman" w:cs="Times New Roman"/>
                <w:color w:val="000000"/>
                <w:sz w:val="24"/>
              </w:rPr>
              <w:t xml:space="preserve">Null handling</w:t>
            </w:r>
            <w:r/>
          </w:p>
        </w:tc>
        <w:tc>
          <w:tcPr>
            <w:tcBorders/>
            <w:tcMar>
              <w:left w:w="15" w:type="dxa"/>
              <w:top w:w="15" w:type="dxa"/>
              <w:right w:w="15" w:type="dxa"/>
              <w:bottom w:w="15" w:type="dxa"/>
            </w:tcMar>
            <w:tcW w:w="6855" w:type="dxa"/>
            <w:vAlign w:val="center"/>
          </w:tcPr>
          <w:p w14:paraId="344B462A">
            <w:pPr>
              <w:pBdr/>
              <w:spacing w:after="0" w:before="0" w:line="240"/>
              <w:ind/>
              <w:rPr/>
            </w:pPr>
            <w:r>
              <w:rPr>
                <w:rFonts w:ascii="Times New Roman" w:hAnsi="Times New Roman" w:eastAsia="Times New Roman" w:cs="Times New Roman"/>
                <w:color w:val="000000"/>
                <w:sz w:val="24"/>
              </w:rPr>
              <w:t xml:space="preserve">Honest propagation with completeness tracking — no invented values</w:t>
            </w:r>
            <w:r/>
          </w:p>
        </w:tc>
      </w:tr>
      <w:tr>
        <w:trPr/>
        <w:tc>
          <w:tcPr>
            <w:tcBorders/>
            <w:tcMar>
              <w:left w:w="15" w:type="dxa"/>
              <w:top w:w="15" w:type="dxa"/>
              <w:right w:w="15" w:type="dxa"/>
              <w:bottom w:w="15" w:type="dxa"/>
            </w:tcMar>
            <w:tcW w:w="2499" w:type="dxa"/>
            <w:vAlign w:val="center"/>
          </w:tcPr>
          <w:p w14:paraId="051260DE">
            <w:pPr>
              <w:pBdr/>
              <w:spacing w:after="0" w:before="0" w:line="240"/>
              <w:ind/>
              <w:rPr/>
            </w:pPr>
            <w:r>
              <w:rPr>
                <w:rFonts w:ascii="Times New Roman" w:hAnsi="Times New Roman" w:eastAsia="Times New Roman" w:cs="Times New Roman"/>
                <w:color w:val="000000"/>
                <w:sz w:val="24"/>
              </w:rPr>
              <w:t xml:space="preserve">Magnitude source</w:t>
            </w:r>
            <w:r/>
          </w:p>
        </w:tc>
        <w:tc>
          <w:tcPr>
            <w:tcBorders/>
            <w:tcMar>
              <w:left w:w="15" w:type="dxa"/>
              <w:top w:w="15" w:type="dxa"/>
              <w:right w:w="15" w:type="dxa"/>
              <w:bottom w:w="15" w:type="dxa"/>
            </w:tcMar>
            <w:tcW w:w="6855" w:type="dxa"/>
            <w:vAlign w:val="center"/>
          </w:tcPr>
          <w:p w14:paraId="0CBA1C3A">
            <w:pPr>
              <w:pBdr/>
              <w:spacing w:after="0" w:before="0" w:line="240"/>
              <w:ind/>
              <w:rPr/>
            </w:pPr>
            <w:r>
              <w:rPr>
                <w:rFonts w:ascii="Times New Roman" w:hAnsi="Times New Roman" w:eastAsia="Times New Roman" w:cs="Times New Roman"/>
                <w:color w:val="000000"/>
                <w:sz w:val="24"/>
              </w:rPr>
              <w:t xml:space="preserve">ML track only</w:t>
            </w:r>
            <w:r/>
          </w:p>
        </w:tc>
      </w:tr>
      <w:tr>
        <w:trPr/>
        <w:tc>
          <w:tcPr>
            <w:tcBorders/>
            <w:tcMar>
              <w:left w:w="15" w:type="dxa"/>
              <w:top w:w="15" w:type="dxa"/>
              <w:right w:w="15" w:type="dxa"/>
              <w:bottom w:w="15" w:type="dxa"/>
            </w:tcMar>
            <w:tcW w:w="2499" w:type="dxa"/>
            <w:vAlign w:val="center"/>
          </w:tcPr>
          <w:p w14:paraId="12D70643">
            <w:pPr>
              <w:pBdr/>
              <w:spacing w:after="0" w:before="0" w:line="240"/>
              <w:ind/>
              <w:rPr/>
            </w:pPr>
            <w:r>
              <w:rPr>
                <w:rFonts w:ascii="Times New Roman" w:hAnsi="Times New Roman" w:eastAsia="Times New Roman" w:cs="Times New Roman"/>
                <w:color w:val="000000"/>
                <w:sz w:val="24"/>
              </w:rPr>
              <w:t xml:space="preserve">M1</w:t>
            </w:r>
            <w:r/>
          </w:p>
        </w:tc>
        <w:tc>
          <w:tcPr>
            <w:tcBorders/>
            <w:tcMar>
              <w:left w:w="15" w:type="dxa"/>
              <w:top w:w="15" w:type="dxa"/>
              <w:right w:w="15" w:type="dxa"/>
              <w:bottom w:w="15" w:type="dxa"/>
            </w:tcMar>
            <w:tcW w:w="6855" w:type="dxa"/>
            <w:vAlign w:val="center"/>
          </w:tcPr>
          <w:p w14:paraId="4129137A">
            <w:pPr>
              <w:pBdr/>
              <w:spacing w:after="0" w:before="0" w:line="240"/>
              <w:ind/>
              <w:rPr/>
            </w:pPr>
            <w:r>
              <w:rPr>
                <w:rFonts w:ascii="Times New Roman" w:hAnsi="Times New Roman" w:eastAsia="Times New Roman" w:cs="Times New Roman"/>
                <w:color w:val="000000"/>
                <w:sz w:val="24"/>
              </w:rPr>
              <w:t xml:space="preserve">Revised: independent computation, shared data and feature infrastructure</w:t>
            </w:r>
            <w:r/>
          </w:p>
        </w:tc>
      </w:tr>
      <w:tr>
        <w:trPr/>
        <w:tc>
          <w:tcPr>
            <w:tcBorders/>
            <w:tcMar>
              <w:left w:w="15" w:type="dxa"/>
              <w:top w:w="15" w:type="dxa"/>
              <w:right w:w="15" w:type="dxa"/>
              <w:bottom w:w="15" w:type="dxa"/>
            </w:tcMar>
            <w:tcW w:w="2499" w:type="dxa"/>
            <w:vAlign w:val="center"/>
          </w:tcPr>
          <w:p w14:paraId="533BBA45">
            <w:pPr>
              <w:pBdr/>
              <w:spacing w:after="0" w:before="0" w:line="240"/>
              <w:ind/>
              <w:rPr/>
            </w:pPr>
            <w:r>
              <w:rPr>
                <w:rFonts w:ascii="Times New Roman" w:hAnsi="Times New Roman" w:eastAsia="Times New Roman" w:cs="Times New Roman"/>
                <w:color w:val="000000"/>
                <w:sz w:val="24"/>
              </w:rPr>
              <w:t xml:space="preserve">M3</w:t>
            </w:r>
            <w:r/>
          </w:p>
        </w:tc>
        <w:tc>
          <w:tcPr>
            <w:tcBorders/>
            <w:tcMar>
              <w:left w:w="15" w:type="dxa"/>
              <w:top w:w="15" w:type="dxa"/>
              <w:right w:w="15" w:type="dxa"/>
              <w:bottom w:w="15" w:type="dxa"/>
            </w:tcMar>
            <w:tcW w:w="6855" w:type="dxa"/>
            <w:vAlign w:val="center"/>
          </w:tcPr>
          <w:p w14:paraId="4F7B6392">
            <w:pPr>
              <w:pBdr/>
              <w:spacing w:after="0" w:before="0" w:line="240"/>
              <w:ind/>
              <w:rPr/>
            </w:pPr>
            <w:r>
              <w:rPr>
                <w:rFonts w:ascii="Times New Roman" w:hAnsi="Times New Roman" w:eastAsia="Times New Roman" w:cs="Times New Roman"/>
                <w:color w:val="000000"/>
                <w:sz w:val="24"/>
              </w:rPr>
              <w:t xml:space="preserve">Resolved: 4 domain models + 1 synthesis = 5 total</w:t>
            </w:r>
            <w:r/>
          </w:p>
        </w:tc>
      </w:tr>
      <w:tr>
        <w:trPr/>
        <w:tc>
          <w:tcPr>
            <w:tcBorders/>
            <w:tcMar>
              <w:left w:w="15" w:type="dxa"/>
              <w:top w:w="15" w:type="dxa"/>
              <w:right w:w="15" w:type="dxa"/>
              <w:bottom w:w="15" w:type="dxa"/>
            </w:tcMar>
            <w:tcW w:w="2499" w:type="dxa"/>
            <w:vAlign w:val="center"/>
          </w:tcPr>
          <w:p w14:paraId="511A9A4A">
            <w:pPr>
              <w:pBdr/>
              <w:spacing w:after="0" w:before="0" w:line="240"/>
              <w:ind/>
              <w:rPr/>
            </w:pPr>
            <w:r>
              <w:rPr>
                <w:rFonts w:ascii="Times New Roman" w:hAnsi="Times New Roman" w:eastAsia="Times New Roman" w:cs="Times New Roman"/>
                <w:color w:val="000000"/>
                <w:sz w:val="24"/>
              </w:rPr>
              <w:t xml:space="preserve">M5</w:t>
            </w:r>
            <w:r/>
          </w:p>
        </w:tc>
        <w:tc>
          <w:tcPr>
            <w:tcBorders/>
            <w:tcMar>
              <w:left w:w="15" w:type="dxa"/>
              <w:top w:w="15" w:type="dxa"/>
              <w:right w:w="15" w:type="dxa"/>
              <w:bottom w:w="15" w:type="dxa"/>
            </w:tcMar>
            <w:tcW w:w="6855" w:type="dxa"/>
            <w:vAlign w:val="center"/>
          </w:tcPr>
          <w:p w14:paraId="4FE743C3">
            <w:pPr>
              <w:pBdr/>
              <w:spacing w:after="0" w:before="0" w:line="240"/>
              <w:ind/>
              <w:rPr/>
            </w:pPr>
            <w:r>
              <w:rPr>
                <w:rFonts w:ascii="Times New Roman" w:hAnsi="Times New Roman" w:eastAsia="Times New Roman" w:cs="Times New Roman"/>
                <w:color w:val="000000"/>
                <w:sz w:val="24"/>
              </w:rPr>
              <w:t xml:space="preserve">Kept: 14d horizon, volume-adjusted</w:t>
            </w:r>
            <w:r/>
          </w:p>
        </w:tc>
      </w:tr>
      <w:tr>
        <w:trPr/>
        <w:tc>
          <w:tcPr>
            <w:tcBorders/>
            <w:tcMar>
              <w:left w:w="15" w:type="dxa"/>
              <w:top w:w="15" w:type="dxa"/>
              <w:right w:w="15" w:type="dxa"/>
              <w:bottom w:w="15" w:type="dxa"/>
            </w:tcMar>
            <w:tcW w:w="2499" w:type="dxa"/>
            <w:vAlign w:val="center"/>
          </w:tcPr>
          <w:p w14:paraId="07CE8935">
            <w:pPr>
              <w:pBdr/>
              <w:spacing w:after="0" w:before="0" w:line="240"/>
              <w:ind/>
              <w:rPr/>
            </w:pPr>
            <w:r>
              <w:rPr>
                <w:rFonts w:ascii="Times New Roman" w:hAnsi="Times New Roman" w:eastAsia="Times New Roman" w:cs="Times New Roman"/>
                <w:color w:val="000000"/>
                <w:sz w:val="24"/>
              </w:rPr>
              <w:t xml:space="preserve">M9</w:t>
            </w:r>
            <w:r/>
          </w:p>
        </w:tc>
        <w:tc>
          <w:tcPr>
            <w:tcBorders/>
            <w:tcMar>
              <w:left w:w="15" w:type="dxa"/>
              <w:top w:w="15" w:type="dxa"/>
              <w:right w:w="15" w:type="dxa"/>
              <w:bottom w:w="15" w:type="dxa"/>
            </w:tcMar>
            <w:tcW w:w="6855" w:type="dxa"/>
            <w:vAlign w:val="center"/>
          </w:tcPr>
          <w:p w14:paraId="47C73DDA">
            <w:pPr>
              <w:pBdr/>
              <w:spacing w:after="0" w:before="0" w:line="240"/>
              <w:ind/>
              <w:rPr/>
            </w:pPr>
            <w:r>
              <w:rPr>
                <w:rFonts w:ascii="Times New Roman" w:hAnsi="Times New Roman" w:eastAsia="Times New Roman" w:cs="Times New Roman"/>
                <w:color w:val="000000"/>
                <w:sz w:val="24"/>
              </w:rPr>
              <w:t xml:space="preserve">Kept: LightGBM with mandatory calibration and feature importance logging</w:t>
            </w:r>
            <w:r/>
          </w:p>
        </w:tc>
      </w:tr>
      <w:tr>
        <w:trPr/>
        <w:tc>
          <w:tcPr>
            <w:tcBorders/>
            <w:tcMar>
              <w:left w:w="15" w:type="dxa"/>
              <w:top w:w="15" w:type="dxa"/>
              <w:right w:w="15" w:type="dxa"/>
              <w:bottom w:w="15" w:type="dxa"/>
            </w:tcMar>
            <w:tcW w:w="2499" w:type="dxa"/>
            <w:vAlign w:val="center"/>
          </w:tcPr>
          <w:p w14:paraId="6B4B33C4">
            <w:pPr>
              <w:pBdr/>
              <w:spacing w:after="0" w:before="0" w:line="240"/>
              <w:ind/>
              <w:rPr/>
            </w:pPr>
            <w:r>
              <w:rPr>
                <w:rFonts w:ascii="Times New Roman" w:hAnsi="Times New Roman" w:eastAsia="Times New Roman" w:cs="Times New Roman"/>
                <w:color w:val="000000"/>
                <w:sz w:val="24"/>
              </w:rPr>
              <w:t xml:space="preserve">D6</w:t>
            </w:r>
            <w:r/>
          </w:p>
        </w:tc>
        <w:tc>
          <w:tcPr>
            <w:tcBorders/>
            <w:tcMar>
              <w:left w:w="15" w:type="dxa"/>
              <w:top w:w="15" w:type="dxa"/>
              <w:right w:w="15" w:type="dxa"/>
              <w:bottom w:w="15" w:type="dxa"/>
            </w:tcMar>
            <w:tcW w:w="6855" w:type="dxa"/>
            <w:vAlign w:val="center"/>
          </w:tcPr>
          <w:p w14:paraId="04B834D5">
            <w:pPr>
              <w:pBdr/>
              <w:spacing w:after="0" w:before="0" w:line="240"/>
              <w:ind/>
              <w:rPr/>
            </w:pPr>
            <w:r>
              <w:rPr>
                <w:rFonts w:ascii="Times New Roman" w:hAnsi="Times New Roman" w:eastAsia="Times New Roman" w:cs="Times New Roman"/>
                <w:color w:val="000000"/>
                <w:sz w:val="24"/>
              </w:rPr>
              <w:t xml:space="preserve">Kept: 4 pillar sub-scores</w:t>
            </w:r>
            <w:r/>
          </w:p>
        </w:tc>
      </w:tr>
      <w:tr>
        <w:trPr/>
        <w:tc>
          <w:tcPr>
            <w:tcBorders/>
            <w:tcMar>
              <w:left w:w="15" w:type="dxa"/>
              <w:top w:w="15" w:type="dxa"/>
              <w:right w:w="15" w:type="dxa"/>
              <w:bottom w:w="15" w:type="dxa"/>
            </w:tcMar>
            <w:tcW w:w="2499" w:type="dxa"/>
            <w:vAlign w:val="center"/>
          </w:tcPr>
          <w:p w14:paraId="45815AF6">
            <w:pPr>
              <w:pBdr/>
              <w:spacing w:after="0" w:before="0" w:line="240"/>
              <w:ind/>
              <w:rPr/>
            </w:pPr>
            <w:r>
              <w:rPr>
                <w:rFonts w:ascii="Times New Roman" w:hAnsi="Times New Roman" w:eastAsia="Times New Roman" w:cs="Times New Roman"/>
                <w:color w:val="000000"/>
                <w:sz w:val="24"/>
              </w:rPr>
              <w:t xml:space="preserve">D41</w:t>
            </w:r>
            <w:r/>
          </w:p>
        </w:tc>
        <w:tc>
          <w:tcPr>
            <w:tcBorders/>
            <w:tcMar>
              <w:left w:w="15" w:type="dxa"/>
              <w:top w:w="15" w:type="dxa"/>
              <w:right w:w="15" w:type="dxa"/>
              <w:bottom w:w="15" w:type="dxa"/>
            </w:tcMar>
            <w:tcW w:w="6855" w:type="dxa"/>
            <w:vAlign w:val="center"/>
          </w:tcPr>
          <w:p w14:paraId="5C378A8A">
            <w:pPr>
              <w:pBdr/>
              <w:spacing w:after="0" w:before="0" w:line="240"/>
              <w:ind/>
              <w:rPr/>
            </w:pPr>
            <w:r>
              <w:rPr>
                <w:rFonts w:ascii="Times New Roman" w:hAnsi="Times New Roman" w:eastAsia="Times New Roman" w:cs="Times New Roman"/>
                <w:color w:val="000000"/>
                <w:sz w:val="24"/>
              </w:rPr>
              <w:t xml:space="preserve">Kept as concept, renamed: collection → scoring → signal-eligible</w:t>
            </w:r>
            <w:r/>
          </w:p>
        </w:tc>
      </w:tr>
    </w:tbl>
    <w:p w14:paraId="038E2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3 has a clear input: the full feature requirements list above, with PIT constraints, granularity, cadence, and null handling specified. Ready to proceed when you are.</w:t>
      </w:r>
      <w:r/>
    </w:p>
    <w:p w14:paraId="0161A2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 we falling back to the old process? Is Forge still the data source?</w:t>
      </w:r>
      <w:r/>
    </w:p>
    <w:p w14:paraId="757EA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12:00 PM</w:t>
      </w:r>
      <w:r/>
    </w:p>
    <w:p w14:paraId="578E7047">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Acknowledged architectural drift; Forge inadvertently became design foundation</w:t>
      </w:r>
      <w:r/>
    </w:p>
    <w:p w14:paraId="6221DD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Acknowledged architectural drift; Forge inadvertently became design foundation</w:t>
      </w:r>
      <w:r/>
    </w:p>
    <w:p w14:paraId="629E5A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Good catch. That's a real drift and it needs to be named directly.</w:t>
      </w:r>
      <w:r/>
    </w:p>
    <w:p w14:paraId="7B7BE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2 started referencing Coinalyze's 121 instruments, the Explorer agent, FRED series counts — source-specific facts that have no business appearing in a Layer 5 specification. That's the old process reasserting itself: bottom-up, source-shaped, Forge </w:t>
      </w:r>
      <w:r>
        <w:rPr>
          <w:rFonts w:ascii="Times New Roman" w:hAnsi="Times New Roman" w:eastAsia="Times New Roman" w:cs="Times New Roman"/>
          <w:color w:val="000000"/>
          <w:sz w:val="24"/>
        </w:rPr>
        <w:t xml:space="preserve">as the foundation.</w:t>
      </w:r>
      <w:r/>
    </w:p>
    <w:p w14:paraId="69F025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top-down mandate says the opposite. Layer 5 specifies what it needs. Layer 4 specifies what it needs from Layer 3. Layer 3 defines the canonical universe. Layers 2 and 1 figure out how to fill it. Forge is an implementation asset evaluated in Thread 5 </w:t>
      </w:r>
      <w:r>
        <w:rPr>
          <w:rFonts w:ascii="Times New Roman" w:hAnsi="Times New Roman" w:eastAsia="Times New Roman" w:cs="Times New Roman"/>
          <w:color w:val="000000"/>
          <w:sz w:val="24"/>
        </w:rPr>
        <w:t xml:space="preserve">— not a design input in Thread 2.</w:t>
      </w:r>
      <w:r/>
    </w:p>
    <w:p w14:paraId="1ED96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Thread 2 should have produced is a feature requirements list expressed entirely in terms of </w:t>
      </w:r>
      <w:r>
        <w:rPr>
          <w:rFonts w:ascii="Times New Roman" w:hAnsi="Times New Roman" w:eastAsia="Times New Roman" w:cs="Times New Roman"/>
          <w:i/>
          <w:color w:val="000000"/>
          <w:sz w:val="24"/>
        </w:rPr>
        <w:t xml:space="preserve">what the signal needs</w:t>
      </w:r>
      <w:r>
        <w:rPr>
          <w:rFonts w:ascii="Times New Roman" w:hAnsi="Times New Roman" w:eastAsia="Times New Roman" w:cs="Times New Roman"/>
          <w:color w:val="000000"/>
          <w:sz w:val="24"/>
        </w:rPr>
        <w:t xml:space="preserve">, with zero reference to where the data comes from. Something like:</w:t>
      </w:r>
      <w:r/>
    </w:p>
    <w:p w14:paraId="51DE7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derivatives pillar requires, per instrument: a funding rate observation at 8h cadence, open interest in USD at 8h cadence, liquidation volume split by direction at 8h cadence, and perpetual basis at 8h cadence. These must be available with minimum 3 y</w:t>
      </w:r>
      <w:r>
        <w:rPr>
          <w:rFonts w:ascii="Times New Roman" w:hAnsi="Times New Roman" w:eastAsia="Times New Roman" w:cs="Times New Roman"/>
          <w:color w:val="000000"/>
          <w:sz w:val="24"/>
        </w:rPr>
        <w:t xml:space="preserve">ears of history to train walk-forward models. Source is unspecified at this layer."</w:t>
      </w:r>
      <w:r/>
    </w:p>
    <w:p w14:paraId="2587E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Whether Coinalyze fills that requirement, or Binance, or CoinGlass, or three sources in combination — that's Thread 5's problem. If Forge's existing agents happen to cover it, great. If they need to be restructured or replaced, the design doesn't flinch.</w:t>
      </w:r>
      <w:r/>
    </w:p>
    <w:p w14:paraId="50036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same applies to the pillar structure. The four pillars were carried forward from the existing EDSx architecture. That may be right — but it should be justified from the product output downward, not assumed because it already exists.</w:t>
      </w:r>
      <w:r/>
    </w:p>
    <w:p w14:paraId="3855D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you want to rerun Thread 2 clean, or accept the signal architecture decisions as directionally correct and flag the source references as implementation assumptions to be validated in Thread 5?</w:t>
      </w:r>
      <w:r/>
    </w:p>
    <w:p w14:paraId="6447EA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Forge is dead. The architecture there was reactive. A new database must be developed that is the canonical data source. All data provided to it must conform to this new data set. We cannot have a moving target for the core of this project.</w:t>
      </w:r>
      <w:r/>
    </w:p>
    <w:p w14:paraId="5C8C0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12:02 PM</w:t>
      </w:r>
      <w:r/>
    </w:p>
    <w:p w14:paraId="2B639127">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Reconciled architectural decision with thread sequencing implications</w:t>
      </w:r>
      <w:r/>
    </w:p>
    <w:p w14:paraId="1BFD5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Reconciled architectural decision with thread sequencing implications</w:t>
      </w:r>
      <w:r/>
    </w:p>
    <w:p w14:paraId="1D424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right call, and it has a specific implication for the thread sequence that needs to be stated clearly.</w:t>
      </w:r>
      <w:r/>
    </w:p>
    <w:p w14:paraId="51BE88A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Locked Decision: Canonical Database First</w:t>
      </w:r>
      <w:r/>
    </w:p>
    <w:p w14:paraId="353C51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canonical data store is not built to accommodate existing data. Existing data is migrated only if it can be made to conform to the canonical schema without compromise. If it can't conform cleanly, it's backfilled from source. If the source is gone, the</w:t>
      </w:r>
      <w:r>
        <w:rPr>
          <w:rFonts w:ascii="Times New Roman" w:hAnsi="Times New Roman" w:eastAsia="Times New Roman" w:cs="Times New Roman"/>
          <w:color w:val="000000"/>
          <w:sz w:val="24"/>
        </w:rPr>
        <w:t xml:space="preserve"> history is gone. The schema does not bend to legacy data.</w:t>
      </w:r>
      <w:r/>
    </w:p>
    <w:p w14:paraId="58CE80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w:t>
      </w:r>
      <w:r/>
    </w:p>
    <w:p w14:paraId="51E17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Forge tables are not a migration target.</w:t>
      </w:r>
      <w:r>
        <w:rPr>
          <w:rFonts w:ascii="Times New Roman" w:hAnsi="Times New Roman" w:eastAsia="Times New Roman" w:cs="Times New Roman"/>
          <w:color w:val="000000"/>
          <w:sz w:val="24"/>
        </w:rPr>
        <w:t xml:space="preserve"> They're a potential data source, evaluated the same way any external source is evaluated in Thread 5 — can the data be extracted and normalized to conform to the canonical schema? If yes, it migrates. If the existing structure would require the canonical </w:t>
      </w:r>
      <w:r>
        <w:rPr>
          <w:rFonts w:ascii="Times New Roman" w:hAnsi="Times New Roman" w:eastAsia="Times New Roman" w:cs="Times New Roman"/>
          <w:color w:val="000000"/>
          <w:sz w:val="24"/>
        </w:rPr>
        <w:t xml:space="preserve">schema to make accommodations, the data is re-pulled from the original external source instead.</w:t>
      </w:r>
      <w:r/>
    </w:p>
    <w:p w14:paraId="1622CE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canonical metric catalog is the system.</w:t>
      </w:r>
      <w:r>
        <w:rPr>
          <w:rFonts w:ascii="Times New Roman" w:hAnsi="Times New Roman" w:eastAsia="Times New Roman" w:cs="Times New Roman"/>
          <w:color w:val="000000"/>
          <w:sz w:val="24"/>
        </w:rPr>
        <w:t xml:space="preserve"> A metric exists when it's defined in the catalog. It has a canonical name, a unit, a granularity, a cadence, a value range, and a methodology. That definition is immutable once locked. Sources are implementation details below the adapter layer.</w:t>
      </w:r>
      <w:r/>
    </w:p>
    <w:p w14:paraId="6AC6485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This Means for the Thread Sequence</w:t>
      </w:r>
      <w:r/>
    </w:p>
    <w:p w14:paraId="4608DD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 sequencing consequence that should be acknowledged now.</w:t>
      </w:r>
      <w:r/>
    </w:p>
    <w:p w14:paraId="1CB91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2 (Signal Architecture) needs to express feature requirements in pure domain terms — no source references, no existing table names. Thread 3 (Feature Engineering) formalizes those into computed feature definitions. Thread 4 (Data Universe) assigns c</w:t>
      </w:r>
      <w:r>
        <w:rPr>
          <w:rFonts w:ascii="Times New Roman" w:hAnsi="Times New Roman" w:eastAsia="Times New Roman" w:cs="Times New Roman"/>
          <w:color w:val="000000"/>
          <w:sz w:val="24"/>
        </w:rPr>
        <w:t xml:space="preserve">anonical metric names and locks the schema.</w:t>
      </w:r>
      <w:r/>
    </w:p>
    <w:p w14:paraId="16DA1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Thread 2 and 3 are specifying requirements against metric concepts that don't have canonical names yet, because Thread 4 hasn't run. That's fine — the design document accounts for this. The requirement flows downward as a domain concept:</w:t>
      </w:r>
      <w:r/>
    </w:p>
    <w:p w14:paraId="24D2C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2 says: </w:t>
      </w:r>
      <w:r>
        <w:rPr>
          <w:rFonts w:ascii="Times New Roman" w:hAnsi="Times New Roman" w:eastAsia="Times New Roman" w:cs="Times New Roman"/>
          <w:i/>
          <w:color w:val="000000"/>
          <w:sz w:val="24"/>
        </w:rPr>
        <w:t xml:space="preserve">"I need a funding rate per instrument at 8h cadence, 3 years minimum history."</w:t>
      </w:r>
      <w:r>
        <w:rPr>
          <w:rFonts w:ascii="Times New Roman" w:hAnsi="Times New Roman" w:eastAsia="Times New Roman" w:cs="Times New Roman"/>
          <w:color w:val="000000"/>
          <w:sz w:val="24"/>
        </w:rPr>
        <w:t xml:space="preserve"> Thread 3 says: </w:t>
      </w:r>
      <w:r>
        <w:rPr>
          <w:rFonts w:ascii="Times New Roman" w:hAnsi="Times New Roman" w:eastAsia="Times New Roman" w:cs="Times New Roman"/>
          <w:i/>
          <w:color w:val="000000"/>
          <w:sz w:val="24"/>
        </w:rPr>
        <w:t xml:space="preserve">"That becomes feature </w:t>
      </w:r>
      <w:r>
        <w:rPr>
          <w:rFonts w:ascii="Courier New" w:hAnsi="Courier New" w:eastAsia="Courier New" w:cs="Courier New"/>
          <w:i/>
          <w:color w:val="000000"/>
          <w:sz w:val="20"/>
        </w:rPr>
        <w:t xml:space="preserve">funding_rate_zscore_30d</w:t>
      </w:r>
      <w:r>
        <w:rPr>
          <w:rFonts w:ascii="Times New Roman" w:hAnsi="Times New Roman" w:eastAsia="Times New Roman" w:cs="Times New Roman"/>
          <w:i/>
          <w:color w:val="000000"/>
          <w:sz w:val="24"/>
        </w:rPr>
        <w:t xml:space="preserve">, computed from metric X."</w:t>
      </w:r>
      <w:r>
        <w:rPr>
          <w:rFonts w:ascii="Times New Roman" w:hAnsi="Times New Roman" w:eastAsia="Times New Roman" w:cs="Times New Roman"/>
          <w:color w:val="000000"/>
          <w:sz w:val="24"/>
        </w:rPr>
        <w:t xml:space="preserve"> Thread 4 says: </w:t>
      </w:r>
      <w:r>
        <w:rPr>
          <w:rFonts w:ascii="Times New Roman" w:hAnsi="Times New Roman" w:eastAsia="Times New Roman" w:cs="Times New Roman"/>
          <w:i/>
          <w:color w:val="000000"/>
          <w:sz w:val="24"/>
        </w:rPr>
        <w:t xml:space="preserve">"Metric X is canonically named </w:t>
      </w:r>
      <w:r>
        <w:rPr>
          <w:rFonts w:ascii="Courier New" w:hAnsi="Courier New" w:eastAsia="Courier New" w:cs="Courier New"/>
          <w:i/>
          <w:color w:val="000000"/>
          <w:sz w:val="20"/>
        </w:rPr>
        <w:t xml:space="preserve">derivatives.funding_rate</w:t>
      </w:r>
      <w:r>
        <w:rPr>
          <w:rFonts w:ascii="Times New Roman" w:hAnsi="Times New Roman" w:eastAsia="Times New Roman" w:cs="Times New Roman"/>
          <w:i/>
          <w:color w:val="000000"/>
          <w:sz w:val="24"/>
        </w:rPr>
        <w:t xml:space="preserve">, defined as follows."</w:t>
      </w:r>
      <w:r/>
    </w:p>
    <w:p w14:paraId="2F5FE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canonical name is assigned in Thread 4. Until then, requirements travel as domain concepts. Nothing is implemented until Thread 4 locks the schema.</w:t>
      </w:r>
      <w:r/>
    </w:p>
    <w:p w14:paraId="64C85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4 output is the gate before any build begins.</w:t>
      </w:r>
      <w:r>
        <w:rPr>
          <w:rFonts w:ascii="Times New Roman" w:hAnsi="Times New Roman" w:eastAsia="Times New Roman" w:cs="Times New Roman"/>
          <w:color w:val="000000"/>
          <w:sz w:val="24"/>
        </w:rPr>
        <w:t xml:space="preserve"> Not Thread 6. Thread 4.</w:t>
      </w:r>
      <w:r/>
    </w:p>
    <w:p w14:paraId="7EBF8D6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Is Actually Dead</w:t>
      </w:r>
      <w:r/>
    </w:p>
    <w:p w14:paraId="13552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be explicit about what "Forge is dead" means in build terms:</w:t>
      </w:r>
      <w:r/>
    </w:p>
    <w:p w14:paraId="5629BD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forge_raw.*</w:t>
      </w:r>
      <w:r>
        <w:rPr>
          <w:rFonts w:ascii="Times New Roman" w:hAnsi="Times New Roman" w:eastAsia="Times New Roman" w:cs="Times New Roman"/>
          <w:color w:val="000000"/>
          <w:sz w:val="24"/>
        </w:rPr>
        <w:t xml:space="preserve"> tables — superseded by the canonical landing zone, designed in Thread 5</w:t>
      </w:r>
      <w:r/>
    </w:p>
    <w:p w14:paraId="1D10ED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forge_compute.*</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computed_metrics</w:t>
      </w:r>
      <w:r>
        <w:rPr>
          <w:rFonts w:ascii="Times New Roman" w:hAnsi="Times New Roman" w:eastAsia="Times New Roman" w:cs="Times New Roman"/>
          <w:color w:val="000000"/>
          <w:sz w:val="24"/>
        </w:rPr>
        <w:t xml:space="preserve"> — superseded by the feature engineering layer, designed in Thread 3</w:t>
      </w:r>
      <w:r/>
    </w:p>
    <w:p w14:paraId="7E198B6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Forge agent architecture — evaluated in Thread 5 as candidate collection agents, rewritten to conform to the new landing zone contract if kept, discarded if not</w:t>
      </w:r>
      <w:r/>
    </w:p>
    <w:p w14:paraId="77F390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Source-shaped schemas anywhere above the adapter layer — structurally prohibited by the design</w:t>
      </w:r>
      <w:r/>
    </w:p>
    <w:p w14:paraId="196EBE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survives is the </w:t>
      </w:r>
      <w:r>
        <w:rPr>
          <w:rFonts w:ascii="Times New Roman" w:hAnsi="Times New Roman" w:eastAsia="Times New Roman" w:cs="Times New Roman"/>
          <w:b/>
          <w:color w:val="000000"/>
          <w:sz w:val="24"/>
        </w:rPr>
        <w:t xml:space="preserve">data itself</w:t>
      </w:r>
      <w:r>
        <w:rPr>
          <w:rFonts w:ascii="Times New Roman" w:hAnsi="Times New Roman" w:eastAsia="Times New Roman" w:cs="Times New Roman"/>
          <w:color w:val="000000"/>
          <w:sz w:val="24"/>
        </w:rPr>
        <w:t xml:space="preserve"> — the observations Forge collected — as a migration candidate. Not the structure. Not the naming. Not the pipeline logic.</w:t>
      </w:r>
      <w:r/>
    </w:p>
    <w:p w14:paraId="58E7F86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Proceeding</w:t>
      </w:r>
      <w:r/>
    </w:p>
    <w:p w14:paraId="35737E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2's signal architecture decisions stand. The feature requirements list should be understood as domain-level requirements, not references to existing infrastructure. Thread 3 will formalize them. Thread 4 will name them canonically and lock the schem</w:t>
      </w:r>
      <w:r>
        <w:rPr>
          <w:rFonts w:ascii="Times New Roman" w:hAnsi="Times New Roman" w:eastAsia="Times New Roman" w:cs="Times New Roman"/>
          <w:color w:val="000000"/>
          <w:sz w:val="24"/>
        </w:rPr>
        <w:t xml:space="preserve">a.</w:t>
      </w:r>
      <w:r/>
    </w:p>
    <w:p w14:paraId="4F86F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Ready to run Thread 3?</w:t>
      </w:r>
      <w:r/>
    </w:p>
    <w:p w14:paraId="59EF8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Proceed</w:t>
      </w:r>
      <w:r/>
    </w:p>
    <w:p w14:paraId="1AED3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12:12 PM</w:t>
      </w:r>
      <w:r/>
    </w:p>
    <w:p w14:paraId="0ABEFD93">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Architected feature engineering framework from domain requirements</w:t>
      </w:r>
      <w:r/>
    </w:p>
    <w:p w14:paraId="13185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Architected feature engineering framework from domain requirements</w:t>
      </w:r>
      <w:r/>
    </w:p>
    <w:p w14:paraId="451547B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Thread 3: Feature Engineering (Layer 4)</w:t>
      </w:r>
      <w:r/>
    </w:p>
    <w:p w14:paraId="4278C62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Contract This Layer Must Honor</w:t>
      </w:r>
      <w:r/>
    </w:p>
    <w:p w14:paraId="3987C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From Layer 5 (Thread 2):</w:t>
      </w:r>
      <w:r>
        <w:rPr>
          <w:rFonts w:ascii="Times New Roman" w:hAnsi="Times New Roman" w:eastAsia="Times New Roman" w:cs="Times New Roman"/>
          <w:color w:val="000000"/>
          <w:sz w:val="24"/>
        </w:rPr>
        <w:t xml:space="preserve"> Signal generation requires features. The requirements were expressed as domain concepts. Thread 3's job is to make those precise: exact canonical names, exact formulas, exact null handling, exact PIT constraints, exact cadence. Nothing vague survives this</w:t>
      </w:r>
      <w:r>
        <w:rPr>
          <w:rFonts w:ascii="Times New Roman" w:hAnsi="Times New Roman" w:eastAsia="Times New Roman" w:cs="Times New Roman"/>
          <w:color w:val="000000"/>
          <w:sz w:val="24"/>
        </w:rPr>
        <w:t xml:space="preserve"> thread.</w:t>
      </w:r>
      <w:r/>
    </w:p>
    <w:p w14:paraId="77E81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 Layer 3 (Thread 4):</w:t>
      </w:r>
      <w:r>
        <w:rPr>
          <w:rFonts w:ascii="Times New Roman" w:hAnsi="Times New Roman" w:eastAsia="Times New Roman" w:cs="Times New Roman"/>
          <w:color w:val="000000"/>
          <w:sz w:val="24"/>
        </w:rPr>
        <w:t xml:space="preserve"> Feature Engineering reads from the canonical Data Universe exclusively. It never touches raw source data. It never knows what source a metric came from. Every metric it reads will be assigned a canonical name in Thread 4. This thread names the </w:t>
      </w:r>
      <w:r>
        <w:rPr>
          <w:rFonts w:ascii="Times New Roman" w:hAnsi="Times New Roman" w:eastAsia="Times New Roman" w:cs="Times New Roman"/>
          <w:i/>
          <w:color w:val="000000"/>
          <w:sz w:val="24"/>
        </w:rPr>
        <w:t xml:space="preserve">concept</w:t>
      </w:r>
      <w:r>
        <w:rPr>
          <w:rFonts w:ascii="Times New Roman" w:hAnsi="Times New Roman" w:eastAsia="Times New Roman" w:cs="Times New Roman"/>
          <w:color w:val="000000"/>
          <w:sz w:val="24"/>
        </w:rPr>
        <w:t xml:space="preserve"> — Thread 4 assigns the canonical identifier.</w:t>
      </w:r>
      <w:r/>
    </w:p>
    <w:p w14:paraId="0CD98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output Layer 5 consumes:</w:t>
      </w:r>
      <w:r>
        <w:rPr>
          <w:rFonts w:ascii="Times New Roman" w:hAnsi="Times New Roman" w:eastAsia="Times New Roman" w:cs="Times New Roman"/>
          <w:color w:val="000000"/>
          <w:sz w:val="24"/>
        </w:rPr>
        <w:t xml:space="preserve"> A feature matrix. Conceptually:</w:t>
      </w:r>
      <w:r/>
    </w:p>
    <w:p w14:paraId="5BF007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(instrument, timestamp, feature_name, value, computed_at, input_completeness)</w:t>
      </w:r>
      <w:r/>
    </w:p>
    <w:p w14:paraId="0EFB2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feature is deterministic, reproducible, and PIT-constrained. Given the same metric values at the same timestamp, the same feature values always result.</w:t>
      </w:r>
      <w:r/>
    </w:p>
    <w:p w14:paraId="5ABB1C1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Design Principles for This Layer</w:t>
      </w:r>
      <w:r/>
    </w:p>
    <w:p w14:paraId="5BED0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Features are transformations, not storage.</w:t>
      </w:r>
      <w:r>
        <w:rPr>
          <w:rFonts w:ascii="Times New Roman" w:hAnsi="Times New Roman" w:eastAsia="Times New Roman" w:cs="Times New Roman"/>
          <w:color w:val="000000"/>
          <w:sz w:val="24"/>
        </w:rPr>
        <w:t xml:space="preserve"> The Data Universe stores observations. Feature Engineering transforms them. Features are recomputable from the canonical store at any time. This means features can be versioned, corrected, and regenerated without touching the underlying data.</w:t>
      </w:r>
      <w:r/>
    </w:p>
    <w:p w14:paraId="50561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PIT is absolute.</w:t>
      </w:r>
      <w:r>
        <w:rPr>
          <w:rFonts w:ascii="Times New Roman" w:hAnsi="Times New Roman" w:eastAsia="Times New Roman" w:cs="Times New Roman"/>
          <w:color w:val="000000"/>
          <w:sz w:val="24"/>
        </w:rPr>
        <w:t xml:space="preserve"> A feature computed at timestamp T may only use metric observations with </w:t>
      </w:r>
      <w:r>
        <w:rPr>
          <w:rFonts w:ascii="Courier New" w:hAnsi="Courier New" w:eastAsia="Courier New" w:cs="Courier New"/>
          <w:color w:val="000000"/>
          <w:sz w:val="20"/>
        </w:rPr>
        <w:t xml:space="preserve">valid_from ≤ T</w:t>
      </w:r>
      <w:r>
        <w:rPr>
          <w:rFonts w:ascii="Times New Roman" w:hAnsi="Times New Roman" w:eastAsia="Times New Roman" w:cs="Times New Roman"/>
          <w:color w:val="000000"/>
          <w:sz w:val="24"/>
        </w:rPr>
        <w:t xml:space="preserve">. No exceptions. Features that would require future data to compute do not exist in this system.</w:t>
      </w:r>
      <w:r/>
    </w:p>
    <w:p w14:paraId="2E205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Null handling is explicit and typed.</w:t>
      </w:r>
      <w:r>
        <w:rPr>
          <w:rFonts w:ascii="Times New Roman" w:hAnsi="Times New Roman" w:eastAsia="Times New Roman" w:cs="Times New Roman"/>
          <w:color w:val="000000"/>
          <w:sz w:val="24"/>
        </w:rPr>
        <w:t xml:space="preserve"> There are three distinct null states:</w:t>
      </w:r>
      <w:r/>
    </w:p>
    <w:p w14:paraId="16D4CF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INSUFFICIENT_HISTORY</w:t>
      </w:r>
      <w:r>
        <w:rPr>
          <w:rFonts w:ascii="Times New Roman" w:hAnsi="Times New Roman" w:eastAsia="Times New Roman" w:cs="Times New Roman"/>
          <w:color w:val="000000"/>
          <w:sz w:val="24"/>
        </w:rPr>
        <w:t xml:space="preserve"> — window requires N observations, fewer than N exist</w:t>
      </w:r>
      <w:r/>
    </w:p>
    <w:p w14:paraId="0C6FD0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SOURCE_STALE</w:t>
      </w:r>
      <w:r>
        <w:rPr>
          <w:rFonts w:ascii="Times New Roman" w:hAnsi="Times New Roman" w:eastAsia="Times New Roman" w:cs="Times New Roman"/>
          <w:color w:val="000000"/>
          <w:sz w:val="24"/>
        </w:rPr>
        <w:t xml:space="preserve"> — most recent observation older than allowed staleness threshold</w:t>
      </w:r>
      <w:r/>
    </w:p>
    <w:p w14:paraId="755A7F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METRIC_UNAVAILABLE</w:t>
      </w:r>
      <w:r>
        <w:rPr>
          <w:rFonts w:ascii="Times New Roman" w:hAnsi="Times New Roman" w:eastAsia="Times New Roman" w:cs="Times New Roman"/>
          <w:color w:val="000000"/>
          <w:sz w:val="24"/>
        </w:rPr>
        <w:t xml:space="preserve"> — the underlying metric is not tracked for this instrument</w:t>
      </w:r>
      <w:r/>
    </w:p>
    <w:p w14:paraId="7BDA6D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not interchangeable. EDSx confidence scoring and ML null handling treat them differently.</w:t>
      </w:r>
      <w:r/>
    </w:p>
    <w:p w14:paraId="125B22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Features are versioned.</w:t>
      </w:r>
      <w:r>
        <w:rPr>
          <w:rFonts w:ascii="Times New Roman" w:hAnsi="Times New Roman" w:eastAsia="Times New Roman" w:cs="Times New Roman"/>
          <w:color w:val="000000"/>
          <w:sz w:val="24"/>
        </w:rPr>
        <w:t xml:space="preserve"> When a feature formula changes, the old version is preserved in the catalog with a deprecation date. Signal models declare which feature version they were trained on. This prevents silent drift between training and production.</w:t>
      </w:r>
      <w:r/>
    </w:p>
    <w:p w14:paraId="7A9C602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 Categories</w:t>
      </w:r>
      <w:r/>
    </w:p>
    <w:p w14:paraId="3C654E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Seven categories, each with different computation patterns and PIT properties.</w:t>
      </w:r>
      <w:r/>
    </w:p>
    <w:p w14:paraId="40E4F00C">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A: Rolling Statistical Transforms</w:t>
      </w:r>
      <w:r/>
    </w:p>
    <w:p w14:paraId="2BDDE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metric → window → statistic. The most common feature type.</w:t>
      </w:r>
      <w:r/>
    </w:p>
    <w:p w14:paraId="56788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General form:</w:t>
      </w:r>
      <w:r/>
    </w:p>
    <w:p w14:paraId="1C03C8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feature_name = f(metric, instrument, window, statistic)</w:t>
      </w:r>
      <w:r/>
    </w:p>
    <w:p w14:paraId="276A0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Statistic types used in this system:</w:t>
      </w:r>
      <w:r/>
    </w:p>
    <w:p w14:paraId="4BEC41E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value</w:t>
      </w:r>
      <w:r>
        <w:rPr>
          <w:rFonts w:ascii="Times New Roman" w:hAnsi="Times New Roman" w:eastAsia="Times New Roman" w:cs="Times New Roman"/>
          <w:color w:val="000000"/>
          <w:sz w:val="24"/>
        </w:rPr>
        <w:t xml:space="preserve"> — raw observation, no window (window = 1 period)</w:t>
      </w:r>
      <w:r/>
    </w:p>
    <w:p w14:paraId="04BDDB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change_pct</w:t>
      </w:r>
      <w:r>
        <w:rPr>
          <w:rFonts w:ascii="Times New Roman" w:hAnsi="Times New Roman" w:eastAsia="Times New Roman" w:cs="Times New Roman"/>
          <w:color w:val="000000"/>
          <w:sz w:val="24"/>
        </w:rPr>
        <w:t xml:space="preserve"> — (current - prior) / prior</w:t>
      </w:r>
      <w:r/>
    </w:p>
    <w:p w14:paraId="404E50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zscore</w:t>
      </w:r>
      <w:r>
        <w:rPr>
          <w:rFonts w:ascii="Times New Roman" w:hAnsi="Times New Roman" w:eastAsia="Times New Roman" w:cs="Times New Roman"/>
          <w:color w:val="000000"/>
          <w:sz w:val="24"/>
        </w:rPr>
        <w:t xml:space="preserve"> — (current - window_mean) / window_std</w:t>
      </w:r>
      <w:r/>
    </w:p>
    <w:p w14:paraId="7D294C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percentile_rank</w:t>
      </w:r>
      <w:r>
        <w:rPr>
          <w:rFonts w:ascii="Times New Roman" w:hAnsi="Times New Roman" w:eastAsia="Times New Roman" w:cs="Times New Roman"/>
          <w:color w:val="000000"/>
          <w:sz w:val="24"/>
        </w:rPr>
        <w:t xml:space="preserve"> — rank of current value in window distribution</w:t>
      </w:r>
      <w:r/>
    </w:p>
    <w:p w14:paraId="1F8EDB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ma</w:t>
      </w:r>
      <w:r>
        <w:rPr>
          <w:rFonts w:ascii="Times New Roman" w:hAnsi="Times New Roman" w:eastAsia="Times New Roman" w:cs="Times New Roman"/>
          <w:color w:val="000000"/>
          <w:sz w:val="24"/>
        </w:rPr>
        <w:t xml:space="preserve"> — simple moving average over window</w:t>
      </w:r>
      <w:r/>
    </w:p>
    <w:p w14:paraId="114A59E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ema</w:t>
      </w:r>
      <w:r>
        <w:rPr>
          <w:rFonts w:ascii="Times New Roman" w:hAnsi="Times New Roman" w:eastAsia="Times New Roman" w:cs="Times New Roman"/>
          <w:color w:val="000000"/>
          <w:sz w:val="24"/>
        </w:rPr>
        <w:t xml:space="preserve"> — exponential moving average, decay specified</w:t>
      </w:r>
      <w:r/>
    </w:p>
    <w:p w14:paraId="613D99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cumsum</w:t>
      </w:r>
      <w:r>
        <w:rPr>
          <w:rFonts w:ascii="Times New Roman" w:hAnsi="Times New Roman" w:eastAsia="Times New Roman" w:cs="Times New Roman"/>
          <w:color w:val="000000"/>
          <w:sz w:val="24"/>
        </w:rPr>
        <w:t xml:space="preserve"> — cumulative sum over window</w:t>
      </w:r>
      <w:r/>
    </w:p>
    <w:p w14:paraId="4831E6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max</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range</w:t>
      </w:r>
      <w:r>
        <w:rPr>
          <w:rFonts w:ascii="Times New Roman" w:hAnsi="Times New Roman" w:eastAsia="Times New Roman" w:cs="Times New Roman"/>
          <w:color w:val="000000"/>
          <w:sz w:val="24"/>
        </w:rPr>
        <w:t xml:space="preserve"> — window extremes</w:t>
      </w:r>
      <w:r/>
    </w:p>
    <w:p w14:paraId="03275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Window sizes used:</w:t>
      </w:r>
      <w:r>
        <w:rPr>
          <w:rFonts w:ascii="Times New Roman" w:hAnsi="Times New Roman" w:eastAsia="Times New Roman" w:cs="Times New Roman"/>
          <w:color w:val="000000"/>
          <w:sz w:val="24"/>
        </w:rPr>
        <w:t xml:space="preserve"> 7d, 14d, 30d, 90d, 365d (expressed in calendar days, not observation counts, to handle irregular cadences gracefully)</w:t>
      </w:r>
      <w:r/>
    </w:p>
    <w:p w14:paraId="50867F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Staleness threshold:</w:t>
      </w:r>
      <w:r>
        <w:rPr>
          <w:rFonts w:ascii="Times New Roman" w:hAnsi="Times New Roman" w:eastAsia="Times New Roman" w:cs="Times New Roman"/>
          <w:color w:val="000000"/>
          <w:sz w:val="24"/>
        </w:rPr>
        <w:t xml:space="preserve"> A rolling feature over a 30d window is considered stale if the most recent observation is more than 2× the expected cadence old. For an 8h metric, staleness triggers at 16h. For a daily metric, staleness triggers at 48h.</w:t>
      </w:r>
      <w:r/>
    </w:p>
    <w:p w14:paraId="6212F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Derivatives domain — per instrument: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00"/>
        <w:gridCol w:w="1922"/>
        <w:gridCol w:w="927"/>
        <w:gridCol w:w="731"/>
        <w:gridCol w:w="746"/>
        <w:gridCol w:w="3028"/>
      </w:tblGrid>
      <w:tr>
        <w:trPr/>
        <w:tc>
          <w:tcPr>
            <w:tcBorders/>
            <w:tcMar>
              <w:left w:w="15" w:type="dxa"/>
              <w:top w:w="15" w:type="dxa"/>
              <w:right w:w="15" w:type="dxa"/>
              <w:bottom w:w="15" w:type="dxa"/>
            </w:tcMar>
            <w:tcW w:w="2000" w:type="dxa"/>
            <w:vAlign w:val="center"/>
          </w:tcPr>
          <w:p w14:paraId="2778DB92">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1922" w:type="dxa"/>
            <w:vAlign w:val="center"/>
          </w:tcPr>
          <w:p w14:paraId="2C37755E">
            <w:pPr>
              <w:pBdr/>
              <w:spacing w:after="0" w:before="0" w:line="240"/>
              <w:ind/>
              <w:jc w:val="center"/>
              <w:rPr/>
            </w:pPr>
            <w:r>
              <w:rPr>
                <w:rFonts w:ascii="Times New Roman" w:hAnsi="Times New Roman" w:eastAsia="Times New Roman" w:cs="Times New Roman"/>
                <w:b/>
                <w:color w:val="000000"/>
                <w:sz w:val="24"/>
              </w:rPr>
              <w:t xml:space="preserve">Input Metric Concept</w:t>
            </w:r>
            <w:r/>
          </w:p>
        </w:tc>
        <w:tc>
          <w:tcPr>
            <w:tcBorders/>
            <w:tcMar>
              <w:left w:w="15" w:type="dxa"/>
              <w:top w:w="15" w:type="dxa"/>
              <w:right w:w="15" w:type="dxa"/>
              <w:bottom w:w="15" w:type="dxa"/>
            </w:tcMar>
            <w:tcW w:w="927" w:type="dxa"/>
            <w:vAlign w:val="center"/>
          </w:tcPr>
          <w:p w14:paraId="27A3D0F3">
            <w:pPr>
              <w:pBdr/>
              <w:spacing w:after="0" w:before="0" w:line="240"/>
              <w:ind/>
              <w:jc w:val="center"/>
              <w:rPr/>
            </w:pPr>
            <w:r>
              <w:rPr>
                <w:rFonts w:ascii="Times New Roman" w:hAnsi="Times New Roman" w:eastAsia="Times New Roman" w:cs="Times New Roman"/>
                <w:b/>
                <w:color w:val="000000"/>
                <w:sz w:val="24"/>
              </w:rPr>
              <w:t xml:space="preserve">Statistic</w:t>
            </w:r>
            <w:r/>
          </w:p>
        </w:tc>
        <w:tc>
          <w:tcPr>
            <w:tcBorders/>
            <w:tcMar>
              <w:left w:w="15" w:type="dxa"/>
              <w:top w:w="15" w:type="dxa"/>
              <w:right w:w="15" w:type="dxa"/>
              <w:bottom w:w="15" w:type="dxa"/>
            </w:tcMar>
            <w:tcW w:w="731" w:type="dxa"/>
            <w:vAlign w:val="center"/>
          </w:tcPr>
          <w:p w14:paraId="195C1884">
            <w:pPr>
              <w:pBdr/>
              <w:spacing w:after="0" w:before="0" w:line="240"/>
              <w:ind/>
              <w:jc w:val="center"/>
              <w:rPr/>
            </w:pPr>
            <w:r>
              <w:rPr>
                <w:rFonts w:ascii="Times New Roman" w:hAnsi="Times New Roman" w:eastAsia="Times New Roman" w:cs="Times New Roman"/>
                <w:b/>
                <w:color w:val="000000"/>
                <w:sz w:val="24"/>
              </w:rPr>
              <w:t xml:space="preserve">Window</w:t>
            </w:r>
            <w:r/>
          </w:p>
        </w:tc>
        <w:tc>
          <w:tcPr>
            <w:tcBorders/>
            <w:tcMar>
              <w:left w:w="15" w:type="dxa"/>
              <w:top w:w="15" w:type="dxa"/>
              <w:right w:w="15" w:type="dxa"/>
              <w:bottom w:w="15" w:type="dxa"/>
            </w:tcMar>
            <w:tcW w:w="746" w:type="dxa"/>
            <w:vAlign w:val="center"/>
          </w:tcPr>
          <w:p w14:paraId="544D0939">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3028" w:type="dxa"/>
            <w:vAlign w:val="center"/>
          </w:tcPr>
          <w:p w14:paraId="018611E6">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000" w:type="dxa"/>
            <w:vAlign w:val="center"/>
          </w:tcPr>
          <w:p w14:paraId="5DF0643C">
            <w:pPr>
              <w:pBdr/>
              <w:spacing w:after="0" w:before="0" w:line="240"/>
              <w:ind/>
              <w:rPr/>
            </w:pPr>
            <w:r>
              <w:rPr>
                <w:rFonts w:ascii="Times New Roman" w:hAnsi="Times New Roman" w:eastAsia="Times New Roman" w:cs="Times New Roman"/>
                <w:color w:val="000000"/>
                <w:sz w:val="24"/>
              </w:rPr>
              <w:t xml:space="preserve">Funding rate, raw</w:t>
            </w:r>
            <w:r/>
          </w:p>
        </w:tc>
        <w:tc>
          <w:tcPr>
            <w:tcBorders/>
            <w:tcMar>
              <w:left w:w="15" w:type="dxa"/>
              <w:top w:w="15" w:type="dxa"/>
              <w:right w:w="15" w:type="dxa"/>
              <w:bottom w:w="15" w:type="dxa"/>
            </w:tcMar>
            <w:tcW w:w="1922" w:type="dxa"/>
            <w:vAlign w:val="center"/>
          </w:tcPr>
          <w:p w14:paraId="44982ED9">
            <w:pPr>
              <w:pBdr/>
              <w:spacing w:after="0" w:before="0" w:line="240"/>
              <w:ind/>
              <w:rPr/>
            </w:pPr>
            <w:r>
              <w:rPr>
                <w:rFonts w:ascii="Times New Roman" w:hAnsi="Times New Roman" w:eastAsia="Times New Roman" w:cs="Times New Roman"/>
                <w:color w:val="000000"/>
                <w:sz w:val="24"/>
              </w:rPr>
              <w:t xml:space="preserve">funding_rate</w:t>
            </w:r>
            <w:r/>
          </w:p>
        </w:tc>
        <w:tc>
          <w:tcPr>
            <w:tcBorders/>
            <w:tcMar>
              <w:left w:w="15" w:type="dxa"/>
              <w:top w:w="15" w:type="dxa"/>
              <w:right w:w="15" w:type="dxa"/>
              <w:bottom w:w="15" w:type="dxa"/>
            </w:tcMar>
            <w:tcW w:w="927" w:type="dxa"/>
            <w:vAlign w:val="center"/>
          </w:tcPr>
          <w:p w14:paraId="097C59E4">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58B304A4">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2AB001EB">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7F975937">
            <w:pPr>
              <w:pBdr/>
              <w:spacing w:after="0" w:before="0" w:line="240"/>
              <w:ind/>
              <w:rPr/>
            </w:pPr>
            <w:r>
              <w:rPr>
                <w:rFonts w:ascii="Times New Roman" w:hAnsi="Times New Roman" w:eastAsia="Times New Roman" w:cs="Times New Roman"/>
                <w:color w:val="000000"/>
                <w:sz w:val="24"/>
              </w:rPr>
              <w:t xml:space="preserve">Core signal</w:t>
            </w:r>
            <w:r/>
          </w:p>
        </w:tc>
      </w:tr>
      <w:tr>
        <w:trPr/>
        <w:tc>
          <w:tcPr>
            <w:tcBorders/>
            <w:tcMar>
              <w:left w:w="15" w:type="dxa"/>
              <w:top w:w="15" w:type="dxa"/>
              <w:right w:w="15" w:type="dxa"/>
              <w:bottom w:w="15" w:type="dxa"/>
            </w:tcMar>
            <w:tcW w:w="2000" w:type="dxa"/>
            <w:vAlign w:val="center"/>
          </w:tcPr>
          <w:p w14:paraId="59286311">
            <w:pPr>
              <w:pBdr/>
              <w:spacing w:after="0" w:before="0" w:line="240"/>
              <w:ind/>
              <w:rPr/>
            </w:pPr>
            <w:r>
              <w:rPr>
                <w:rFonts w:ascii="Times New Roman" w:hAnsi="Times New Roman" w:eastAsia="Times New Roman" w:cs="Times New Roman"/>
                <w:color w:val="000000"/>
                <w:sz w:val="24"/>
              </w:rPr>
              <w:t xml:space="preserve">Funding rate zscore</w:t>
            </w:r>
            <w:r/>
          </w:p>
        </w:tc>
        <w:tc>
          <w:tcPr>
            <w:tcBorders/>
            <w:tcMar>
              <w:left w:w="15" w:type="dxa"/>
              <w:top w:w="15" w:type="dxa"/>
              <w:right w:w="15" w:type="dxa"/>
              <w:bottom w:w="15" w:type="dxa"/>
            </w:tcMar>
            <w:tcW w:w="1922" w:type="dxa"/>
            <w:vAlign w:val="center"/>
          </w:tcPr>
          <w:p w14:paraId="4462B0F0">
            <w:pPr>
              <w:pBdr/>
              <w:spacing w:after="0" w:before="0" w:line="240"/>
              <w:ind/>
              <w:rPr/>
            </w:pPr>
            <w:r>
              <w:rPr>
                <w:rFonts w:ascii="Times New Roman" w:hAnsi="Times New Roman" w:eastAsia="Times New Roman" w:cs="Times New Roman"/>
                <w:color w:val="000000"/>
                <w:sz w:val="24"/>
              </w:rPr>
              <w:t xml:space="preserve">funding_rate</w:t>
            </w:r>
            <w:r/>
          </w:p>
        </w:tc>
        <w:tc>
          <w:tcPr>
            <w:tcBorders/>
            <w:tcMar>
              <w:left w:w="15" w:type="dxa"/>
              <w:top w:w="15" w:type="dxa"/>
              <w:right w:w="15" w:type="dxa"/>
              <w:bottom w:w="15" w:type="dxa"/>
            </w:tcMar>
            <w:tcW w:w="927" w:type="dxa"/>
            <w:vAlign w:val="center"/>
          </w:tcPr>
          <w:p w14:paraId="6B5B1AD5">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512B652B">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46" w:type="dxa"/>
            <w:vAlign w:val="center"/>
          </w:tcPr>
          <w:p w14:paraId="7917608B">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5C5B8EFB">
            <w:pPr>
              <w:pBdr/>
              <w:spacing w:after="0" w:before="0" w:line="240"/>
              <w:ind/>
              <w:rPr/>
            </w:pPr>
            <w:r>
              <w:rPr>
                <w:rFonts w:ascii="Times New Roman" w:hAnsi="Times New Roman" w:eastAsia="Times New Roman" w:cs="Times New Roman"/>
                <w:color w:val="000000"/>
                <w:sz w:val="24"/>
              </w:rPr>
              <w:t xml:space="preserve">Normalized positioning</w:t>
            </w:r>
            <w:r/>
          </w:p>
        </w:tc>
      </w:tr>
      <w:tr>
        <w:trPr/>
        <w:tc>
          <w:tcPr>
            <w:tcBorders/>
            <w:tcMar>
              <w:left w:w="15" w:type="dxa"/>
              <w:top w:w="15" w:type="dxa"/>
              <w:right w:w="15" w:type="dxa"/>
              <w:bottom w:w="15" w:type="dxa"/>
            </w:tcMar>
            <w:tcW w:w="2000" w:type="dxa"/>
            <w:vAlign w:val="center"/>
          </w:tcPr>
          <w:p w14:paraId="7BE840B6">
            <w:pPr>
              <w:pBdr/>
              <w:spacing w:after="0" w:before="0" w:line="240"/>
              <w:ind/>
              <w:rPr/>
            </w:pPr>
            <w:r>
              <w:rPr>
                <w:rFonts w:ascii="Times New Roman" w:hAnsi="Times New Roman" w:eastAsia="Times New Roman" w:cs="Times New Roman"/>
                <w:color w:val="000000"/>
                <w:sz w:val="24"/>
              </w:rPr>
              <w:t xml:space="preserve">Funding rate zscore</w:t>
            </w:r>
            <w:r/>
          </w:p>
        </w:tc>
        <w:tc>
          <w:tcPr>
            <w:tcBorders/>
            <w:tcMar>
              <w:left w:w="15" w:type="dxa"/>
              <w:top w:w="15" w:type="dxa"/>
              <w:right w:w="15" w:type="dxa"/>
              <w:bottom w:w="15" w:type="dxa"/>
            </w:tcMar>
            <w:tcW w:w="1922" w:type="dxa"/>
            <w:vAlign w:val="center"/>
          </w:tcPr>
          <w:p w14:paraId="0C6B3A48">
            <w:pPr>
              <w:pBdr/>
              <w:spacing w:after="0" w:before="0" w:line="240"/>
              <w:ind/>
              <w:rPr/>
            </w:pPr>
            <w:r>
              <w:rPr>
                <w:rFonts w:ascii="Times New Roman" w:hAnsi="Times New Roman" w:eastAsia="Times New Roman" w:cs="Times New Roman"/>
                <w:color w:val="000000"/>
                <w:sz w:val="24"/>
              </w:rPr>
              <w:t xml:space="preserve">funding_rate</w:t>
            </w:r>
            <w:r/>
          </w:p>
        </w:tc>
        <w:tc>
          <w:tcPr>
            <w:tcBorders/>
            <w:tcMar>
              <w:left w:w="15" w:type="dxa"/>
              <w:top w:w="15" w:type="dxa"/>
              <w:right w:w="15" w:type="dxa"/>
              <w:bottom w:w="15" w:type="dxa"/>
            </w:tcMar>
            <w:tcW w:w="927" w:type="dxa"/>
            <w:vAlign w:val="center"/>
          </w:tcPr>
          <w:p w14:paraId="663FEC2F">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636C6EAA">
            <w:pPr>
              <w:pBdr/>
              <w:spacing w:after="0" w:before="0" w:line="240"/>
              <w:ind/>
              <w:rPr/>
            </w:pPr>
            <w:r>
              <w:rPr>
                <w:rFonts w:ascii="Times New Roman" w:hAnsi="Times New Roman" w:eastAsia="Times New Roman" w:cs="Times New Roman"/>
                <w:color w:val="000000"/>
                <w:sz w:val="24"/>
              </w:rPr>
              <w:t xml:space="preserve">90d</w:t>
            </w:r>
            <w:r/>
          </w:p>
        </w:tc>
        <w:tc>
          <w:tcPr>
            <w:tcBorders/>
            <w:tcMar>
              <w:left w:w="15" w:type="dxa"/>
              <w:top w:w="15" w:type="dxa"/>
              <w:right w:w="15" w:type="dxa"/>
              <w:bottom w:w="15" w:type="dxa"/>
            </w:tcMar>
            <w:tcW w:w="746" w:type="dxa"/>
            <w:vAlign w:val="center"/>
          </w:tcPr>
          <w:p w14:paraId="73E3EA90">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375A8FC3">
            <w:pPr>
              <w:pBdr/>
              <w:spacing w:after="0" w:before="0" w:line="240"/>
              <w:ind/>
              <w:rPr/>
            </w:pPr>
            <w:r>
              <w:rPr>
                <w:rFonts w:ascii="Times New Roman" w:hAnsi="Times New Roman" w:eastAsia="Times New Roman" w:cs="Times New Roman"/>
                <w:color w:val="000000"/>
                <w:sz w:val="24"/>
              </w:rPr>
              <w:t xml:space="preserve">Longer context</w:t>
            </w:r>
            <w:r/>
          </w:p>
        </w:tc>
      </w:tr>
      <w:tr>
        <w:trPr/>
        <w:tc>
          <w:tcPr>
            <w:tcBorders/>
            <w:tcMar>
              <w:left w:w="15" w:type="dxa"/>
              <w:top w:w="15" w:type="dxa"/>
              <w:right w:w="15" w:type="dxa"/>
              <w:bottom w:w="15" w:type="dxa"/>
            </w:tcMar>
            <w:tcW w:w="2000" w:type="dxa"/>
            <w:vAlign w:val="center"/>
          </w:tcPr>
          <w:p w14:paraId="16B193DB">
            <w:pPr>
              <w:pBdr/>
              <w:spacing w:after="0" w:before="0" w:line="240"/>
              <w:ind/>
              <w:rPr/>
            </w:pPr>
            <w:r>
              <w:rPr>
                <w:rFonts w:ascii="Times New Roman" w:hAnsi="Times New Roman" w:eastAsia="Times New Roman" w:cs="Times New Roman"/>
                <w:color w:val="000000"/>
                <w:sz w:val="24"/>
              </w:rPr>
              <w:t xml:space="preserve">Funding rate MA</w:t>
            </w:r>
            <w:r/>
          </w:p>
        </w:tc>
        <w:tc>
          <w:tcPr>
            <w:tcBorders/>
            <w:tcMar>
              <w:left w:w="15" w:type="dxa"/>
              <w:top w:w="15" w:type="dxa"/>
              <w:right w:w="15" w:type="dxa"/>
              <w:bottom w:w="15" w:type="dxa"/>
            </w:tcMar>
            <w:tcW w:w="1922" w:type="dxa"/>
            <w:vAlign w:val="center"/>
          </w:tcPr>
          <w:p w14:paraId="0C0B33E8">
            <w:pPr>
              <w:pBdr/>
              <w:spacing w:after="0" w:before="0" w:line="240"/>
              <w:ind/>
              <w:rPr/>
            </w:pPr>
            <w:r>
              <w:rPr>
                <w:rFonts w:ascii="Times New Roman" w:hAnsi="Times New Roman" w:eastAsia="Times New Roman" w:cs="Times New Roman"/>
                <w:color w:val="000000"/>
                <w:sz w:val="24"/>
              </w:rPr>
              <w:t xml:space="preserve">funding_rate</w:t>
            </w:r>
            <w:r/>
          </w:p>
        </w:tc>
        <w:tc>
          <w:tcPr>
            <w:tcBorders/>
            <w:tcMar>
              <w:left w:w="15" w:type="dxa"/>
              <w:top w:w="15" w:type="dxa"/>
              <w:right w:w="15" w:type="dxa"/>
              <w:bottom w:w="15" w:type="dxa"/>
            </w:tcMar>
            <w:tcW w:w="927" w:type="dxa"/>
            <w:vAlign w:val="center"/>
          </w:tcPr>
          <w:p w14:paraId="254F0D00">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731" w:type="dxa"/>
            <w:vAlign w:val="center"/>
          </w:tcPr>
          <w:p w14:paraId="4EC86BC5">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46" w:type="dxa"/>
            <w:vAlign w:val="center"/>
          </w:tcPr>
          <w:p w14:paraId="420307F1">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08C5F92E">
            <w:pPr>
              <w:pBdr/>
              <w:spacing w:after="0" w:before="0" w:line="240"/>
              <w:ind/>
              <w:rPr/>
            </w:pPr>
            <w:r>
              <w:rPr>
                <w:rFonts w:ascii="Times New Roman" w:hAnsi="Times New Roman" w:eastAsia="Times New Roman" w:cs="Times New Roman"/>
                <w:color w:val="000000"/>
                <w:sz w:val="24"/>
              </w:rPr>
              <w:t xml:space="preserve">Trend direction</w:t>
            </w:r>
            <w:r/>
          </w:p>
        </w:tc>
      </w:tr>
      <w:tr>
        <w:trPr/>
        <w:tc>
          <w:tcPr>
            <w:tcBorders/>
            <w:tcMar>
              <w:left w:w="15" w:type="dxa"/>
              <w:top w:w="15" w:type="dxa"/>
              <w:right w:w="15" w:type="dxa"/>
              <w:bottom w:w="15" w:type="dxa"/>
            </w:tcMar>
            <w:tcW w:w="2000" w:type="dxa"/>
            <w:vAlign w:val="center"/>
          </w:tcPr>
          <w:p w14:paraId="65CE0154">
            <w:pPr>
              <w:pBdr/>
              <w:spacing w:after="0" w:before="0" w:line="240"/>
              <w:ind/>
              <w:rPr/>
            </w:pPr>
            <w:r>
              <w:rPr>
                <w:rFonts w:ascii="Times New Roman" w:hAnsi="Times New Roman" w:eastAsia="Times New Roman" w:cs="Times New Roman"/>
                <w:color w:val="000000"/>
                <w:sz w:val="24"/>
              </w:rPr>
              <w:t xml:space="preserve">Funding rate MA</w:t>
            </w:r>
            <w:r/>
          </w:p>
        </w:tc>
        <w:tc>
          <w:tcPr>
            <w:tcBorders/>
            <w:tcMar>
              <w:left w:w="15" w:type="dxa"/>
              <w:top w:w="15" w:type="dxa"/>
              <w:right w:w="15" w:type="dxa"/>
              <w:bottom w:w="15" w:type="dxa"/>
            </w:tcMar>
            <w:tcW w:w="1922" w:type="dxa"/>
            <w:vAlign w:val="center"/>
          </w:tcPr>
          <w:p w14:paraId="3C40B812">
            <w:pPr>
              <w:pBdr/>
              <w:spacing w:after="0" w:before="0" w:line="240"/>
              <w:ind/>
              <w:rPr/>
            </w:pPr>
            <w:r>
              <w:rPr>
                <w:rFonts w:ascii="Times New Roman" w:hAnsi="Times New Roman" w:eastAsia="Times New Roman" w:cs="Times New Roman"/>
                <w:color w:val="000000"/>
                <w:sz w:val="24"/>
              </w:rPr>
              <w:t xml:space="preserve">funding_rate</w:t>
            </w:r>
            <w:r/>
          </w:p>
        </w:tc>
        <w:tc>
          <w:tcPr>
            <w:tcBorders/>
            <w:tcMar>
              <w:left w:w="15" w:type="dxa"/>
              <w:top w:w="15" w:type="dxa"/>
              <w:right w:w="15" w:type="dxa"/>
              <w:bottom w:w="15" w:type="dxa"/>
            </w:tcMar>
            <w:tcW w:w="927" w:type="dxa"/>
            <w:vAlign w:val="center"/>
          </w:tcPr>
          <w:p w14:paraId="3BA9302A">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731" w:type="dxa"/>
            <w:vAlign w:val="center"/>
          </w:tcPr>
          <w:p w14:paraId="7CC21B83">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46" w:type="dxa"/>
            <w:vAlign w:val="center"/>
          </w:tcPr>
          <w:p w14:paraId="2B608701">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589D30EA">
            <w:pPr>
              <w:pBdr/>
              <w:spacing w:after="0" w:before="0" w:line="240"/>
              <w:ind/>
              <w:rPr/>
            </w:pPr>
            <w:r>
              <w:rPr>
                <w:rFonts w:ascii="Times New Roman" w:hAnsi="Times New Roman" w:eastAsia="Times New Roman" w:cs="Times New Roman"/>
                <w:color w:val="000000"/>
                <w:sz w:val="24"/>
              </w:rPr>
              <w:t xml:space="preserve">Regime context</w:t>
            </w:r>
            <w:r/>
          </w:p>
        </w:tc>
      </w:tr>
      <w:tr>
        <w:trPr/>
        <w:tc>
          <w:tcPr>
            <w:tcBorders/>
            <w:tcMar>
              <w:left w:w="15" w:type="dxa"/>
              <w:top w:w="15" w:type="dxa"/>
              <w:right w:w="15" w:type="dxa"/>
              <w:bottom w:w="15" w:type="dxa"/>
            </w:tcMar>
            <w:tcW w:w="2000" w:type="dxa"/>
            <w:vAlign w:val="center"/>
          </w:tcPr>
          <w:p w14:paraId="2CDFD2CA">
            <w:pPr>
              <w:pBdr/>
              <w:spacing w:after="0" w:before="0" w:line="240"/>
              <w:ind/>
              <w:rPr/>
            </w:pPr>
            <w:r>
              <w:rPr>
                <w:rFonts w:ascii="Times New Roman" w:hAnsi="Times New Roman" w:eastAsia="Times New Roman" w:cs="Times New Roman"/>
                <w:color w:val="000000"/>
                <w:sz w:val="24"/>
              </w:rPr>
              <w:t xml:space="preserve">Open interest, USD</w:t>
            </w:r>
            <w:r/>
          </w:p>
        </w:tc>
        <w:tc>
          <w:tcPr>
            <w:tcBorders/>
            <w:tcMar>
              <w:left w:w="15" w:type="dxa"/>
              <w:top w:w="15" w:type="dxa"/>
              <w:right w:w="15" w:type="dxa"/>
              <w:bottom w:w="15" w:type="dxa"/>
            </w:tcMar>
            <w:tcW w:w="1922" w:type="dxa"/>
            <w:vAlign w:val="center"/>
          </w:tcPr>
          <w:p w14:paraId="194A42D5">
            <w:pPr>
              <w:pBdr/>
              <w:spacing w:after="0" w:before="0" w:line="240"/>
              <w:ind/>
              <w:rPr/>
            </w:pPr>
            <w:r>
              <w:rPr>
                <w:rFonts w:ascii="Times New Roman" w:hAnsi="Times New Roman" w:eastAsia="Times New Roman" w:cs="Times New Roman"/>
                <w:color w:val="000000"/>
                <w:sz w:val="24"/>
              </w:rPr>
              <w:t xml:space="preserve">oi_usd</w:t>
            </w:r>
            <w:r/>
          </w:p>
        </w:tc>
        <w:tc>
          <w:tcPr>
            <w:tcBorders/>
            <w:tcMar>
              <w:left w:w="15" w:type="dxa"/>
              <w:top w:w="15" w:type="dxa"/>
              <w:right w:w="15" w:type="dxa"/>
              <w:bottom w:w="15" w:type="dxa"/>
            </w:tcMar>
            <w:tcW w:w="927" w:type="dxa"/>
            <w:vAlign w:val="center"/>
          </w:tcPr>
          <w:p w14:paraId="22398CB8">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175883EF">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0C06FA99">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4D00F60E">
            <w:pPr>
              <w:pBdr/>
              <w:spacing w:after="0" w:before="0" w:line="240"/>
              <w:ind/>
              <w:rPr/>
            </w:pPr>
            <w:r/>
          </w:p>
        </w:tc>
      </w:tr>
      <w:tr>
        <w:trPr/>
        <w:tc>
          <w:tcPr>
            <w:tcBorders/>
            <w:tcMar>
              <w:left w:w="15" w:type="dxa"/>
              <w:top w:w="15" w:type="dxa"/>
              <w:right w:w="15" w:type="dxa"/>
              <w:bottom w:w="15" w:type="dxa"/>
            </w:tcMar>
            <w:tcW w:w="2000" w:type="dxa"/>
            <w:vAlign w:val="center"/>
          </w:tcPr>
          <w:p w14:paraId="2154F573">
            <w:pPr>
              <w:pBdr/>
              <w:spacing w:after="0" w:before="0" w:line="240"/>
              <w:ind/>
              <w:rPr/>
            </w:pPr>
            <w:r>
              <w:rPr>
                <w:rFonts w:ascii="Times New Roman" w:hAnsi="Times New Roman" w:eastAsia="Times New Roman" w:cs="Times New Roman"/>
                <w:color w:val="000000"/>
                <w:sz w:val="24"/>
              </w:rPr>
              <w:t xml:space="preserve">Open interest change</w:t>
            </w:r>
            <w:r/>
          </w:p>
        </w:tc>
        <w:tc>
          <w:tcPr>
            <w:tcBorders/>
            <w:tcMar>
              <w:left w:w="15" w:type="dxa"/>
              <w:top w:w="15" w:type="dxa"/>
              <w:right w:w="15" w:type="dxa"/>
              <w:bottom w:w="15" w:type="dxa"/>
            </w:tcMar>
            <w:tcW w:w="1922" w:type="dxa"/>
            <w:vAlign w:val="center"/>
          </w:tcPr>
          <w:p w14:paraId="297923DA">
            <w:pPr>
              <w:pBdr/>
              <w:spacing w:after="0" w:before="0" w:line="240"/>
              <w:ind/>
              <w:rPr/>
            </w:pPr>
            <w:r>
              <w:rPr>
                <w:rFonts w:ascii="Times New Roman" w:hAnsi="Times New Roman" w:eastAsia="Times New Roman" w:cs="Times New Roman"/>
                <w:color w:val="000000"/>
                <w:sz w:val="24"/>
              </w:rPr>
              <w:t xml:space="preserve">oi_usd</w:t>
            </w:r>
            <w:r/>
          </w:p>
        </w:tc>
        <w:tc>
          <w:tcPr>
            <w:tcBorders/>
            <w:tcMar>
              <w:left w:w="15" w:type="dxa"/>
              <w:top w:w="15" w:type="dxa"/>
              <w:right w:w="15" w:type="dxa"/>
              <w:bottom w:w="15" w:type="dxa"/>
            </w:tcMar>
            <w:tcW w:w="927" w:type="dxa"/>
            <w:vAlign w:val="center"/>
          </w:tcPr>
          <w:p w14:paraId="001A55CE">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731" w:type="dxa"/>
            <w:vAlign w:val="center"/>
          </w:tcPr>
          <w:p w14:paraId="6F335303">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746" w:type="dxa"/>
            <w:vAlign w:val="center"/>
          </w:tcPr>
          <w:p w14:paraId="6A791120">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53891578">
            <w:pPr>
              <w:pBdr/>
              <w:spacing w:after="0" w:before="0" w:line="240"/>
              <w:ind/>
              <w:rPr/>
            </w:pPr>
            <w:r>
              <w:rPr>
                <w:rFonts w:ascii="Times New Roman" w:hAnsi="Times New Roman" w:eastAsia="Times New Roman" w:cs="Times New Roman"/>
                <w:color w:val="000000"/>
                <w:sz w:val="24"/>
              </w:rPr>
              <w:t xml:space="preserve">Computed over 3 obs</w:t>
            </w:r>
            <w:r/>
          </w:p>
        </w:tc>
      </w:tr>
      <w:tr>
        <w:trPr/>
        <w:tc>
          <w:tcPr>
            <w:tcBorders/>
            <w:tcMar>
              <w:left w:w="15" w:type="dxa"/>
              <w:top w:w="15" w:type="dxa"/>
              <w:right w:w="15" w:type="dxa"/>
              <w:bottom w:w="15" w:type="dxa"/>
            </w:tcMar>
            <w:tcW w:w="2000" w:type="dxa"/>
            <w:vAlign w:val="center"/>
          </w:tcPr>
          <w:p w14:paraId="61DCDEE1">
            <w:pPr>
              <w:pBdr/>
              <w:spacing w:after="0" w:before="0" w:line="240"/>
              <w:ind/>
              <w:rPr/>
            </w:pPr>
            <w:r>
              <w:rPr>
                <w:rFonts w:ascii="Times New Roman" w:hAnsi="Times New Roman" w:eastAsia="Times New Roman" w:cs="Times New Roman"/>
                <w:color w:val="000000"/>
                <w:sz w:val="24"/>
              </w:rPr>
              <w:t xml:space="preserve">Open interest change</w:t>
            </w:r>
            <w:r/>
          </w:p>
        </w:tc>
        <w:tc>
          <w:tcPr>
            <w:tcBorders/>
            <w:tcMar>
              <w:left w:w="15" w:type="dxa"/>
              <w:top w:w="15" w:type="dxa"/>
              <w:right w:w="15" w:type="dxa"/>
              <w:bottom w:w="15" w:type="dxa"/>
            </w:tcMar>
            <w:tcW w:w="1922" w:type="dxa"/>
            <w:vAlign w:val="center"/>
          </w:tcPr>
          <w:p w14:paraId="658C9C6F">
            <w:pPr>
              <w:pBdr/>
              <w:spacing w:after="0" w:before="0" w:line="240"/>
              <w:ind/>
              <w:rPr/>
            </w:pPr>
            <w:r>
              <w:rPr>
                <w:rFonts w:ascii="Times New Roman" w:hAnsi="Times New Roman" w:eastAsia="Times New Roman" w:cs="Times New Roman"/>
                <w:color w:val="000000"/>
                <w:sz w:val="24"/>
              </w:rPr>
              <w:t xml:space="preserve">oi_usd</w:t>
            </w:r>
            <w:r/>
          </w:p>
        </w:tc>
        <w:tc>
          <w:tcPr>
            <w:tcBorders/>
            <w:tcMar>
              <w:left w:w="15" w:type="dxa"/>
              <w:top w:w="15" w:type="dxa"/>
              <w:right w:w="15" w:type="dxa"/>
              <w:bottom w:w="15" w:type="dxa"/>
            </w:tcMar>
            <w:tcW w:w="927" w:type="dxa"/>
            <w:vAlign w:val="center"/>
          </w:tcPr>
          <w:p w14:paraId="16B2BC11">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731" w:type="dxa"/>
            <w:vAlign w:val="center"/>
          </w:tcPr>
          <w:p w14:paraId="3BCB0576">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46" w:type="dxa"/>
            <w:vAlign w:val="center"/>
          </w:tcPr>
          <w:p w14:paraId="77E12D0C">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3D8ED1AE">
            <w:pPr>
              <w:pBdr/>
              <w:spacing w:after="0" w:before="0" w:line="240"/>
              <w:ind/>
              <w:rPr/>
            </w:pPr>
            <w:r/>
          </w:p>
        </w:tc>
      </w:tr>
      <w:tr>
        <w:trPr/>
        <w:tc>
          <w:tcPr>
            <w:tcBorders/>
            <w:tcMar>
              <w:left w:w="15" w:type="dxa"/>
              <w:top w:w="15" w:type="dxa"/>
              <w:right w:w="15" w:type="dxa"/>
              <w:bottom w:w="15" w:type="dxa"/>
            </w:tcMar>
            <w:tcW w:w="2000" w:type="dxa"/>
            <w:vAlign w:val="center"/>
          </w:tcPr>
          <w:p w14:paraId="23643814">
            <w:pPr>
              <w:pBdr/>
              <w:spacing w:after="0" w:before="0" w:line="240"/>
              <w:ind/>
              <w:rPr/>
            </w:pPr>
            <w:r>
              <w:rPr>
                <w:rFonts w:ascii="Times New Roman" w:hAnsi="Times New Roman" w:eastAsia="Times New Roman" w:cs="Times New Roman"/>
                <w:color w:val="000000"/>
                <w:sz w:val="24"/>
              </w:rPr>
              <w:t xml:space="preserve">Open interest zscore</w:t>
            </w:r>
            <w:r/>
          </w:p>
        </w:tc>
        <w:tc>
          <w:tcPr>
            <w:tcBorders/>
            <w:tcMar>
              <w:left w:w="15" w:type="dxa"/>
              <w:top w:w="15" w:type="dxa"/>
              <w:right w:w="15" w:type="dxa"/>
              <w:bottom w:w="15" w:type="dxa"/>
            </w:tcMar>
            <w:tcW w:w="1922" w:type="dxa"/>
            <w:vAlign w:val="center"/>
          </w:tcPr>
          <w:p w14:paraId="4B7F9083">
            <w:pPr>
              <w:pBdr/>
              <w:spacing w:after="0" w:before="0" w:line="240"/>
              <w:ind/>
              <w:rPr/>
            </w:pPr>
            <w:r>
              <w:rPr>
                <w:rFonts w:ascii="Times New Roman" w:hAnsi="Times New Roman" w:eastAsia="Times New Roman" w:cs="Times New Roman"/>
                <w:color w:val="000000"/>
                <w:sz w:val="24"/>
              </w:rPr>
              <w:t xml:space="preserve">oi_usd</w:t>
            </w:r>
            <w:r/>
          </w:p>
        </w:tc>
        <w:tc>
          <w:tcPr>
            <w:tcBorders/>
            <w:tcMar>
              <w:left w:w="15" w:type="dxa"/>
              <w:top w:w="15" w:type="dxa"/>
              <w:right w:w="15" w:type="dxa"/>
              <w:bottom w:w="15" w:type="dxa"/>
            </w:tcMar>
            <w:tcW w:w="927" w:type="dxa"/>
            <w:vAlign w:val="center"/>
          </w:tcPr>
          <w:p w14:paraId="6B4C39B4">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7BCEEEC8">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46" w:type="dxa"/>
            <w:vAlign w:val="center"/>
          </w:tcPr>
          <w:p w14:paraId="76740A60">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500BC2C3">
            <w:pPr>
              <w:pBdr/>
              <w:spacing w:after="0" w:before="0" w:line="240"/>
              <w:ind/>
              <w:rPr/>
            </w:pPr>
            <w:r/>
          </w:p>
        </w:tc>
      </w:tr>
      <w:tr>
        <w:trPr/>
        <w:tc>
          <w:tcPr>
            <w:tcBorders/>
            <w:tcMar>
              <w:left w:w="15" w:type="dxa"/>
              <w:top w:w="15" w:type="dxa"/>
              <w:right w:w="15" w:type="dxa"/>
              <w:bottom w:w="15" w:type="dxa"/>
            </w:tcMar>
            <w:tcW w:w="2000" w:type="dxa"/>
            <w:vAlign w:val="center"/>
          </w:tcPr>
          <w:p w14:paraId="1394B831">
            <w:pPr>
              <w:pBdr/>
              <w:spacing w:after="0" w:before="0" w:line="240"/>
              <w:ind/>
              <w:rPr/>
            </w:pPr>
            <w:r>
              <w:rPr>
                <w:rFonts w:ascii="Times New Roman" w:hAnsi="Times New Roman" w:eastAsia="Times New Roman" w:cs="Times New Roman"/>
                <w:color w:val="000000"/>
                <w:sz w:val="24"/>
              </w:rPr>
              <w:t xml:space="preserve">Open interest zscore</w:t>
            </w:r>
            <w:r/>
          </w:p>
        </w:tc>
        <w:tc>
          <w:tcPr>
            <w:tcBorders/>
            <w:tcMar>
              <w:left w:w="15" w:type="dxa"/>
              <w:top w:w="15" w:type="dxa"/>
              <w:right w:w="15" w:type="dxa"/>
              <w:bottom w:w="15" w:type="dxa"/>
            </w:tcMar>
            <w:tcW w:w="1922" w:type="dxa"/>
            <w:vAlign w:val="center"/>
          </w:tcPr>
          <w:p w14:paraId="5930E9B7">
            <w:pPr>
              <w:pBdr/>
              <w:spacing w:after="0" w:before="0" w:line="240"/>
              <w:ind/>
              <w:rPr/>
            </w:pPr>
            <w:r>
              <w:rPr>
                <w:rFonts w:ascii="Times New Roman" w:hAnsi="Times New Roman" w:eastAsia="Times New Roman" w:cs="Times New Roman"/>
                <w:color w:val="000000"/>
                <w:sz w:val="24"/>
              </w:rPr>
              <w:t xml:space="preserve">oi_usd</w:t>
            </w:r>
            <w:r/>
          </w:p>
        </w:tc>
        <w:tc>
          <w:tcPr>
            <w:tcBorders/>
            <w:tcMar>
              <w:left w:w="15" w:type="dxa"/>
              <w:top w:w="15" w:type="dxa"/>
              <w:right w:w="15" w:type="dxa"/>
              <w:bottom w:w="15" w:type="dxa"/>
            </w:tcMar>
            <w:tcW w:w="927" w:type="dxa"/>
            <w:vAlign w:val="center"/>
          </w:tcPr>
          <w:p w14:paraId="15D7A4ED">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28BE728E">
            <w:pPr>
              <w:pBdr/>
              <w:spacing w:after="0" w:before="0" w:line="240"/>
              <w:ind/>
              <w:rPr/>
            </w:pPr>
            <w:r>
              <w:rPr>
                <w:rFonts w:ascii="Times New Roman" w:hAnsi="Times New Roman" w:eastAsia="Times New Roman" w:cs="Times New Roman"/>
                <w:color w:val="000000"/>
                <w:sz w:val="24"/>
              </w:rPr>
              <w:t xml:space="preserve">90d</w:t>
            </w:r>
            <w:r/>
          </w:p>
        </w:tc>
        <w:tc>
          <w:tcPr>
            <w:tcBorders/>
            <w:tcMar>
              <w:left w:w="15" w:type="dxa"/>
              <w:top w:w="15" w:type="dxa"/>
              <w:right w:w="15" w:type="dxa"/>
              <w:bottom w:w="15" w:type="dxa"/>
            </w:tcMar>
            <w:tcW w:w="746" w:type="dxa"/>
            <w:vAlign w:val="center"/>
          </w:tcPr>
          <w:p w14:paraId="1204FD95">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52438564">
            <w:pPr>
              <w:pBdr/>
              <w:spacing w:after="0" w:before="0" w:line="240"/>
              <w:ind/>
              <w:rPr/>
            </w:pPr>
            <w:r/>
          </w:p>
        </w:tc>
      </w:tr>
      <w:tr>
        <w:trPr/>
        <w:tc>
          <w:tcPr>
            <w:tcBorders/>
            <w:tcMar>
              <w:left w:w="15" w:type="dxa"/>
              <w:top w:w="15" w:type="dxa"/>
              <w:right w:w="15" w:type="dxa"/>
              <w:bottom w:w="15" w:type="dxa"/>
            </w:tcMar>
            <w:tcW w:w="2000" w:type="dxa"/>
            <w:vAlign w:val="center"/>
          </w:tcPr>
          <w:p w14:paraId="1267E2BC">
            <w:pPr>
              <w:pBdr/>
              <w:spacing w:after="0" w:before="0" w:line="240"/>
              <w:ind/>
              <w:rPr/>
            </w:pPr>
            <w:r>
              <w:rPr>
                <w:rFonts w:ascii="Times New Roman" w:hAnsi="Times New Roman" w:eastAsia="Times New Roman" w:cs="Times New Roman"/>
                <w:color w:val="000000"/>
                <w:sz w:val="24"/>
              </w:rPr>
              <w:t xml:space="preserve">Long liquidations, 24h</w:t>
            </w:r>
            <w:r/>
          </w:p>
        </w:tc>
        <w:tc>
          <w:tcPr>
            <w:tcBorders/>
            <w:tcMar>
              <w:left w:w="15" w:type="dxa"/>
              <w:top w:w="15" w:type="dxa"/>
              <w:right w:w="15" w:type="dxa"/>
              <w:bottom w:w="15" w:type="dxa"/>
            </w:tcMar>
            <w:tcW w:w="1922" w:type="dxa"/>
            <w:vAlign w:val="center"/>
          </w:tcPr>
          <w:p w14:paraId="1C624115">
            <w:pPr>
              <w:pBdr/>
              <w:spacing w:after="0" w:before="0" w:line="240"/>
              <w:ind/>
              <w:rPr/>
            </w:pPr>
            <w:r>
              <w:rPr>
                <w:rFonts w:ascii="Times New Roman" w:hAnsi="Times New Roman" w:eastAsia="Times New Roman" w:cs="Times New Roman"/>
                <w:color w:val="000000"/>
                <w:sz w:val="24"/>
              </w:rPr>
              <w:t xml:space="preserve">liquidations_long_usd</w:t>
            </w:r>
            <w:r/>
          </w:p>
        </w:tc>
        <w:tc>
          <w:tcPr>
            <w:tcBorders/>
            <w:tcMar>
              <w:left w:w="15" w:type="dxa"/>
              <w:top w:w="15" w:type="dxa"/>
              <w:right w:w="15" w:type="dxa"/>
              <w:bottom w:w="15" w:type="dxa"/>
            </w:tcMar>
            <w:tcW w:w="927" w:type="dxa"/>
            <w:vAlign w:val="center"/>
          </w:tcPr>
          <w:p w14:paraId="79A995E6">
            <w:pPr>
              <w:pBdr/>
              <w:spacing w:after="0" w:before="0" w:line="240"/>
              <w:ind/>
              <w:rPr/>
            </w:pPr>
            <w:r>
              <w:rPr>
                <w:rFonts w:ascii="Times New Roman" w:hAnsi="Times New Roman" w:eastAsia="Times New Roman" w:cs="Times New Roman"/>
                <w:color w:val="000000"/>
                <w:sz w:val="24"/>
              </w:rPr>
              <w:t xml:space="preserve">cumsum</w:t>
            </w:r>
            <w:r/>
          </w:p>
        </w:tc>
        <w:tc>
          <w:tcPr>
            <w:tcBorders/>
            <w:tcMar>
              <w:left w:w="15" w:type="dxa"/>
              <w:top w:w="15" w:type="dxa"/>
              <w:right w:w="15" w:type="dxa"/>
              <w:bottom w:w="15" w:type="dxa"/>
            </w:tcMar>
            <w:tcW w:w="731" w:type="dxa"/>
            <w:vAlign w:val="center"/>
          </w:tcPr>
          <w:p w14:paraId="0C1091C9">
            <w:pPr>
              <w:pBdr/>
              <w:spacing w:after="0" w:before="0" w:line="240"/>
              <w:ind/>
              <w:rPr/>
            </w:pPr>
            <w:r>
              <w:rPr>
                <w:rFonts w:ascii="Times New Roman" w:hAnsi="Times New Roman" w:eastAsia="Times New Roman" w:cs="Times New Roman"/>
                <w:color w:val="000000"/>
                <w:sz w:val="24"/>
              </w:rPr>
              <w:t xml:space="preserve">24h</w:t>
            </w:r>
            <w:r/>
          </w:p>
        </w:tc>
        <w:tc>
          <w:tcPr>
            <w:tcBorders/>
            <w:tcMar>
              <w:left w:w="15" w:type="dxa"/>
              <w:top w:w="15" w:type="dxa"/>
              <w:right w:w="15" w:type="dxa"/>
              <w:bottom w:w="15" w:type="dxa"/>
            </w:tcMar>
            <w:tcW w:w="746" w:type="dxa"/>
            <w:vAlign w:val="center"/>
          </w:tcPr>
          <w:p w14:paraId="6BC24D93">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1F4AA847">
            <w:pPr>
              <w:pBdr/>
              <w:spacing w:after="0" w:before="0" w:line="240"/>
              <w:ind/>
              <w:rPr/>
            </w:pPr>
            <w:r>
              <w:rPr>
                <w:rFonts w:ascii="Times New Roman" w:hAnsi="Times New Roman" w:eastAsia="Times New Roman" w:cs="Times New Roman"/>
                <w:color w:val="000000"/>
                <w:sz w:val="24"/>
              </w:rPr>
              <w:t xml:space="preserve">Rolling 3-period sum</w:t>
            </w:r>
            <w:r/>
          </w:p>
        </w:tc>
      </w:tr>
      <w:tr>
        <w:trPr/>
        <w:tc>
          <w:tcPr>
            <w:tcBorders/>
            <w:tcMar>
              <w:left w:w="15" w:type="dxa"/>
              <w:top w:w="15" w:type="dxa"/>
              <w:right w:w="15" w:type="dxa"/>
              <w:bottom w:w="15" w:type="dxa"/>
            </w:tcMar>
            <w:tcW w:w="2000" w:type="dxa"/>
            <w:vAlign w:val="center"/>
          </w:tcPr>
          <w:p w14:paraId="216BB7AA">
            <w:pPr>
              <w:pBdr/>
              <w:spacing w:after="0" w:before="0" w:line="240"/>
              <w:ind/>
              <w:rPr/>
            </w:pPr>
            <w:r>
              <w:rPr>
                <w:rFonts w:ascii="Times New Roman" w:hAnsi="Times New Roman" w:eastAsia="Times New Roman" w:cs="Times New Roman"/>
                <w:color w:val="000000"/>
                <w:sz w:val="24"/>
              </w:rPr>
              <w:t xml:space="preserve">Short liquidations, 24h</w:t>
            </w:r>
            <w:r/>
          </w:p>
        </w:tc>
        <w:tc>
          <w:tcPr>
            <w:tcBorders/>
            <w:tcMar>
              <w:left w:w="15" w:type="dxa"/>
              <w:top w:w="15" w:type="dxa"/>
              <w:right w:w="15" w:type="dxa"/>
              <w:bottom w:w="15" w:type="dxa"/>
            </w:tcMar>
            <w:tcW w:w="1922" w:type="dxa"/>
            <w:vAlign w:val="center"/>
          </w:tcPr>
          <w:p w14:paraId="73EBC122">
            <w:pPr>
              <w:pBdr/>
              <w:spacing w:after="0" w:before="0" w:line="240"/>
              <w:ind/>
              <w:rPr/>
            </w:pPr>
            <w:r>
              <w:rPr>
                <w:rFonts w:ascii="Times New Roman" w:hAnsi="Times New Roman" w:eastAsia="Times New Roman" w:cs="Times New Roman"/>
                <w:color w:val="000000"/>
                <w:sz w:val="24"/>
              </w:rPr>
              <w:t xml:space="preserve">liquidations_short_usd</w:t>
            </w:r>
            <w:r/>
          </w:p>
        </w:tc>
        <w:tc>
          <w:tcPr>
            <w:tcBorders/>
            <w:tcMar>
              <w:left w:w="15" w:type="dxa"/>
              <w:top w:w="15" w:type="dxa"/>
              <w:right w:w="15" w:type="dxa"/>
              <w:bottom w:w="15" w:type="dxa"/>
            </w:tcMar>
            <w:tcW w:w="927" w:type="dxa"/>
            <w:vAlign w:val="center"/>
          </w:tcPr>
          <w:p w14:paraId="4C1B358F">
            <w:pPr>
              <w:pBdr/>
              <w:spacing w:after="0" w:before="0" w:line="240"/>
              <w:ind/>
              <w:rPr/>
            </w:pPr>
            <w:r>
              <w:rPr>
                <w:rFonts w:ascii="Times New Roman" w:hAnsi="Times New Roman" w:eastAsia="Times New Roman" w:cs="Times New Roman"/>
                <w:color w:val="000000"/>
                <w:sz w:val="24"/>
              </w:rPr>
              <w:t xml:space="preserve">cumsum</w:t>
            </w:r>
            <w:r/>
          </w:p>
        </w:tc>
        <w:tc>
          <w:tcPr>
            <w:tcBorders/>
            <w:tcMar>
              <w:left w:w="15" w:type="dxa"/>
              <w:top w:w="15" w:type="dxa"/>
              <w:right w:w="15" w:type="dxa"/>
              <w:bottom w:w="15" w:type="dxa"/>
            </w:tcMar>
            <w:tcW w:w="731" w:type="dxa"/>
            <w:vAlign w:val="center"/>
          </w:tcPr>
          <w:p w14:paraId="67E767A2">
            <w:pPr>
              <w:pBdr/>
              <w:spacing w:after="0" w:before="0" w:line="240"/>
              <w:ind/>
              <w:rPr/>
            </w:pPr>
            <w:r>
              <w:rPr>
                <w:rFonts w:ascii="Times New Roman" w:hAnsi="Times New Roman" w:eastAsia="Times New Roman" w:cs="Times New Roman"/>
                <w:color w:val="000000"/>
                <w:sz w:val="24"/>
              </w:rPr>
              <w:t xml:space="preserve">24h</w:t>
            </w:r>
            <w:r/>
          </w:p>
        </w:tc>
        <w:tc>
          <w:tcPr>
            <w:tcBorders/>
            <w:tcMar>
              <w:left w:w="15" w:type="dxa"/>
              <w:top w:w="15" w:type="dxa"/>
              <w:right w:w="15" w:type="dxa"/>
              <w:bottom w:w="15" w:type="dxa"/>
            </w:tcMar>
            <w:tcW w:w="746" w:type="dxa"/>
            <w:vAlign w:val="center"/>
          </w:tcPr>
          <w:p w14:paraId="7F23C013">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614976A5">
            <w:pPr>
              <w:pBdr/>
              <w:spacing w:after="0" w:before="0" w:line="240"/>
              <w:ind/>
              <w:rPr/>
            </w:pPr>
            <w:r/>
          </w:p>
        </w:tc>
      </w:tr>
      <w:tr>
        <w:trPr/>
        <w:tc>
          <w:tcPr>
            <w:tcBorders/>
            <w:tcMar>
              <w:left w:w="15" w:type="dxa"/>
              <w:top w:w="15" w:type="dxa"/>
              <w:right w:w="15" w:type="dxa"/>
              <w:bottom w:w="15" w:type="dxa"/>
            </w:tcMar>
            <w:tcW w:w="2000" w:type="dxa"/>
            <w:vAlign w:val="center"/>
          </w:tcPr>
          <w:p w14:paraId="7BBC8666">
            <w:pPr>
              <w:pBdr/>
              <w:spacing w:after="0" w:before="0" w:line="240"/>
              <w:ind/>
              <w:rPr/>
            </w:pPr>
            <w:r>
              <w:rPr>
                <w:rFonts w:ascii="Times New Roman" w:hAnsi="Times New Roman" w:eastAsia="Times New Roman" w:cs="Times New Roman"/>
                <w:color w:val="000000"/>
                <w:sz w:val="24"/>
              </w:rPr>
              <w:t xml:space="preserve">Net liquidation direction</w:t>
            </w:r>
            <w:r/>
          </w:p>
        </w:tc>
        <w:tc>
          <w:tcPr>
            <w:tcBorders/>
            <w:tcMar>
              <w:left w:w="15" w:type="dxa"/>
              <w:top w:w="15" w:type="dxa"/>
              <w:right w:w="15" w:type="dxa"/>
              <w:bottom w:w="15" w:type="dxa"/>
            </w:tcMar>
            <w:tcW w:w="1922" w:type="dxa"/>
            <w:vAlign w:val="center"/>
          </w:tcPr>
          <w:p w14:paraId="1ED400AF">
            <w:pPr>
              <w:pBdr/>
              <w:spacing w:after="0" w:before="0" w:line="240"/>
              <w:ind/>
              <w:rPr/>
            </w:pPr>
            <w:r>
              <w:rPr>
                <w:rFonts w:ascii="Times New Roman" w:hAnsi="Times New Roman" w:eastAsia="Times New Roman" w:cs="Times New Roman"/>
                <w:color w:val="000000"/>
                <w:sz w:val="24"/>
              </w:rPr>
              <w:t xml:space="preserve">derived</w:t>
            </w:r>
            <w:r/>
          </w:p>
        </w:tc>
        <w:tc>
          <w:tcPr>
            <w:tcBorders/>
            <w:tcMar>
              <w:left w:w="15" w:type="dxa"/>
              <w:top w:w="15" w:type="dxa"/>
              <w:right w:w="15" w:type="dxa"/>
              <w:bottom w:w="15" w:type="dxa"/>
            </w:tcMar>
            <w:tcW w:w="927" w:type="dxa"/>
            <w:vAlign w:val="center"/>
          </w:tcPr>
          <w:p w14:paraId="769A5AFA">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10AF6D73">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2011F383">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21893D64">
            <w:pPr>
              <w:pBdr/>
              <w:spacing w:after="0" w:before="0" w:line="240"/>
              <w:ind/>
              <w:rPr/>
            </w:pPr>
            <w:r>
              <w:rPr>
                <w:rFonts w:ascii="Times New Roman" w:hAnsi="Times New Roman" w:eastAsia="Times New Roman" w:cs="Times New Roman"/>
                <w:color w:val="000000"/>
                <w:sz w:val="24"/>
              </w:rPr>
              <w:t xml:space="preserve">long_liq - short_liq</w:t>
            </w:r>
            <w:r/>
          </w:p>
        </w:tc>
      </w:tr>
      <w:tr>
        <w:trPr/>
        <w:tc>
          <w:tcPr>
            <w:tcBorders/>
            <w:tcMar>
              <w:left w:w="15" w:type="dxa"/>
              <w:top w:w="15" w:type="dxa"/>
              <w:right w:w="15" w:type="dxa"/>
              <w:bottom w:w="15" w:type="dxa"/>
            </w:tcMar>
            <w:tcW w:w="2000" w:type="dxa"/>
            <w:vAlign w:val="center"/>
          </w:tcPr>
          <w:p w14:paraId="3CC9BF0D">
            <w:pPr>
              <w:pBdr/>
              <w:spacing w:after="0" w:before="0" w:line="240"/>
              <w:ind/>
              <w:rPr/>
            </w:pPr>
            <w:r>
              <w:rPr>
                <w:rFonts w:ascii="Times New Roman" w:hAnsi="Times New Roman" w:eastAsia="Times New Roman" w:cs="Times New Roman"/>
                <w:color w:val="000000"/>
                <w:sz w:val="24"/>
              </w:rPr>
              <w:t xml:space="preserve">Liquidation imbalance</w:t>
            </w:r>
            <w:r/>
          </w:p>
        </w:tc>
        <w:tc>
          <w:tcPr>
            <w:tcBorders/>
            <w:tcMar>
              <w:left w:w="15" w:type="dxa"/>
              <w:top w:w="15" w:type="dxa"/>
              <w:right w:w="15" w:type="dxa"/>
              <w:bottom w:w="15" w:type="dxa"/>
            </w:tcMar>
            <w:tcW w:w="1922" w:type="dxa"/>
            <w:vAlign w:val="center"/>
          </w:tcPr>
          <w:p w14:paraId="7147F0C9">
            <w:pPr>
              <w:pBdr/>
              <w:spacing w:after="0" w:before="0" w:line="240"/>
              <w:ind/>
              <w:rPr/>
            </w:pPr>
            <w:r>
              <w:rPr>
                <w:rFonts w:ascii="Times New Roman" w:hAnsi="Times New Roman" w:eastAsia="Times New Roman" w:cs="Times New Roman"/>
                <w:color w:val="000000"/>
                <w:sz w:val="24"/>
              </w:rPr>
              <w:t xml:space="preserve">derived</w:t>
            </w:r>
            <w:r/>
          </w:p>
        </w:tc>
        <w:tc>
          <w:tcPr>
            <w:tcBorders/>
            <w:tcMar>
              <w:left w:w="15" w:type="dxa"/>
              <w:top w:w="15" w:type="dxa"/>
              <w:right w:w="15" w:type="dxa"/>
              <w:bottom w:w="15" w:type="dxa"/>
            </w:tcMar>
            <w:tcW w:w="927" w:type="dxa"/>
            <w:vAlign w:val="center"/>
          </w:tcPr>
          <w:p w14:paraId="7C49748E">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38023A65">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4B0ABFF5">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5F45D9CA">
            <w:pPr>
              <w:pBdr/>
              <w:spacing w:after="0" w:before="0" w:line="240"/>
              <w:ind/>
              <w:rPr/>
            </w:pPr>
            <w:r>
              <w:rPr>
                <w:rFonts w:ascii="Times New Roman" w:hAnsi="Times New Roman" w:eastAsia="Times New Roman" w:cs="Times New Roman"/>
                <w:color w:val="000000"/>
                <w:sz w:val="24"/>
              </w:rPr>
              <w:t xml:space="preserve">net / (long + short), signed</w:t>
            </w:r>
            <w:r/>
          </w:p>
        </w:tc>
      </w:tr>
      <w:tr>
        <w:trPr/>
        <w:tc>
          <w:tcPr>
            <w:tcBorders/>
            <w:tcMar>
              <w:left w:w="15" w:type="dxa"/>
              <w:top w:w="15" w:type="dxa"/>
              <w:right w:w="15" w:type="dxa"/>
              <w:bottom w:w="15" w:type="dxa"/>
            </w:tcMar>
            <w:tcW w:w="2000" w:type="dxa"/>
            <w:vAlign w:val="center"/>
          </w:tcPr>
          <w:p w14:paraId="6CAFBACD">
            <w:pPr>
              <w:pBdr/>
              <w:spacing w:after="0" w:before="0" w:line="240"/>
              <w:ind/>
              <w:rPr/>
            </w:pPr>
            <w:r>
              <w:rPr>
                <w:rFonts w:ascii="Times New Roman" w:hAnsi="Times New Roman" w:eastAsia="Times New Roman" w:cs="Times New Roman"/>
                <w:color w:val="000000"/>
                <w:sz w:val="24"/>
              </w:rPr>
              <w:t xml:space="preserve">Liquidation zscore</w:t>
            </w:r>
            <w:r/>
          </w:p>
        </w:tc>
        <w:tc>
          <w:tcPr>
            <w:tcBorders/>
            <w:tcMar>
              <w:left w:w="15" w:type="dxa"/>
              <w:top w:w="15" w:type="dxa"/>
              <w:right w:w="15" w:type="dxa"/>
              <w:bottom w:w="15" w:type="dxa"/>
            </w:tcMar>
            <w:tcW w:w="1922" w:type="dxa"/>
            <w:vAlign w:val="center"/>
          </w:tcPr>
          <w:p w14:paraId="113A0379">
            <w:pPr>
              <w:pBdr/>
              <w:spacing w:after="0" w:before="0" w:line="240"/>
              <w:ind/>
              <w:rPr/>
            </w:pPr>
            <w:r>
              <w:rPr>
                <w:rFonts w:ascii="Times New Roman" w:hAnsi="Times New Roman" w:eastAsia="Times New Roman" w:cs="Times New Roman"/>
                <w:color w:val="000000"/>
                <w:sz w:val="24"/>
              </w:rPr>
              <w:t xml:space="preserve">net_liquidation</w:t>
            </w:r>
            <w:r/>
          </w:p>
        </w:tc>
        <w:tc>
          <w:tcPr>
            <w:tcBorders/>
            <w:tcMar>
              <w:left w:w="15" w:type="dxa"/>
              <w:top w:w="15" w:type="dxa"/>
              <w:right w:w="15" w:type="dxa"/>
              <w:bottom w:w="15" w:type="dxa"/>
            </w:tcMar>
            <w:tcW w:w="927" w:type="dxa"/>
            <w:vAlign w:val="center"/>
          </w:tcPr>
          <w:p w14:paraId="43BA8881">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6AE014F0">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46" w:type="dxa"/>
            <w:vAlign w:val="center"/>
          </w:tcPr>
          <w:p w14:paraId="3AC81CBE">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4618ABE8">
            <w:pPr>
              <w:pBdr/>
              <w:spacing w:after="0" w:before="0" w:line="240"/>
              <w:ind/>
              <w:rPr/>
            </w:pPr>
            <w:r/>
          </w:p>
        </w:tc>
      </w:tr>
      <w:tr>
        <w:trPr/>
        <w:tc>
          <w:tcPr>
            <w:tcBorders/>
            <w:tcMar>
              <w:left w:w="15" w:type="dxa"/>
              <w:top w:w="15" w:type="dxa"/>
              <w:right w:w="15" w:type="dxa"/>
              <w:bottom w:w="15" w:type="dxa"/>
            </w:tcMar>
            <w:tcW w:w="2000" w:type="dxa"/>
            <w:vAlign w:val="center"/>
          </w:tcPr>
          <w:p w14:paraId="379965BF">
            <w:pPr>
              <w:pBdr/>
              <w:spacing w:after="0" w:before="0" w:line="240"/>
              <w:ind/>
              <w:rPr/>
            </w:pPr>
            <w:r>
              <w:rPr>
                <w:rFonts w:ascii="Times New Roman" w:hAnsi="Times New Roman" w:eastAsia="Times New Roman" w:cs="Times New Roman"/>
                <w:color w:val="000000"/>
                <w:sz w:val="24"/>
              </w:rPr>
              <w:t xml:space="preserve">Perpetual basis</w:t>
            </w:r>
            <w:r/>
          </w:p>
        </w:tc>
        <w:tc>
          <w:tcPr>
            <w:tcBorders/>
            <w:tcMar>
              <w:left w:w="15" w:type="dxa"/>
              <w:top w:w="15" w:type="dxa"/>
              <w:right w:w="15" w:type="dxa"/>
              <w:bottom w:w="15" w:type="dxa"/>
            </w:tcMar>
            <w:tcW w:w="1922" w:type="dxa"/>
            <w:vAlign w:val="center"/>
          </w:tcPr>
          <w:p w14:paraId="6AC7A77B">
            <w:pPr>
              <w:pBdr/>
              <w:spacing w:after="0" w:before="0" w:line="240"/>
              <w:ind/>
              <w:rPr/>
            </w:pPr>
            <w:r>
              <w:rPr>
                <w:rFonts w:ascii="Times New Roman" w:hAnsi="Times New Roman" w:eastAsia="Times New Roman" w:cs="Times New Roman"/>
                <w:color w:val="000000"/>
                <w:sz w:val="24"/>
              </w:rPr>
              <w:t xml:space="preserve">perp_basis</w:t>
            </w:r>
            <w:r/>
          </w:p>
        </w:tc>
        <w:tc>
          <w:tcPr>
            <w:tcBorders/>
            <w:tcMar>
              <w:left w:w="15" w:type="dxa"/>
              <w:top w:w="15" w:type="dxa"/>
              <w:right w:w="15" w:type="dxa"/>
              <w:bottom w:w="15" w:type="dxa"/>
            </w:tcMar>
            <w:tcW w:w="927" w:type="dxa"/>
            <w:vAlign w:val="center"/>
          </w:tcPr>
          <w:p w14:paraId="61C738A4">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3E66C5AD">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75CFD345">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4606AEF7">
            <w:pPr>
              <w:pBdr/>
              <w:spacing w:after="0" w:before="0" w:line="240"/>
              <w:ind/>
              <w:rPr/>
            </w:pPr>
            <w:r>
              <w:rPr>
                <w:rFonts w:ascii="Times New Roman" w:hAnsi="Times New Roman" w:eastAsia="Times New Roman" w:cs="Times New Roman"/>
                <w:color w:val="000000"/>
                <w:sz w:val="24"/>
              </w:rPr>
              <w:t xml:space="preserve">(perp_price - spot_price) / spot_price</w:t>
            </w:r>
            <w:r/>
          </w:p>
        </w:tc>
      </w:tr>
      <w:tr>
        <w:trPr/>
        <w:tc>
          <w:tcPr>
            <w:tcBorders/>
            <w:tcMar>
              <w:left w:w="15" w:type="dxa"/>
              <w:top w:w="15" w:type="dxa"/>
              <w:right w:w="15" w:type="dxa"/>
              <w:bottom w:w="15" w:type="dxa"/>
            </w:tcMar>
            <w:tcW w:w="2000" w:type="dxa"/>
            <w:vAlign w:val="center"/>
          </w:tcPr>
          <w:p w14:paraId="631E4EEF">
            <w:pPr>
              <w:pBdr/>
              <w:spacing w:after="0" w:before="0" w:line="240"/>
              <w:ind/>
              <w:rPr/>
            </w:pPr>
            <w:r>
              <w:rPr>
                <w:rFonts w:ascii="Times New Roman" w:hAnsi="Times New Roman" w:eastAsia="Times New Roman" w:cs="Times New Roman"/>
                <w:color w:val="000000"/>
                <w:sz w:val="24"/>
              </w:rPr>
              <w:t xml:space="preserve">Perpetual basis MA</w:t>
            </w:r>
            <w:r/>
          </w:p>
        </w:tc>
        <w:tc>
          <w:tcPr>
            <w:tcBorders/>
            <w:tcMar>
              <w:left w:w="15" w:type="dxa"/>
              <w:top w:w="15" w:type="dxa"/>
              <w:right w:w="15" w:type="dxa"/>
              <w:bottom w:w="15" w:type="dxa"/>
            </w:tcMar>
            <w:tcW w:w="1922" w:type="dxa"/>
            <w:vAlign w:val="center"/>
          </w:tcPr>
          <w:p w14:paraId="24110072">
            <w:pPr>
              <w:pBdr/>
              <w:spacing w:after="0" w:before="0" w:line="240"/>
              <w:ind/>
              <w:rPr/>
            </w:pPr>
            <w:r>
              <w:rPr>
                <w:rFonts w:ascii="Times New Roman" w:hAnsi="Times New Roman" w:eastAsia="Times New Roman" w:cs="Times New Roman"/>
                <w:color w:val="000000"/>
                <w:sz w:val="24"/>
              </w:rPr>
              <w:t xml:space="preserve">perp_basis</w:t>
            </w:r>
            <w:r/>
          </w:p>
        </w:tc>
        <w:tc>
          <w:tcPr>
            <w:tcBorders/>
            <w:tcMar>
              <w:left w:w="15" w:type="dxa"/>
              <w:top w:w="15" w:type="dxa"/>
              <w:right w:w="15" w:type="dxa"/>
              <w:bottom w:w="15" w:type="dxa"/>
            </w:tcMar>
            <w:tcW w:w="927" w:type="dxa"/>
            <w:vAlign w:val="center"/>
          </w:tcPr>
          <w:p w14:paraId="45058B47">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731" w:type="dxa"/>
            <w:vAlign w:val="center"/>
          </w:tcPr>
          <w:p w14:paraId="608D2E9A">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46" w:type="dxa"/>
            <w:vAlign w:val="center"/>
          </w:tcPr>
          <w:p w14:paraId="3B29DE74">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7B3160A0">
            <w:pPr>
              <w:pBdr/>
              <w:spacing w:after="0" w:before="0" w:line="240"/>
              <w:ind/>
              <w:rPr/>
            </w:pPr>
            <w:r/>
          </w:p>
        </w:tc>
      </w:tr>
      <w:tr>
        <w:trPr/>
        <w:tc>
          <w:tcPr>
            <w:tcBorders/>
            <w:tcMar>
              <w:left w:w="15" w:type="dxa"/>
              <w:top w:w="15" w:type="dxa"/>
              <w:right w:w="15" w:type="dxa"/>
              <w:bottom w:w="15" w:type="dxa"/>
            </w:tcMar>
            <w:tcW w:w="2000" w:type="dxa"/>
            <w:vAlign w:val="center"/>
          </w:tcPr>
          <w:p w14:paraId="0FC67319">
            <w:pPr>
              <w:pBdr/>
              <w:spacing w:after="0" w:before="0" w:line="240"/>
              <w:ind/>
              <w:rPr/>
            </w:pPr>
            <w:r>
              <w:rPr>
                <w:rFonts w:ascii="Times New Roman" w:hAnsi="Times New Roman" w:eastAsia="Times New Roman" w:cs="Times New Roman"/>
                <w:color w:val="000000"/>
                <w:sz w:val="24"/>
              </w:rPr>
              <w:t xml:space="preserve">Perpetual basis zscore</w:t>
            </w:r>
            <w:r/>
          </w:p>
        </w:tc>
        <w:tc>
          <w:tcPr>
            <w:tcBorders/>
            <w:tcMar>
              <w:left w:w="15" w:type="dxa"/>
              <w:top w:w="15" w:type="dxa"/>
              <w:right w:w="15" w:type="dxa"/>
              <w:bottom w:w="15" w:type="dxa"/>
            </w:tcMar>
            <w:tcW w:w="1922" w:type="dxa"/>
            <w:vAlign w:val="center"/>
          </w:tcPr>
          <w:p w14:paraId="2D53B841">
            <w:pPr>
              <w:pBdr/>
              <w:spacing w:after="0" w:before="0" w:line="240"/>
              <w:ind/>
              <w:rPr/>
            </w:pPr>
            <w:r>
              <w:rPr>
                <w:rFonts w:ascii="Times New Roman" w:hAnsi="Times New Roman" w:eastAsia="Times New Roman" w:cs="Times New Roman"/>
                <w:color w:val="000000"/>
                <w:sz w:val="24"/>
              </w:rPr>
              <w:t xml:space="preserve">perp_basis</w:t>
            </w:r>
            <w:r/>
          </w:p>
        </w:tc>
        <w:tc>
          <w:tcPr>
            <w:tcBorders/>
            <w:tcMar>
              <w:left w:w="15" w:type="dxa"/>
              <w:top w:w="15" w:type="dxa"/>
              <w:right w:w="15" w:type="dxa"/>
              <w:bottom w:w="15" w:type="dxa"/>
            </w:tcMar>
            <w:tcW w:w="927" w:type="dxa"/>
            <w:vAlign w:val="center"/>
          </w:tcPr>
          <w:p w14:paraId="509703D2">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4BEDC3B2">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46" w:type="dxa"/>
            <w:vAlign w:val="center"/>
          </w:tcPr>
          <w:p w14:paraId="7037F63B">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028" w:type="dxa"/>
            <w:vAlign w:val="center"/>
          </w:tcPr>
          <w:p w14:paraId="6CC3A6F8">
            <w:pPr>
              <w:pBdr/>
              <w:spacing w:after="0" w:before="0" w:line="240"/>
              <w:ind/>
              <w:rPr/>
            </w:pPr>
            <w:r/>
          </w:p>
        </w:tc>
      </w:tr>
      <w:tr>
        <w:trPr/>
        <w:tc>
          <w:tcPr>
            <w:tcBorders/>
            <w:tcMar>
              <w:left w:w="15" w:type="dxa"/>
              <w:top w:w="15" w:type="dxa"/>
              <w:right w:w="15" w:type="dxa"/>
              <w:bottom w:w="15" w:type="dxa"/>
            </w:tcMar>
            <w:tcW w:w="2000" w:type="dxa"/>
            <w:vAlign w:val="center"/>
          </w:tcPr>
          <w:p w14:paraId="33C61B66">
            <w:pPr>
              <w:pBdr/>
              <w:spacing w:after="0" w:before="0" w:line="240"/>
              <w:ind/>
              <w:rPr/>
            </w:pPr>
            <w:r>
              <w:rPr>
                <w:rFonts w:ascii="Times New Roman" w:hAnsi="Times New Roman" w:eastAsia="Times New Roman" w:cs="Times New Roman"/>
                <w:color w:val="000000"/>
                <w:sz w:val="24"/>
              </w:rPr>
              <w:t xml:space="preserve">Options delta skew</w:t>
            </w:r>
            <w:r/>
          </w:p>
        </w:tc>
        <w:tc>
          <w:tcPr>
            <w:tcBorders/>
            <w:tcMar>
              <w:left w:w="15" w:type="dxa"/>
              <w:top w:w="15" w:type="dxa"/>
              <w:right w:w="15" w:type="dxa"/>
              <w:bottom w:w="15" w:type="dxa"/>
            </w:tcMar>
            <w:tcW w:w="1922" w:type="dxa"/>
            <w:vAlign w:val="center"/>
          </w:tcPr>
          <w:p w14:paraId="0F8D6A0A">
            <w:pPr>
              <w:pBdr/>
              <w:spacing w:after="0" w:before="0" w:line="240"/>
              <w:ind/>
              <w:rPr/>
            </w:pPr>
            <w:r>
              <w:rPr>
                <w:rFonts w:ascii="Times New Roman" w:hAnsi="Times New Roman" w:eastAsia="Times New Roman" w:cs="Times New Roman"/>
                <w:color w:val="000000"/>
                <w:sz w:val="24"/>
              </w:rPr>
              <w:t xml:space="preserve">options_delta_skew_25</w:t>
            </w:r>
            <w:r/>
          </w:p>
        </w:tc>
        <w:tc>
          <w:tcPr>
            <w:tcBorders/>
            <w:tcMar>
              <w:left w:w="15" w:type="dxa"/>
              <w:top w:w="15" w:type="dxa"/>
              <w:right w:w="15" w:type="dxa"/>
              <w:bottom w:w="15" w:type="dxa"/>
            </w:tcMar>
            <w:tcW w:w="927" w:type="dxa"/>
            <w:vAlign w:val="center"/>
          </w:tcPr>
          <w:p w14:paraId="496DF235">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3AF2758F">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07DB5196">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3028" w:type="dxa"/>
            <w:vAlign w:val="center"/>
          </w:tcPr>
          <w:p w14:paraId="14739EE1">
            <w:pPr>
              <w:pBdr/>
              <w:spacing w:after="0" w:before="0" w:line="240"/>
              <w:ind/>
              <w:rPr/>
            </w:pPr>
            <w:r>
              <w:rPr>
                <w:rFonts w:ascii="Times New Roman" w:hAnsi="Times New Roman" w:eastAsia="Times New Roman" w:cs="Times New Roman"/>
                <w:color w:val="000000"/>
                <w:sz w:val="24"/>
              </w:rPr>
              <w:t xml:space="preserve">Null for non-options instruments</w:t>
            </w:r>
            <w:r/>
          </w:p>
        </w:tc>
      </w:tr>
      <w:tr>
        <w:trPr/>
        <w:tc>
          <w:tcPr>
            <w:tcBorders/>
            <w:tcMar>
              <w:left w:w="15" w:type="dxa"/>
              <w:top w:w="15" w:type="dxa"/>
              <w:right w:w="15" w:type="dxa"/>
              <w:bottom w:w="15" w:type="dxa"/>
            </w:tcMar>
            <w:tcW w:w="2000" w:type="dxa"/>
            <w:vAlign w:val="center"/>
          </w:tcPr>
          <w:p w14:paraId="2A2632D7">
            <w:pPr>
              <w:pBdr/>
              <w:spacing w:after="0" w:before="0" w:line="240"/>
              <w:ind/>
              <w:rPr/>
            </w:pPr>
            <w:r>
              <w:rPr>
                <w:rFonts w:ascii="Times New Roman" w:hAnsi="Times New Roman" w:eastAsia="Times New Roman" w:cs="Times New Roman"/>
                <w:color w:val="000000"/>
                <w:sz w:val="24"/>
              </w:rPr>
              <w:t xml:space="preserve">Options skew zscore</w:t>
            </w:r>
            <w:r/>
          </w:p>
        </w:tc>
        <w:tc>
          <w:tcPr>
            <w:tcBorders/>
            <w:tcMar>
              <w:left w:w="15" w:type="dxa"/>
              <w:top w:w="15" w:type="dxa"/>
              <w:right w:w="15" w:type="dxa"/>
              <w:bottom w:w="15" w:type="dxa"/>
            </w:tcMar>
            <w:tcW w:w="1922" w:type="dxa"/>
            <w:vAlign w:val="center"/>
          </w:tcPr>
          <w:p w14:paraId="405C90A7">
            <w:pPr>
              <w:pBdr/>
              <w:spacing w:after="0" w:before="0" w:line="240"/>
              <w:ind/>
              <w:rPr/>
            </w:pPr>
            <w:r>
              <w:rPr>
                <w:rFonts w:ascii="Times New Roman" w:hAnsi="Times New Roman" w:eastAsia="Times New Roman" w:cs="Times New Roman"/>
                <w:color w:val="000000"/>
                <w:sz w:val="24"/>
              </w:rPr>
              <w:t xml:space="preserve">options_delta_skew_25</w:t>
            </w:r>
            <w:r/>
          </w:p>
        </w:tc>
        <w:tc>
          <w:tcPr>
            <w:tcBorders/>
            <w:tcMar>
              <w:left w:w="15" w:type="dxa"/>
              <w:top w:w="15" w:type="dxa"/>
              <w:right w:w="15" w:type="dxa"/>
              <w:bottom w:w="15" w:type="dxa"/>
            </w:tcMar>
            <w:tcW w:w="927" w:type="dxa"/>
            <w:vAlign w:val="center"/>
          </w:tcPr>
          <w:p w14:paraId="2C8BBD31">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31" w:type="dxa"/>
            <w:vAlign w:val="center"/>
          </w:tcPr>
          <w:p w14:paraId="7B20C76A">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46" w:type="dxa"/>
            <w:vAlign w:val="center"/>
          </w:tcPr>
          <w:p w14:paraId="060EA263">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3028" w:type="dxa"/>
            <w:vAlign w:val="center"/>
          </w:tcPr>
          <w:p w14:paraId="16B69230">
            <w:pPr>
              <w:pBdr/>
              <w:spacing w:after="0" w:before="0" w:line="240"/>
              <w:ind/>
              <w:rPr/>
            </w:pPr>
            <w:r/>
          </w:p>
        </w:tc>
      </w:tr>
      <w:tr>
        <w:trPr/>
        <w:tc>
          <w:tcPr>
            <w:tcBorders/>
            <w:tcMar>
              <w:left w:w="15" w:type="dxa"/>
              <w:top w:w="15" w:type="dxa"/>
              <w:right w:w="15" w:type="dxa"/>
              <w:bottom w:w="15" w:type="dxa"/>
            </w:tcMar>
            <w:tcW w:w="2000" w:type="dxa"/>
            <w:vAlign w:val="center"/>
          </w:tcPr>
          <w:p w14:paraId="62E1D7E6">
            <w:pPr>
              <w:pBdr/>
              <w:spacing w:after="0" w:before="0" w:line="240"/>
              <w:ind/>
              <w:rPr/>
            </w:pPr>
            <w:r>
              <w:rPr>
                <w:rFonts w:ascii="Times New Roman" w:hAnsi="Times New Roman" w:eastAsia="Times New Roman" w:cs="Times New Roman"/>
                <w:color w:val="000000"/>
                <w:sz w:val="24"/>
              </w:rPr>
              <w:t xml:space="preserve">IV term structure slope</w:t>
            </w:r>
            <w:r/>
          </w:p>
        </w:tc>
        <w:tc>
          <w:tcPr>
            <w:tcBorders/>
            <w:tcMar>
              <w:left w:w="15" w:type="dxa"/>
              <w:top w:w="15" w:type="dxa"/>
              <w:right w:w="15" w:type="dxa"/>
              <w:bottom w:w="15" w:type="dxa"/>
            </w:tcMar>
            <w:tcW w:w="1922" w:type="dxa"/>
            <w:vAlign w:val="center"/>
          </w:tcPr>
          <w:p w14:paraId="64592FB6">
            <w:pPr>
              <w:pBdr/>
              <w:spacing w:after="0" w:before="0" w:line="240"/>
              <w:ind/>
              <w:rPr/>
            </w:pPr>
            <w:r>
              <w:rPr>
                <w:rFonts w:ascii="Times New Roman" w:hAnsi="Times New Roman" w:eastAsia="Times New Roman" w:cs="Times New Roman"/>
                <w:color w:val="000000"/>
                <w:sz w:val="24"/>
              </w:rPr>
              <w:t xml:space="preserve">iv_term_slope</w:t>
            </w:r>
            <w:r/>
          </w:p>
        </w:tc>
        <w:tc>
          <w:tcPr>
            <w:tcBorders/>
            <w:tcMar>
              <w:left w:w="15" w:type="dxa"/>
              <w:top w:w="15" w:type="dxa"/>
              <w:right w:w="15" w:type="dxa"/>
              <w:bottom w:w="15" w:type="dxa"/>
            </w:tcMar>
            <w:tcW w:w="927" w:type="dxa"/>
            <w:vAlign w:val="center"/>
          </w:tcPr>
          <w:p w14:paraId="74FACA33">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31" w:type="dxa"/>
            <w:vAlign w:val="center"/>
          </w:tcPr>
          <w:p w14:paraId="40D94B4C">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46" w:type="dxa"/>
            <w:vAlign w:val="center"/>
          </w:tcPr>
          <w:p w14:paraId="47CE5147">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3028" w:type="dxa"/>
            <w:vAlign w:val="center"/>
          </w:tcPr>
          <w:p w14:paraId="3BCA0DAF">
            <w:pPr>
              <w:pBdr/>
              <w:spacing w:after="0" w:before="0" w:line="240"/>
              <w:ind/>
              <w:rPr/>
            </w:pPr>
            <w:r>
              <w:rPr>
                <w:rFonts w:ascii="Times New Roman" w:hAnsi="Times New Roman" w:eastAsia="Times New Roman" w:cs="Times New Roman"/>
                <w:color w:val="000000"/>
                <w:sz w:val="24"/>
              </w:rPr>
              <w:t xml:space="preserve">(1m IV - 1w IV) / 1w IV</w:t>
            </w:r>
            <w:r/>
          </w:p>
        </w:tc>
      </w:tr>
    </w:tbl>
    <w:p w14:paraId="5AA5F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Capital flows domain — per instrument: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99"/>
        <w:gridCol w:w="2499"/>
        <w:gridCol w:w="940"/>
        <w:gridCol w:w="742"/>
        <w:gridCol w:w="757"/>
        <w:gridCol w:w="1718"/>
      </w:tblGrid>
      <w:tr>
        <w:trPr/>
        <w:tc>
          <w:tcPr>
            <w:tcBorders/>
            <w:tcMar>
              <w:left w:w="15" w:type="dxa"/>
              <w:top w:w="15" w:type="dxa"/>
              <w:right w:w="15" w:type="dxa"/>
              <w:bottom w:w="15" w:type="dxa"/>
            </w:tcMar>
            <w:tcW w:w="2699" w:type="dxa"/>
            <w:vAlign w:val="center"/>
          </w:tcPr>
          <w:p w14:paraId="702C0964">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2499" w:type="dxa"/>
            <w:vAlign w:val="center"/>
          </w:tcPr>
          <w:p w14:paraId="474EF119">
            <w:pPr>
              <w:pBdr/>
              <w:spacing w:after="0" w:before="0" w:line="240"/>
              <w:ind/>
              <w:jc w:val="center"/>
              <w:rPr/>
            </w:pPr>
            <w:r>
              <w:rPr>
                <w:rFonts w:ascii="Times New Roman" w:hAnsi="Times New Roman" w:eastAsia="Times New Roman" w:cs="Times New Roman"/>
                <w:b/>
                <w:color w:val="000000"/>
                <w:sz w:val="24"/>
              </w:rPr>
              <w:t xml:space="preserve">Input Metric Concept</w:t>
            </w:r>
            <w:r/>
          </w:p>
        </w:tc>
        <w:tc>
          <w:tcPr>
            <w:tcBorders/>
            <w:tcMar>
              <w:left w:w="15" w:type="dxa"/>
              <w:top w:w="15" w:type="dxa"/>
              <w:right w:w="15" w:type="dxa"/>
              <w:bottom w:w="15" w:type="dxa"/>
            </w:tcMar>
            <w:tcW w:w="940" w:type="dxa"/>
            <w:vAlign w:val="center"/>
          </w:tcPr>
          <w:p w14:paraId="5848DE21">
            <w:pPr>
              <w:pBdr/>
              <w:spacing w:after="0" w:before="0" w:line="240"/>
              <w:ind/>
              <w:jc w:val="center"/>
              <w:rPr/>
            </w:pPr>
            <w:r>
              <w:rPr>
                <w:rFonts w:ascii="Times New Roman" w:hAnsi="Times New Roman" w:eastAsia="Times New Roman" w:cs="Times New Roman"/>
                <w:b/>
                <w:color w:val="000000"/>
                <w:sz w:val="24"/>
              </w:rPr>
              <w:t xml:space="preserve">Statistic</w:t>
            </w:r>
            <w:r/>
          </w:p>
        </w:tc>
        <w:tc>
          <w:tcPr>
            <w:tcBorders/>
            <w:tcMar>
              <w:left w:w="15" w:type="dxa"/>
              <w:top w:w="15" w:type="dxa"/>
              <w:right w:w="15" w:type="dxa"/>
              <w:bottom w:w="15" w:type="dxa"/>
            </w:tcMar>
            <w:tcW w:w="742" w:type="dxa"/>
            <w:vAlign w:val="center"/>
          </w:tcPr>
          <w:p w14:paraId="2F087131">
            <w:pPr>
              <w:pBdr/>
              <w:spacing w:after="0" w:before="0" w:line="240"/>
              <w:ind/>
              <w:jc w:val="center"/>
              <w:rPr/>
            </w:pPr>
            <w:r>
              <w:rPr>
                <w:rFonts w:ascii="Times New Roman" w:hAnsi="Times New Roman" w:eastAsia="Times New Roman" w:cs="Times New Roman"/>
                <w:b/>
                <w:color w:val="000000"/>
                <w:sz w:val="24"/>
              </w:rPr>
              <w:t xml:space="preserve">Window</w:t>
            </w:r>
            <w:r/>
          </w:p>
        </w:tc>
        <w:tc>
          <w:tcPr>
            <w:tcBorders/>
            <w:tcMar>
              <w:left w:w="15" w:type="dxa"/>
              <w:top w:w="15" w:type="dxa"/>
              <w:right w:w="15" w:type="dxa"/>
              <w:bottom w:w="15" w:type="dxa"/>
            </w:tcMar>
            <w:tcW w:w="757" w:type="dxa"/>
            <w:vAlign w:val="center"/>
          </w:tcPr>
          <w:p w14:paraId="1FD9548E">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718" w:type="dxa"/>
            <w:vAlign w:val="center"/>
          </w:tcPr>
          <w:p w14:paraId="16F6D1A0">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699" w:type="dxa"/>
            <w:vAlign w:val="center"/>
          </w:tcPr>
          <w:p w14:paraId="6F3CA636">
            <w:pPr>
              <w:pBdr/>
              <w:spacing w:after="0" w:before="0" w:line="240"/>
              <w:ind/>
              <w:rPr/>
            </w:pPr>
            <w:r>
              <w:rPr>
                <w:rFonts w:ascii="Times New Roman" w:hAnsi="Times New Roman" w:eastAsia="Times New Roman" w:cs="Times New Roman"/>
                <w:color w:val="000000"/>
                <w:sz w:val="24"/>
              </w:rPr>
              <w:t xml:space="preserve">Exchange net flow</w:t>
            </w:r>
            <w:r/>
          </w:p>
        </w:tc>
        <w:tc>
          <w:tcPr>
            <w:tcBorders/>
            <w:tcMar>
              <w:left w:w="15" w:type="dxa"/>
              <w:top w:w="15" w:type="dxa"/>
              <w:right w:w="15" w:type="dxa"/>
              <w:bottom w:w="15" w:type="dxa"/>
            </w:tcMar>
            <w:tcW w:w="2499" w:type="dxa"/>
            <w:vAlign w:val="center"/>
          </w:tcPr>
          <w:p w14:paraId="0439C535">
            <w:pPr>
              <w:pBdr/>
              <w:spacing w:after="0" w:before="0" w:line="240"/>
              <w:ind/>
              <w:rPr/>
            </w:pPr>
            <w:r>
              <w:rPr>
                <w:rFonts w:ascii="Times New Roman" w:hAnsi="Times New Roman" w:eastAsia="Times New Roman" w:cs="Times New Roman"/>
                <w:color w:val="000000"/>
                <w:sz w:val="24"/>
              </w:rPr>
              <w:t xml:space="preserve">exchange_net_flow_usd</w:t>
            </w:r>
            <w:r/>
          </w:p>
        </w:tc>
        <w:tc>
          <w:tcPr>
            <w:tcBorders/>
            <w:tcMar>
              <w:left w:w="15" w:type="dxa"/>
              <w:top w:w="15" w:type="dxa"/>
              <w:right w:w="15" w:type="dxa"/>
              <w:bottom w:w="15" w:type="dxa"/>
            </w:tcMar>
            <w:tcW w:w="940" w:type="dxa"/>
            <w:vAlign w:val="center"/>
          </w:tcPr>
          <w:p w14:paraId="1F5EB466">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42" w:type="dxa"/>
            <w:vAlign w:val="center"/>
          </w:tcPr>
          <w:p w14:paraId="6084A9E9">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57" w:type="dxa"/>
            <w:vAlign w:val="center"/>
          </w:tcPr>
          <w:p w14:paraId="16F867B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2BD4AB0E">
            <w:pPr>
              <w:pBdr/>
              <w:spacing w:after="0" w:before="0" w:line="240"/>
              <w:ind/>
              <w:rPr/>
            </w:pPr>
            <w:r>
              <w:rPr>
                <w:rFonts w:ascii="Times New Roman" w:hAnsi="Times New Roman" w:eastAsia="Times New Roman" w:cs="Times New Roman"/>
                <w:color w:val="000000"/>
                <w:sz w:val="24"/>
              </w:rPr>
              <w:t xml:space="preserve">Inflow - outflow</w:t>
            </w:r>
            <w:r/>
          </w:p>
        </w:tc>
      </w:tr>
      <w:tr>
        <w:trPr/>
        <w:tc>
          <w:tcPr>
            <w:tcBorders/>
            <w:tcMar>
              <w:left w:w="15" w:type="dxa"/>
              <w:top w:w="15" w:type="dxa"/>
              <w:right w:w="15" w:type="dxa"/>
              <w:bottom w:w="15" w:type="dxa"/>
            </w:tcMar>
            <w:tcW w:w="2699" w:type="dxa"/>
            <w:vAlign w:val="center"/>
          </w:tcPr>
          <w:p w14:paraId="6A466174">
            <w:pPr>
              <w:pBdr/>
              <w:spacing w:after="0" w:before="0" w:line="240"/>
              <w:ind/>
              <w:rPr/>
            </w:pPr>
            <w:r>
              <w:rPr>
                <w:rFonts w:ascii="Times New Roman" w:hAnsi="Times New Roman" w:eastAsia="Times New Roman" w:cs="Times New Roman"/>
                <w:color w:val="000000"/>
                <w:sz w:val="24"/>
              </w:rPr>
              <w:t xml:space="preserve">Exchange net flow MA</w:t>
            </w:r>
            <w:r/>
          </w:p>
        </w:tc>
        <w:tc>
          <w:tcPr>
            <w:tcBorders/>
            <w:tcMar>
              <w:left w:w="15" w:type="dxa"/>
              <w:top w:w="15" w:type="dxa"/>
              <w:right w:w="15" w:type="dxa"/>
              <w:bottom w:w="15" w:type="dxa"/>
            </w:tcMar>
            <w:tcW w:w="2499" w:type="dxa"/>
            <w:vAlign w:val="center"/>
          </w:tcPr>
          <w:p w14:paraId="46B18C68">
            <w:pPr>
              <w:pBdr/>
              <w:spacing w:after="0" w:before="0" w:line="240"/>
              <w:ind/>
              <w:rPr/>
            </w:pPr>
            <w:r>
              <w:rPr>
                <w:rFonts w:ascii="Times New Roman" w:hAnsi="Times New Roman" w:eastAsia="Times New Roman" w:cs="Times New Roman"/>
                <w:color w:val="000000"/>
                <w:sz w:val="24"/>
              </w:rPr>
              <w:t xml:space="preserve">exchange_net_flow_usd</w:t>
            </w:r>
            <w:r/>
          </w:p>
        </w:tc>
        <w:tc>
          <w:tcPr>
            <w:tcBorders/>
            <w:tcMar>
              <w:left w:w="15" w:type="dxa"/>
              <w:top w:w="15" w:type="dxa"/>
              <w:right w:w="15" w:type="dxa"/>
              <w:bottom w:w="15" w:type="dxa"/>
            </w:tcMar>
            <w:tcW w:w="940" w:type="dxa"/>
            <w:vAlign w:val="center"/>
          </w:tcPr>
          <w:p w14:paraId="4026FF34">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742" w:type="dxa"/>
            <w:vAlign w:val="center"/>
          </w:tcPr>
          <w:p w14:paraId="6AE77730">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57" w:type="dxa"/>
            <w:vAlign w:val="center"/>
          </w:tcPr>
          <w:p w14:paraId="5BFD13D0">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2F390B07">
            <w:pPr>
              <w:pBdr/>
              <w:spacing w:after="0" w:before="0" w:line="240"/>
              <w:ind/>
              <w:rPr/>
            </w:pPr>
            <w:r/>
          </w:p>
        </w:tc>
      </w:tr>
      <w:tr>
        <w:trPr/>
        <w:tc>
          <w:tcPr>
            <w:tcBorders/>
            <w:tcMar>
              <w:left w:w="15" w:type="dxa"/>
              <w:top w:w="15" w:type="dxa"/>
              <w:right w:w="15" w:type="dxa"/>
              <w:bottom w:w="15" w:type="dxa"/>
            </w:tcMar>
            <w:tcW w:w="2699" w:type="dxa"/>
            <w:vAlign w:val="center"/>
          </w:tcPr>
          <w:p w14:paraId="1EF1C155">
            <w:pPr>
              <w:pBdr/>
              <w:spacing w:after="0" w:before="0" w:line="240"/>
              <w:ind/>
              <w:rPr/>
            </w:pPr>
            <w:r>
              <w:rPr>
                <w:rFonts w:ascii="Times New Roman" w:hAnsi="Times New Roman" w:eastAsia="Times New Roman" w:cs="Times New Roman"/>
                <w:color w:val="000000"/>
                <w:sz w:val="24"/>
              </w:rPr>
              <w:t xml:space="preserve">Exchange net flow zscore</w:t>
            </w:r>
            <w:r/>
          </w:p>
        </w:tc>
        <w:tc>
          <w:tcPr>
            <w:tcBorders/>
            <w:tcMar>
              <w:left w:w="15" w:type="dxa"/>
              <w:top w:w="15" w:type="dxa"/>
              <w:right w:w="15" w:type="dxa"/>
              <w:bottom w:w="15" w:type="dxa"/>
            </w:tcMar>
            <w:tcW w:w="2499" w:type="dxa"/>
            <w:vAlign w:val="center"/>
          </w:tcPr>
          <w:p w14:paraId="497A1343">
            <w:pPr>
              <w:pBdr/>
              <w:spacing w:after="0" w:before="0" w:line="240"/>
              <w:ind/>
              <w:rPr/>
            </w:pPr>
            <w:r>
              <w:rPr>
                <w:rFonts w:ascii="Times New Roman" w:hAnsi="Times New Roman" w:eastAsia="Times New Roman" w:cs="Times New Roman"/>
                <w:color w:val="000000"/>
                <w:sz w:val="24"/>
              </w:rPr>
              <w:t xml:space="preserve">exchange_net_flow_usd</w:t>
            </w:r>
            <w:r/>
          </w:p>
        </w:tc>
        <w:tc>
          <w:tcPr>
            <w:tcBorders/>
            <w:tcMar>
              <w:left w:w="15" w:type="dxa"/>
              <w:top w:w="15" w:type="dxa"/>
              <w:right w:w="15" w:type="dxa"/>
              <w:bottom w:w="15" w:type="dxa"/>
            </w:tcMar>
            <w:tcW w:w="940" w:type="dxa"/>
            <w:vAlign w:val="center"/>
          </w:tcPr>
          <w:p w14:paraId="6CF5C787">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42" w:type="dxa"/>
            <w:vAlign w:val="center"/>
          </w:tcPr>
          <w:p w14:paraId="361BBB37">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7ED7249E">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2ED8C848">
            <w:pPr>
              <w:pBdr/>
              <w:spacing w:after="0" w:before="0" w:line="240"/>
              <w:ind/>
              <w:rPr/>
            </w:pPr>
            <w:r/>
          </w:p>
        </w:tc>
      </w:tr>
      <w:tr>
        <w:trPr/>
        <w:tc>
          <w:tcPr>
            <w:tcBorders/>
            <w:tcMar>
              <w:left w:w="15" w:type="dxa"/>
              <w:top w:w="15" w:type="dxa"/>
              <w:right w:w="15" w:type="dxa"/>
              <w:bottom w:w="15" w:type="dxa"/>
            </w:tcMar>
            <w:tcW w:w="2699" w:type="dxa"/>
            <w:vAlign w:val="center"/>
          </w:tcPr>
          <w:p w14:paraId="2B938EFA">
            <w:pPr>
              <w:pBdr/>
              <w:spacing w:after="0" w:before="0" w:line="240"/>
              <w:ind/>
              <w:rPr/>
            </w:pPr>
            <w:r>
              <w:rPr>
                <w:rFonts w:ascii="Times New Roman" w:hAnsi="Times New Roman" w:eastAsia="Times New Roman" w:cs="Times New Roman"/>
                <w:color w:val="000000"/>
                <w:sz w:val="24"/>
              </w:rPr>
              <w:t xml:space="preserve">Exchange net flow cumulative</w:t>
            </w:r>
            <w:r/>
          </w:p>
        </w:tc>
        <w:tc>
          <w:tcPr>
            <w:tcBorders/>
            <w:tcMar>
              <w:left w:w="15" w:type="dxa"/>
              <w:top w:w="15" w:type="dxa"/>
              <w:right w:w="15" w:type="dxa"/>
              <w:bottom w:w="15" w:type="dxa"/>
            </w:tcMar>
            <w:tcW w:w="2499" w:type="dxa"/>
            <w:vAlign w:val="center"/>
          </w:tcPr>
          <w:p w14:paraId="48EEFCCE">
            <w:pPr>
              <w:pBdr/>
              <w:spacing w:after="0" w:before="0" w:line="240"/>
              <w:ind/>
              <w:rPr/>
            </w:pPr>
            <w:r>
              <w:rPr>
                <w:rFonts w:ascii="Times New Roman" w:hAnsi="Times New Roman" w:eastAsia="Times New Roman" w:cs="Times New Roman"/>
                <w:color w:val="000000"/>
                <w:sz w:val="24"/>
              </w:rPr>
              <w:t xml:space="preserve">exchange_net_flow_usd</w:t>
            </w:r>
            <w:r/>
          </w:p>
        </w:tc>
        <w:tc>
          <w:tcPr>
            <w:tcBorders/>
            <w:tcMar>
              <w:left w:w="15" w:type="dxa"/>
              <w:top w:w="15" w:type="dxa"/>
              <w:right w:w="15" w:type="dxa"/>
              <w:bottom w:w="15" w:type="dxa"/>
            </w:tcMar>
            <w:tcW w:w="940" w:type="dxa"/>
            <w:vAlign w:val="center"/>
          </w:tcPr>
          <w:p w14:paraId="0B470F6B">
            <w:pPr>
              <w:pBdr/>
              <w:spacing w:after="0" w:before="0" w:line="240"/>
              <w:ind/>
              <w:rPr/>
            </w:pPr>
            <w:r>
              <w:rPr>
                <w:rFonts w:ascii="Times New Roman" w:hAnsi="Times New Roman" w:eastAsia="Times New Roman" w:cs="Times New Roman"/>
                <w:color w:val="000000"/>
                <w:sz w:val="24"/>
              </w:rPr>
              <w:t xml:space="preserve">cumsum</w:t>
            </w:r>
            <w:r/>
          </w:p>
        </w:tc>
        <w:tc>
          <w:tcPr>
            <w:tcBorders/>
            <w:tcMar>
              <w:left w:w="15" w:type="dxa"/>
              <w:top w:w="15" w:type="dxa"/>
              <w:right w:w="15" w:type="dxa"/>
              <w:bottom w:w="15" w:type="dxa"/>
            </w:tcMar>
            <w:tcW w:w="742" w:type="dxa"/>
            <w:vAlign w:val="center"/>
          </w:tcPr>
          <w:p w14:paraId="4AE23E16">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57" w:type="dxa"/>
            <w:vAlign w:val="center"/>
          </w:tcPr>
          <w:p w14:paraId="277F06DC">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2BFA5AF7">
            <w:pPr>
              <w:pBdr/>
              <w:spacing w:after="0" w:before="0" w:line="240"/>
              <w:ind/>
              <w:rPr/>
            </w:pPr>
            <w:r/>
          </w:p>
        </w:tc>
      </w:tr>
      <w:tr>
        <w:trPr/>
        <w:tc>
          <w:tcPr>
            <w:tcBorders/>
            <w:tcMar>
              <w:left w:w="15" w:type="dxa"/>
              <w:top w:w="15" w:type="dxa"/>
              <w:right w:w="15" w:type="dxa"/>
              <w:bottom w:w="15" w:type="dxa"/>
            </w:tcMar>
            <w:tcW w:w="2699" w:type="dxa"/>
            <w:vAlign w:val="center"/>
          </w:tcPr>
          <w:p w14:paraId="2C16180E">
            <w:pPr>
              <w:pBdr/>
              <w:spacing w:after="0" w:before="0" w:line="240"/>
              <w:ind/>
              <w:rPr/>
            </w:pPr>
            <w:r>
              <w:rPr>
                <w:rFonts w:ascii="Times New Roman" w:hAnsi="Times New Roman" w:eastAsia="Times New Roman" w:cs="Times New Roman"/>
                <w:color w:val="000000"/>
                <w:sz w:val="24"/>
              </w:rPr>
              <w:t xml:space="preserve">Exchange net flow cumulative</w:t>
            </w:r>
            <w:r/>
          </w:p>
        </w:tc>
        <w:tc>
          <w:tcPr>
            <w:tcBorders/>
            <w:tcMar>
              <w:left w:w="15" w:type="dxa"/>
              <w:top w:w="15" w:type="dxa"/>
              <w:right w:w="15" w:type="dxa"/>
              <w:bottom w:w="15" w:type="dxa"/>
            </w:tcMar>
            <w:tcW w:w="2499" w:type="dxa"/>
            <w:vAlign w:val="center"/>
          </w:tcPr>
          <w:p w14:paraId="48B6582E">
            <w:pPr>
              <w:pBdr/>
              <w:spacing w:after="0" w:before="0" w:line="240"/>
              <w:ind/>
              <w:rPr/>
            </w:pPr>
            <w:r>
              <w:rPr>
                <w:rFonts w:ascii="Times New Roman" w:hAnsi="Times New Roman" w:eastAsia="Times New Roman" w:cs="Times New Roman"/>
                <w:color w:val="000000"/>
                <w:sz w:val="24"/>
              </w:rPr>
              <w:t xml:space="preserve">exchange_net_flow_usd</w:t>
            </w:r>
            <w:r/>
          </w:p>
        </w:tc>
        <w:tc>
          <w:tcPr>
            <w:tcBorders/>
            <w:tcMar>
              <w:left w:w="15" w:type="dxa"/>
              <w:top w:w="15" w:type="dxa"/>
              <w:right w:w="15" w:type="dxa"/>
              <w:bottom w:w="15" w:type="dxa"/>
            </w:tcMar>
            <w:tcW w:w="940" w:type="dxa"/>
            <w:vAlign w:val="center"/>
          </w:tcPr>
          <w:p w14:paraId="558194EA">
            <w:pPr>
              <w:pBdr/>
              <w:spacing w:after="0" w:before="0" w:line="240"/>
              <w:ind/>
              <w:rPr/>
            </w:pPr>
            <w:r>
              <w:rPr>
                <w:rFonts w:ascii="Times New Roman" w:hAnsi="Times New Roman" w:eastAsia="Times New Roman" w:cs="Times New Roman"/>
                <w:color w:val="000000"/>
                <w:sz w:val="24"/>
              </w:rPr>
              <w:t xml:space="preserve">cumsum</w:t>
            </w:r>
            <w:r/>
          </w:p>
        </w:tc>
        <w:tc>
          <w:tcPr>
            <w:tcBorders/>
            <w:tcMar>
              <w:left w:w="15" w:type="dxa"/>
              <w:top w:w="15" w:type="dxa"/>
              <w:right w:w="15" w:type="dxa"/>
              <w:bottom w:w="15" w:type="dxa"/>
            </w:tcMar>
            <w:tcW w:w="742" w:type="dxa"/>
            <w:vAlign w:val="center"/>
          </w:tcPr>
          <w:p w14:paraId="0F06C422">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2CBEC6F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105BDCB3">
            <w:pPr>
              <w:pBdr/>
              <w:spacing w:after="0" w:before="0" w:line="240"/>
              <w:ind/>
              <w:rPr/>
            </w:pPr>
            <w:r/>
          </w:p>
        </w:tc>
      </w:tr>
      <w:tr>
        <w:trPr/>
        <w:tc>
          <w:tcPr>
            <w:tcBorders/>
            <w:tcMar>
              <w:left w:w="15" w:type="dxa"/>
              <w:top w:w="15" w:type="dxa"/>
              <w:right w:w="15" w:type="dxa"/>
              <w:bottom w:w="15" w:type="dxa"/>
            </w:tcMar>
            <w:tcW w:w="2699" w:type="dxa"/>
            <w:vAlign w:val="center"/>
          </w:tcPr>
          <w:p w14:paraId="113349BB">
            <w:pPr>
              <w:pBdr/>
              <w:spacing w:after="0" w:before="0" w:line="240"/>
              <w:ind/>
              <w:rPr/>
            </w:pPr>
            <w:r>
              <w:rPr>
                <w:rFonts w:ascii="Times New Roman" w:hAnsi="Times New Roman" w:eastAsia="Times New Roman" w:cs="Times New Roman"/>
                <w:color w:val="000000"/>
                <w:sz w:val="24"/>
              </w:rPr>
              <w:t xml:space="preserve">Exchange inflow zscore</w:t>
            </w:r>
            <w:r/>
          </w:p>
        </w:tc>
        <w:tc>
          <w:tcPr>
            <w:tcBorders/>
            <w:tcMar>
              <w:left w:w="15" w:type="dxa"/>
              <w:top w:w="15" w:type="dxa"/>
              <w:right w:w="15" w:type="dxa"/>
              <w:bottom w:w="15" w:type="dxa"/>
            </w:tcMar>
            <w:tcW w:w="2499" w:type="dxa"/>
            <w:vAlign w:val="center"/>
          </w:tcPr>
          <w:p w14:paraId="0ED903A2">
            <w:pPr>
              <w:pBdr/>
              <w:spacing w:after="0" w:before="0" w:line="240"/>
              <w:ind/>
              <w:rPr/>
            </w:pPr>
            <w:r>
              <w:rPr>
                <w:rFonts w:ascii="Times New Roman" w:hAnsi="Times New Roman" w:eastAsia="Times New Roman" w:cs="Times New Roman"/>
                <w:color w:val="000000"/>
                <w:sz w:val="24"/>
              </w:rPr>
              <w:t xml:space="preserve">exchange_inflow_usd</w:t>
            </w:r>
            <w:r/>
          </w:p>
        </w:tc>
        <w:tc>
          <w:tcPr>
            <w:tcBorders/>
            <w:tcMar>
              <w:left w:w="15" w:type="dxa"/>
              <w:top w:w="15" w:type="dxa"/>
              <w:right w:w="15" w:type="dxa"/>
              <w:bottom w:w="15" w:type="dxa"/>
            </w:tcMar>
            <w:tcW w:w="940" w:type="dxa"/>
            <w:vAlign w:val="center"/>
          </w:tcPr>
          <w:p w14:paraId="688EB6FF">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42" w:type="dxa"/>
            <w:vAlign w:val="center"/>
          </w:tcPr>
          <w:p w14:paraId="0047F240">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6A82303D">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681BE3E9">
            <w:pPr>
              <w:pBdr/>
              <w:spacing w:after="0" w:before="0" w:line="240"/>
              <w:ind/>
              <w:rPr/>
            </w:pPr>
            <w:r>
              <w:rPr>
                <w:rFonts w:ascii="Times New Roman" w:hAnsi="Times New Roman" w:eastAsia="Times New Roman" w:cs="Times New Roman"/>
                <w:color w:val="000000"/>
                <w:sz w:val="24"/>
              </w:rPr>
              <w:t xml:space="preserve">Directional pressure</w:t>
            </w:r>
            <w:r/>
          </w:p>
        </w:tc>
      </w:tr>
      <w:tr>
        <w:trPr/>
        <w:tc>
          <w:tcPr>
            <w:tcBorders/>
            <w:tcMar>
              <w:left w:w="15" w:type="dxa"/>
              <w:top w:w="15" w:type="dxa"/>
              <w:right w:w="15" w:type="dxa"/>
              <w:bottom w:w="15" w:type="dxa"/>
            </w:tcMar>
            <w:tcW w:w="2699" w:type="dxa"/>
            <w:vAlign w:val="center"/>
          </w:tcPr>
          <w:p w14:paraId="6919AC1A">
            <w:pPr>
              <w:pBdr/>
              <w:spacing w:after="0" w:before="0" w:line="240"/>
              <w:ind/>
              <w:rPr/>
            </w:pPr>
            <w:r>
              <w:rPr>
                <w:rFonts w:ascii="Times New Roman" w:hAnsi="Times New Roman" w:eastAsia="Times New Roman" w:cs="Times New Roman"/>
                <w:color w:val="000000"/>
                <w:sz w:val="24"/>
              </w:rPr>
              <w:t xml:space="preserve">Exchange outflow zscore</w:t>
            </w:r>
            <w:r/>
          </w:p>
        </w:tc>
        <w:tc>
          <w:tcPr>
            <w:tcBorders/>
            <w:tcMar>
              <w:left w:w="15" w:type="dxa"/>
              <w:top w:w="15" w:type="dxa"/>
              <w:right w:w="15" w:type="dxa"/>
              <w:bottom w:w="15" w:type="dxa"/>
            </w:tcMar>
            <w:tcW w:w="2499" w:type="dxa"/>
            <w:vAlign w:val="center"/>
          </w:tcPr>
          <w:p w14:paraId="3590A197">
            <w:pPr>
              <w:pBdr/>
              <w:spacing w:after="0" w:before="0" w:line="240"/>
              <w:ind/>
              <w:rPr/>
            </w:pPr>
            <w:r>
              <w:rPr>
                <w:rFonts w:ascii="Times New Roman" w:hAnsi="Times New Roman" w:eastAsia="Times New Roman" w:cs="Times New Roman"/>
                <w:color w:val="000000"/>
                <w:sz w:val="24"/>
              </w:rPr>
              <w:t xml:space="preserve">exchange_outflow_usd</w:t>
            </w:r>
            <w:r/>
          </w:p>
        </w:tc>
        <w:tc>
          <w:tcPr>
            <w:tcBorders/>
            <w:tcMar>
              <w:left w:w="15" w:type="dxa"/>
              <w:top w:w="15" w:type="dxa"/>
              <w:right w:w="15" w:type="dxa"/>
              <w:bottom w:w="15" w:type="dxa"/>
            </w:tcMar>
            <w:tcW w:w="940" w:type="dxa"/>
            <w:vAlign w:val="center"/>
          </w:tcPr>
          <w:p w14:paraId="222ED5CD">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42" w:type="dxa"/>
            <w:vAlign w:val="center"/>
          </w:tcPr>
          <w:p w14:paraId="2049019F">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22F813A3">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1F13C257">
            <w:pPr>
              <w:pBdr/>
              <w:spacing w:after="0" w:before="0" w:line="240"/>
              <w:ind/>
              <w:rPr/>
            </w:pPr>
            <w:r/>
          </w:p>
        </w:tc>
      </w:tr>
      <w:tr>
        <w:trPr/>
        <w:tc>
          <w:tcPr>
            <w:tcBorders/>
            <w:tcMar>
              <w:left w:w="15" w:type="dxa"/>
              <w:top w:w="15" w:type="dxa"/>
              <w:right w:w="15" w:type="dxa"/>
              <w:bottom w:w="15" w:type="dxa"/>
            </w:tcMar>
            <w:tcW w:w="2699" w:type="dxa"/>
            <w:vAlign w:val="center"/>
          </w:tcPr>
          <w:p w14:paraId="7FFB9BAE">
            <w:pPr>
              <w:pBdr/>
              <w:spacing w:after="0" w:before="0" w:line="240"/>
              <w:ind/>
              <w:rPr/>
            </w:pPr>
            <w:r>
              <w:rPr>
                <w:rFonts w:ascii="Times New Roman" w:hAnsi="Times New Roman" w:eastAsia="Times New Roman" w:cs="Times New Roman"/>
                <w:color w:val="000000"/>
                <w:sz w:val="24"/>
              </w:rPr>
              <w:t xml:space="preserve">Stablecoin supply change</w:t>
            </w:r>
            <w:r/>
          </w:p>
        </w:tc>
        <w:tc>
          <w:tcPr>
            <w:tcBorders/>
            <w:tcMar>
              <w:left w:w="15" w:type="dxa"/>
              <w:top w:w="15" w:type="dxa"/>
              <w:right w:w="15" w:type="dxa"/>
              <w:bottom w:w="15" w:type="dxa"/>
            </w:tcMar>
            <w:tcW w:w="2499" w:type="dxa"/>
            <w:vAlign w:val="center"/>
          </w:tcPr>
          <w:p w14:paraId="7EF0F5F9">
            <w:pPr>
              <w:pBdr/>
              <w:spacing w:after="0" w:before="0" w:line="240"/>
              <w:ind/>
              <w:rPr/>
            </w:pPr>
            <w:r>
              <w:rPr>
                <w:rFonts w:ascii="Times New Roman" w:hAnsi="Times New Roman" w:eastAsia="Times New Roman" w:cs="Times New Roman"/>
                <w:color w:val="000000"/>
                <w:sz w:val="24"/>
              </w:rPr>
              <w:t xml:space="preserve">stablecoin_supply_usd</w:t>
            </w:r>
            <w:r/>
          </w:p>
        </w:tc>
        <w:tc>
          <w:tcPr>
            <w:tcBorders/>
            <w:tcMar>
              <w:left w:w="15" w:type="dxa"/>
              <w:top w:w="15" w:type="dxa"/>
              <w:right w:w="15" w:type="dxa"/>
              <w:bottom w:w="15" w:type="dxa"/>
            </w:tcMar>
            <w:tcW w:w="940" w:type="dxa"/>
            <w:vAlign w:val="center"/>
          </w:tcPr>
          <w:p w14:paraId="69EF17AE">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742" w:type="dxa"/>
            <w:vAlign w:val="center"/>
          </w:tcPr>
          <w:p w14:paraId="7B0A3F8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757" w:type="dxa"/>
            <w:vAlign w:val="center"/>
          </w:tcPr>
          <w:p w14:paraId="0FB5B93A">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2E00EEB8">
            <w:pPr>
              <w:pBdr/>
              <w:spacing w:after="0" w:before="0" w:line="240"/>
              <w:ind/>
              <w:rPr/>
            </w:pPr>
            <w:r>
              <w:rPr>
                <w:rFonts w:ascii="Times New Roman" w:hAnsi="Times New Roman" w:eastAsia="Times New Roman" w:cs="Times New Roman"/>
                <w:color w:val="000000"/>
                <w:sz w:val="24"/>
              </w:rPr>
              <w:t xml:space="preserve">Market-level</w:t>
            </w:r>
            <w:r/>
          </w:p>
        </w:tc>
      </w:tr>
      <w:tr>
        <w:trPr/>
        <w:tc>
          <w:tcPr>
            <w:tcBorders/>
            <w:tcMar>
              <w:left w:w="15" w:type="dxa"/>
              <w:top w:w="15" w:type="dxa"/>
              <w:right w:w="15" w:type="dxa"/>
              <w:bottom w:w="15" w:type="dxa"/>
            </w:tcMar>
            <w:tcW w:w="2699" w:type="dxa"/>
            <w:vAlign w:val="center"/>
          </w:tcPr>
          <w:p w14:paraId="69EAB90D">
            <w:pPr>
              <w:pBdr/>
              <w:spacing w:after="0" w:before="0" w:line="240"/>
              <w:ind/>
              <w:rPr/>
            </w:pPr>
            <w:r>
              <w:rPr>
                <w:rFonts w:ascii="Times New Roman" w:hAnsi="Times New Roman" w:eastAsia="Times New Roman" w:cs="Times New Roman"/>
                <w:color w:val="000000"/>
                <w:sz w:val="24"/>
              </w:rPr>
              <w:t xml:space="preserve">Stablecoin supply change</w:t>
            </w:r>
            <w:r/>
          </w:p>
        </w:tc>
        <w:tc>
          <w:tcPr>
            <w:tcBorders/>
            <w:tcMar>
              <w:left w:w="15" w:type="dxa"/>
              <w:top w:w="15" w:type="dxa"/>
              <w:right w:w="15" w:type="dxa"/>
              <w:bottom w:w="15" w:type="dxa"/>
            </w:tcMar>
            <w:tcW w:w="2499" w:type="dxa"/>
            <w:vAlign w:val="center"/>
          </w:tcPr>
          <w:p w14:paraId="40FD899C">
            <w:pPr>
              <w:pBdr/>
              <w:spacing w:after="0" w:before="0" w:line="240"/>
              <w:ind/>
              <w:rPr/>
            </w:pPr>
            <w:r>
              <w:rPr>
                <w:rFonts w:ascii="Times New Roman" w:hAnsi="Times New Roman" w:eastAsia="Times New Roman" w:cs="Times New Roman"/>
                <w:color w:val="000000"/>
                <w:sz w:val="24"/>
              </w:rPr>
              <w:t xml:space="preserve">stablecoin_supply_usd</w:t>
            </w:r>
            <w:r/>
          </w:p>
        </w:tc>
        <w:tc>
          <w:tcPr>
            <w:tcBorders/>
            <w:tcMar>
              <w:left w:w="15" w:type="dxa"/>
              <w:top w:w="15" w:type="dxa"/>
              <w:right w:w="15" w:type="dxa"/>
              <w:bottom w:w="15" w:type="dxa"/>
            </w:tcMar>
            <w:tcW w:w="940" w:type="dxa"/>
            <w:vAlign w:val="center"/>
          </w:tcPr>
          <w:p w14:paraId="6A3E8C13">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742" w:type="dxa"/>
            <w:vAlign w:val="center"/>
          </w:tcPr>
          <w:p w14:paraId="074191E1">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57" w:type="dxa"/>
            <w:vAlign w:val="center"/>
          </w:tcPr>
          <w:p w14:paraId="608AE6BC">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5C6E2458">
            <w:pPr>
              <w:pBdr/>
              <w:spacing w:after="0" w:before="0" w:line="240"/>
              <w:ind/>
              <w:rPr/>
            </w:pPr>
            <w:r/>
          </w:p>
        </w:tc>
      </w:tr>
      <w:tr>
        <w:trPr/>
        <w:tc>
          <w:tcPr>
            <w:tcBorders/>
            <w:tcMar>
              <w:left w:w="15" w:type="dxa"/>
              <w:top w:w="15" w:type="dxa"/>
              <w:right w:w="15" w:type="dxa"/>
              <w:bottom w:w="15" w:type="dxa"/>
            </w:tcMar>
            <w:tcW w:w="2699" w:type="dxa"/>
            <w:vAlign w:val="center"/>
          </w:tcPr>
          <w:p w14:paraId="010B0822">
            <w:pPr>
              <w:pBdr/>
              <w:spacing w:after="0" w:before="0" w:line="240"/>
              <w:ind/>
              <w:rPr/>
            </w:pPr>
            <w:r>
              <w:rPr>
                <w:rFonts w:ascii="Times New Roman" w:hAnsi="Times New Roman" w:eastAsia="Times New Roman" w:cs="Times New Roman"/>
                <w:color w:val="000000"/>
                <w:sz w:val="24"/>
              </w:rPr>
              <w:t xml:space="preserve">Stablecoin supply zscore</w:t>
            </w:r>
            <w:r/>
          </w:p>
        </w:tc>
        <w:tc>
          <w:tcPr>
            <w:tcBorders/>
            <w:tcMar>
              <w:left w:w="15" w:type="dxa"/>
              <w:top w:w="15" w:type="dxa"/>
              <w:right w:w="15" w:type="dxa"/>
              <w:bottom w:w="15" w:type="dxa"/>
            </w:tcMar>
            <w:tcW w:w="2499" w:type="dxa"/>
            <w:vAlign w:val="center"/>
          </w:tcPr>
          <w:p w14:paraId="7A134DCF">
            <w:pPr>
              <w:pBdr/>
              <w:spacing w:after="0" w:before="0" w:line="240"/>
              <w:ind/>
              <w:rPr/>
            </w:pPr>
            <w:r>
              <w:rPr>
                <w:rFonts w:ascii="Times New Roman" w:hAnsi="Times New Roman" w:eastAsia="Times New Roman" w:cs="Times New Roman"/>
                <w:color w:val="000000"/>
                <w:sz w:val="24"/>
              </w:rPr>
              <w:t xml:space="preserve">stablecoin_supply_usd</w:t>
            </w:r>
            <w:r/>
          </w:p>
        </w:tc>
        <w:tc>
          <w:tcPr>
            <w:tcBorders/>
            <w:tcMar>
              <w:left w:w="15" w:type="dxa"/>
              <w:top w:w="15" w:type="dxa"/>
              <w:right w:w="15" w:type="dxa"/>
              <w:bottom w:w="15" w:type="dxa"/>
            </w:tcMar>
            <w:tcW w:w="940" w:type="dxa"/>
            <w:vAlign w:val="center"/>
          </w:tcPr>
          <w:p w14:paraId="18B7B5BA">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42" w:type="dxa"/>
            <w:vAlign w:val="center"/>
          </w:tcPr>
          <w:p w14:paraId="56A33070">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466D46AF">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5DEFC724">
            <w:pPr>
              <w:pBdr/>
              <w:spacing w:after="0" w:before="0" w:line="240"/>
              <w:ind/>
              <w:rPr/>
            </w:pPr>
            <w:r/>
          </w:p>
        </w:tc>
      </w:tr>
      <w:tr>
        <w:trPr/>
        <w:tc>
          <w:tcPr>
            <w:tcBorders/>
            <w:tcMar>
              <w:left w:w="15" w:type="dxa"/>
              <w:top w:w="15" w:type="dxa"/>
              <w:right w:w="15" w:type="dxa"/>
              <w:bottom w:w="15" w:type="dxa"/>
            </w:tcMar>
            <w:tcW w:w="2699" w:type="dxa"/>
            <w:vAlign w:val="center"/>
          </w:tcPr>
          <w:p w14:paraId="7F66569A">
            <w:pPr>
              <w:pBdr/>
              <w:spacing w:after="0" w:before="0" w:line="240"/>
              <w:ind/>
              <w:rPr/>
            </w:pPr>
            <w:r>
              <w:rPr>
                <w:rFonts w:ascii="Times New Roman" w:hAnsi="Times New Roman" w:eastAsia="Times New Roman" w:cs="Times New Roman"/>
                <w:color w:val="000000"/>
                <w:sz w:val="24"/>
              </w:rPr>
              <w:t xml:space="preserve">ETF net flow</w:t>
            </w:r>
            <w:r/>
          </w:p>
        </w:tc>
        <w:tc>
          <w:tcPr>
            <w:tcBorders/>
            <w:tcMar>
              <w:left w:w="15" w:type="dxa"/>
              <w:top w:w="15" w:type="dxa"/>
              <w:right w:w="15" w:type="dxa"/>
              <w:bottom w:w="15" w:type="dxa"/>
            </w:tcMar>
            <w:tcW w:w="2499" w:type="dxa"/>
            <w:vAlign w:val="center"/>
          </w:tcPr>
          <w:p w14:paraId="1A6AEFED">
            <w:pPr>
              <w:pBdr/>
              <w:spacing w:after="0" w:before="0" w:line="240"/>
              <w:ind/>
              <w:rPr/>
            </w:pPr>
            <w:r>
              <w:rPr>
                <w:rFonts w:ascii="Times New Roman" w:hAnsi="Times New Roman" w:eastAsia="Times New Roman" w:cs="Times New Roman"/>
                <w:color w:val="000000"/>
                <w:sz w:val="24"/>
              </w:rPr>
              <w:t xml:space="preserve">etf_net_flow_usd</w:t>
            </w:r>
            <w:r/>
          </w:p>
        </w:tc>
        <w:tc>
          <w:tcPr>
            <w:tcBorders/>
            <w:tcMar>
              <w:left w:w="15" w:type="dxa"/>
              <w:top w:w="15" w:type="dxa"/>
              <w:right w:w="15" w:type="dxa"/>
              <w:bottom w:w="15" w:type="dxa"/>
            </w:tcMar>
            <w:tcW w:w="940" w:type="dxa"/>
            <w:vAlign w:val="center"/>
          </w:tcPr>
          <w:p w14:paraId="1AC97AB7">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42" w:type="dxa"/>
            <w:vAlign w:val="center"/>
          </w:tcPr>
          <w:p w14:paraId="4BC5D66D">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57" w:type="dxa"/>
            <w:vAlign w:val="center"/>
          </w:tcPr>
          <w:p w14:paraId="60A35342">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78342404">
            <w:pPr>
              <w:pBdr/>
              <w:spacing w:after="0" w:before="0" w:line="240"/>
              <w:ind/>
              <w:rPr/>
            </w:pPr>
            <w:r>
              <w:rPr>
                <w:rFonts w:ascii="Times New Roman" w:hAnsi="Times New Roman" w:eastAsia="Times New Roman" w:cs="Times New Roman"/>
                <w:color w:val="000000"/>
                <w:sz w:val="24"/>
              </w:rPr>
              <w:t xml:space="preserve">BTC/ETH/SOL only</w:t>
            </w:r>
            <w:r/>
          </w:p>
        </w:tc>
      </w:tr>
      <w:tr>
        <w:trPr/>
        <w:tc>
          <w:tcPr>
            <w:tcBorders/>
            <w:tcMar>
              <w:left w:w="15" w:type="dxa"/>
              <w:top w:w="15" w:type="dxa"/>
              <w:right w:w="15" w:type="dxa"/>
              <w:bottom w:w="15" w:type="dxa"/>
            </w:tcMar>
            <w:tcW w:w="2699" w:type="dxa"/>
            <w:vAlign w:val="center"/>
          </w:tcPr>
          <w:p w14:paraId="628D0A7D">
            <w:pPr>
              <w:pBdr/>
              <w:spacing w:after="0" w:before="0" w:line="240"/>
              <w:ind/>
              <w:rPr/>
            </w:pPr>
            <w:r>
              <w:rPr>
                <w:rFonts w:ascii="Times New Roman" w:hAnsi="Times New Roman" w:eastAsia="Times New Roman" w:cs="Times New Roman"/>
                <w:color w:val="000000"/>
                <w:sz w:val="24"/>
              </w:rPr>
              <w:t xml:space="preserve">ETF flow cumulative</w:t>
            </w:r>
            <w:r/>
          </w:p>
        </w:tc>
        <w:tc>
          <w:tcPr>
            <w:tcBorders/>
            <w:tcMar>
              <w:left w:w="15" w:type="dxa"/>
              <w:top w:w="15" w:type="dxa"/>
              <w:right w:w="15" w:type="dxa"/>
              <w:bottom w:w="15" w:type="dxa"/>
            </w:tcMar>
            <w:tcW w:w="2499" w:type="dxa"/>
            <w:vAlign w:val="center"/>
          </w:tcPr>
          <w:p w14:paraId="54DF44BD">
            <w:pPr>
              <w:pBdr/>
              <w:spacing w:after="0" w:before="0" w:line="240"/>
              <w:ind/>
              <w:rPr/>
            </w:pPr>
            <w:r>
              <w:rPr>
                <w:rFonts w:ascii="Times New Roman" w:hAnsi="Times New Roman" w:eastAsia="Times New Roman" w:cs="Times New Roman"/>
                <w:color w:val="000000"/>
                <w:sz w:val="24"/>
              </w:rPr>
              <w:t xml:space="preserve">etf_net_flow_usd</w:t>
            </w:r>
            <w:r/>
          </w:p>
        </w:tc>
        <w:tc>
          <w:tcPr>
            <w:tcBorders/>
            <w:tcMar>
              <w:left w:w="15" w:type="dxa"/>
              <w:top w:w="15" w:type="dxa"/>
              <w:right w:w="15" w:type="dxa"/>
              <w:bottom w:w="15" w:type="dxa"/>
            </w:tcMar>
            <w:tcW w:w="940" w:type="dxa"/>
            <w:vAlign w:val="center"/>
          </w:tcPr>
          <w:p w14:paraId="4E96D651">
            <w:pPr>
              <w:pBdr/>
              <w:spacing w:after="0" w:before="0" w:line="240"/>
              <w:ind/>
              <w:rPr/>
            </w:pPr>
            <w:r>
              <w:rPr>
                <w:rFonts w:ascii="Times New Roman" w:hAnsi="Times New Roman" w:eastAsia="Times New Roman" w:cs="Times New Roman"/>
                <w:color w:val="000000"/>
                <w:sz w:val="24"/>
              </w:rPr>
              <w:t xml:space="preserve">cumsum</w:t>
            </w:r>
            <w:r/>
          </w:p>
        </w:tc>
        <w:tc>
          <w:tcPr>
            <w:tcBorders/>
            <w:tcMar>
              <w:left w:w="15" w:type="dxa"/>
              <w:top w:w="15" w:type="dxa"/>
              <w:right w:w="15" w:type="dxa"/>
              <w:bottom w:w="15" w:type="dxa"/>
            </w:tcMar>
            <w:tcW w:w="742" w:type="dxa"/>
            <w:vAlign w:val="center"/>
          </w:tcPr>
          <w:p w14:paraId="393202F8">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57" w:type="dxa"/>
            <w:vAlign w:val="center"/>
          </w:tcPr>
          <w:p w14:paraId="0FF8B7D8">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4E78F3E8">
            <w:pPr>
              <w:pBdr/>
              <w:spacing w:after="0" w:before="0" w:line="240"/>
              <w:ind/>
              <w:rPr/>
            </w:pPr>
            <w:r/>
          </w:p>
        </w:tc>
      </w:tr>
      <w:tr>
        <w:trPr/>
        <w:tc>
          <w:tcPr>
            <w:tcBorders/>
            <w:tcMar>
              <w:left w:w="15" w:type="dxa"/>
              <w:top w:w="15" w:type="dxa"/>
              <w:right w:w="15" w:type="dxa"/>
              <w:bottom w:w="15" w:type="dxa"/>
            </w:tcMar>
            <w:tcW w:w="2699" w:type="dxa"/>
            <w:vAlign w:val="center"/>
          </w:tcPr>
          <w:p w14:paraId="6B58BD55">
            <w:pPr>
              <w:pBdr/>
              <w:spacing w:after="0" w:before="0" w:line="240"/>
              <w:ind/>
              <w:rPr/>
            </w:pPr>
            <w:r>
              <w:rPr>
                <w:rFonts w:ascii="Times New Roman" w:hAnsi="Times New Roman" w:eastAsia="Times New Roman" w:cs="Times New Roman"/>
                <w:color w:val="000000"/>
                <w:sz w:val="24"/>
              </w:rPr>
              <w:t xml:space="preserve">ETF flow cumulative</w:t>
            </w:r>
            <w:r/>
          </w:p>
        </w:tc>
        <w:tc>
          <w:tcPr>
            <w:tcBorders/>
            <w:tcMar>
              <w:left w:w="15" w:type="dxa"/>
              <w:top w:w="15" w:type="dxa"/>
              <w:right w:w="15" w:type="dxa"/>
              <w:bottom w:w="15" w:type="dxa"/>
            </w:tcMar>
            <w:tcW w:w="2499" w:type="dxa"/>
            <w:vAlign w:val="center"/>
          </w:tcPr>
          <w:p w14:paraId="08476B0A">
            <w:pPr>
              <w:pBdr/>
              <w:spacing w:after="0" w:before="0" w:line="240"/>
              <w:ind/>
              <w:rPr/>
            </w:pPr>
            <w:r>
              <w:rPr>
                <w:rFonts w:ascii="Times New Roman" w:hAnsi="Times New Roman" w:eastAsia="Times New Roman" w:cs="Times New Roman"/>
                <w:color w:val="000000"/>
                <w:sz w:val="24"/>
              </w:rPr>
              <w:t xml:space="preserve">etf_net_flow_usd</w:t>
            </w:r>
            <w:r/>
          </w:p>
        </w:tc>
        <w:tc>
          <w:tcPr>
            <w:tcBorders/>
            <w:tcMar>
              <w:left w:w="15" w:type="dxa"/>
              <w:top w:w="15" w:type="dxa"/>
              <w:right w:w="15" w:type="dxa"/>
              <w:bottom w:w="15" w:type="dxa"/>
            </w:tcMar>
            <w:tcW w:w="940" w:type="dxa"/>
            <w:vAlign w:val="center"/>
          </w:tcPr>
          <w:p w14:paraId="1244D425">
            <w:pPr>
              <w:pBdr/>
              <w:spacing w:after="0" w:before="0" w:line="240"/>
              <w:ind/>
              <w:rPr/>
            </w:pPr>
            <w:r>
              <w:rPr>
                <w:rFonts w:ascii="Times New Roman" w:hAnsi="Times New Roman" w:eastAsia="Times New Roman" w:cs="Times New Roman"/>
                <w:color w:val="000000"/>
                <w:sz w:val="24"/>
              </w:rPr>
              <w:t xml:space="preserve">cumsum</w:t>
            </w:r>
            <w:r/>
          </w:p>
        </w:tc>
        <w:tc>
          <w:tcPr>
            <w:tcBorders/>
            <w:tcMar>
              <w:left w:w="15" w:type="dxa"/>
              <w:top w:w="15" w:type="dxa"/>
              <w:right w:w="15" w:type="dxa"/>
              <w:bottom w:w="15" w:type="dxa"/>
            </w:tcMar>
            <w:tcW w:w="742" w:type="dxa"/>
            <w:vAlign w:val="center"/>
          </w:tcPr>
          <w:p w14:paraId="610BAC37">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194D21AA">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15F57438">
            <w:pPr>
              <w:pBdr/>
              <w:spacing w:after="0" w:before="0" w:line="240"/>
              <w:ind/>
              <w:rPr/>
            </w:pPr>
            <w:r/>
          </w:p>
        </w:tc>
      </w:tr>
      <w:tr>
        <w:trPr/>
        <w:tc>
          <w:tcPr>
            <w:tcBorders/>
            <w:tcMar>
              <w:left w:w="15" w:type="dxa"/>
              <w:top w:w="15" w:type="dxa"/>
              <w:right w:w="15" w:type="dxa"/>
              <w:bottom w:w="15" w:type="dxa"/>
            </w:tcMar>
            <w:tcW w:w="2699" w:type="dxa"/>
            <w:vAlign w:val="center"/>
          </w:tcPr>
          <w:p w14:paraId="5FFAC3A9">
            <w:pPr>
              <w:pBdr/>
              <w:spacing w:after="0" w:before="0" w:line="240"/>
              <w:ind/>
              <w:rPr/>
            </w:pPr>
            <w:r>
              <w:rPr>
                <w:rFonts w:ascii="Times New Roman" w:hAnsi="Times New Roman" w:eastAsia="Times New Roman" w:cs="Times New Roman"/>
                <w:color w:val="000000"/>
                <w:sz w:val="24"/>
              </w:rPr>
              <w:t xml:space="preserve">On-chain transfer volume</w:t>
            </w:r>
            <w:r/>
          </w:p>
        </w:tc>
        <w:tc>
          <w:tcPr>
            <w:tcBorders/>
            <w:tcMar>
              <w:left w:w="15" w:type="dxa"/>
              <w:top w:w="15" w:type="dxa"/>
              <w:right w:w="15" w:type="dxa"/>
              <w:bottom w:w="15" w:type="dxa"/>
            </w:tcMar>
            <w:tcW w:w="2499" w:type="dxa"/>
            <w:vAlign w:val="center"/>
          </w:tcPr>
          <w:p w14:paraId="01608E9B">
            <w:pPr>
              <w:pBdr/>
              <w:spacing w:after="0" w:before="0" w:line="240"/>
              <w:ind/>
              <w:rPr/>
            </w:pPr>
            <w:r>
              <w:rPr>
                <w:rFonts w:ascii="Times New Roman" w:hAnsi="Times New Roman" w:eastAsia="Times New Roman" w:cs="Times New Roman"/>
                <w:color w:val="000000"/>
                <w:sz w:val="24"/>
              </w:rPr>
              <w:t xml:space="preserve">onchain_transfer_volume_usd</w:t>
            </w:r>
            <w:r/>
          </w:p>
        </w:tc>
        <w:tc>
          <w:tcPr>
            <w:tcBorders/>
            <w:tcMar>
              <w:left w:w="15" w:type="dxa"/>
              <w:top w:w="15" w:type="dxa"/>
              <w:right w:w="15" w:type="dxa"/>
              <w:bottom w:w="15" w:type="dxa"/>
            </w:tcMar>
            <w:tcW w:w="940" w:type="dxa"/>
            <w:vAlign w:val="center"/>
          </w:tcPr>
          <w:p w14:paraId="7A87A2A7">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742" w:type="dxa"/>
            <w:vAlign w:val="center"/>
          </w:tcPr>
          <w:p w14:paraId="02C526D7">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57" w:type="dxa"/>
            <w:vAlign w:val="center"/>
          </w:tcPr>
          <w:p w14:paraId="3944B5CD">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3199C8CB">
            <w:pPr>
              <w:pBdr/>
              <w:spacing w:after="0" w:before="0" w:line="240"/>
              <w:ind/>
              <w:rPr/>
            </w:pPr>
            <w:r/>
          </w:p>
        </w:tc>
      </w:tr>
      <w:tr>
        <w:trPr/>
        <w:tc>
          <w:tcPr>
            <w:tcBorders/>
            <w:tcMar>
              <w:left w:w="15" w:type="dxa"/>
              <w:top w:w="15" w:type="dxa"/>
              <w:right w:w="15" w:type="dxa"/>
              <w:bottom w:w="15" w:type="dxa"/>
            </w:tcMar>
            <w:tcW w:w="2699" w:type="dxa"/>
            <w:vAlign w:val="center"/>
          </w:tcPr>
          <w:p w14:paraId="547BE98D">
            <w:pPr>
              <w:pBdr/>
              <w:spacing w:after="0" w:before="0" w:line="240"/>
              <w:ind/>
              <w:rPr/>
            </w:pPr>
            <w:r>
              <w:rPr>
                <w:rFonts w:ascii="Times New Roman" w:hAnsi="Times New Roman" w:eastAsia="Times New Roman" w:cs="Times New Roman"/>
                <w:color w:val="000000"/>
                <w:sz w:val="24"/>
              </w:rPr>
              <w:t xml:space="preserve">On-chain transfer volume MA</w:t>
            </w:r>
            <w:r/>
          </w:p>
        </w:tc>
        <w:tc>
          <w:tcPr>
            <w:tcBorders/>
            <w:tcMar>
              <w:left w:w="15" w:type="dxa"/>
              <w:top w:w="15" w:type="dxa"/>
              <w:right w:w="15" w:type="dxa"/>
              <w:bottom w:w="15" w:type="dxa"/>
            </w:tcMar>
            <w:tcW w:w="2499" w:type="dxa"/>
            <w:vAlign w:val="center"/>
          </w:tcPr>
          <w:p w14:paraId="554968B5">
            <w:pPr>
              <w:pBdr/>
              <w:spacing w:after="0" w:before="0" w:line="240"/>
              <w:ind/>
              <w:rPr/>
            </w:pPr>
            <w:r>
              <w:rPr>
                <w:rFonts w:ascii="Times New Roman" w:hAnsi="Times New Roman" w:eastAsia="Times New Roman" w:cs="Times New Roman"/>
                <w:color w:val="000000"/>
                <w:sz w:val="24"/>
              </w:rPr>
              <w:t xml:space="preserve">onchain_transfer_volume_usd</w:t>
            </w:r>
            <w:r/>
          </w:p>
        </w:tc>
        <w:tc>
          <w:tcPr>
            <w:tcBorders/>
            <w:tcMar>
              <w:left w:w="15" w:type="dxa"/>
              <w:top w:w="15" w:type="dxa"/>
              <w:right w:w="15" w:type="dxa"/>
              <w:bottom w:w="15" w:type="dxa"/>
            </w:tcMar>
            <w:tcW w:w="940" w:type="dxa"/>
            <w:vAlign w:val="center"/>
          </w:tcPr>
          <w:p w14:paraId="498C7341">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742" w:type="dxa"/>
            <w:vAlign w:val="center"/>
          </w:tcPr>
          <w:p w14:paraId="2C767959">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57" w:type="dxa"/>
            <w:vAlign w:val="center"/>
          </w:tcPr>
          <w:p w14:paraId="404FE378">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7E22BE97">
            <w:pPr>
              <w:pBdr/>
              <w:spacing w:after="0" w:before="0" w:line="240"/>
              <w:ind/>
              <w:rPr/>
            </w:pPr>
            <w:r/>
          </w:p>
        </w:tc>
      </w:tr>
      <w:tr>
        <w:trPr/>
        <w:tc>
          <w:tcPr>
            <w:tcBorders/>
            <w:tcMar>
              <w:left w:w="15" w:type="dxa"/>
              <w:top w:w="15" w:type="dxa"/>
              <w:right w:w="15" w:type="dxa"/>
              <w:bottom w:w="15" w:type="dxa"/>
            </w:tcMar>
            <w:tcW w:w="2699" w:type="dxa"/>
            <w:vAlign w:val="center"/>
          </w:tcPr>
          <w:p w14:paraId="195FDB5A">
            <w:pPr>
              <w:pBdr/>
              <w:spacing w:after="0" w:before="0" w:line="240"/>
              <w:ind/>
              <w:rPr/>
            </w:pPr>
            <w:r>
              <w:rPr>
                <w:rFonts w:ascii="Times New Roman" w:hAnsi="Times New Roman" w:eastAsia="Times New Roman" w:cs="Times New Roman"/>
                <w:color w:val="000000"/>
                <w:sz w:val="24"/>
              </w:rPr>
              <w:t xml:space="preserve">On-chain transfer volume zscore</w:t>
            </w:r>
            <w:r/>
          </w:p>
        </w:tc>
        <w:tc>
          <w:tcPr>
            <w:tcBorders/>
            <w:tcMar>
              <w:left w:w="15" w:type="dxa"/>
              <w:top w:w="15" w:type="dxa"/>
              <w:right w:w="15" w:type="dxa"/>
              <w:bottom w:w="15" w:type="dxa"/>
            </w:tcMar>
            <w:tcW w:w="2499" w:type="dxa"/>
            <w:vAlign w:val="center"/>
          </w:tcPr>
          <w:p w14:paraId="129AFC85">
            <w:pPr>
              <w:pBdr/>
              <w:spacing w:after="0" w:before="0" w:line="240"/>
              <w:ind/>
              <w:rPr/>
            </w:pPr>
            <w:r>
              <w:rPr>
                <w:rFonts w:ascii="Times New Roman" w:hAnsi="Times New Roman" w:eastAsia="Times New Roman" w:cs="Times New Roman"/>
                <w:color w:val="000000"/>
                <w:sz w:val="24"/>
              </w:rPr>
              <w:t xml:space="preserve">onchain_transfer_volume_usd</w:t>
            </w:r>
            <w:r/>
          </w:p>
        </w:tc>
        <w:tc>
          <w:tcPr>
            <w:tcBorders/>
            <w:tcMar>
              <w:left w:w="15" w:type="dxa"/>
              <w:top w:w="15" w:type="dxa"/>
              <w:right w:w="15" w:type="dxa"/>
              <w:bottom w:w="15" w:type="dxa"/>
            </w:tcMar>
            <w:tcW w:w="940" w:type="dxa"/>
            <w:vAlign w:val="center"/>
          </w:tcPr>
          <w:p w14:paraId="3B329894">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742" w:type="dxa"/>
            <w:vAlign w:val="center"/>
          </w:tcPr>
          <w:p w14:paraId="2A077156">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57" w:type="dxa"/>
            <w:vAlign w:val="center"/>
          </w:tcPr>
          <w:p w14:paraId="4391EF1E">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18" w:type="dxa"/>
            <w:vAlign w:val="center"/>
          </w:tcPr>
          <w:p w14:paraId="79CC5BCC">
            <w:pPr>
              <w:pBdr/>
              <w:spacing w:after="0" w:before="0" w:line="240"/>
              <w:ind/>
              <w:rPr/>
            </w:pPr>
            <w:r/>
          </w:p>
        </w:tc>
      </w:tr>
    </w:tbl>
    <w:p w14:paraId="1C29D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DeFi health domain — market-level and per-protocol: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95"/>
        <w:gridCol w:w="2408"/>
        <w:gridCol w:w="881"/>
        <w:gridCol w:w="696"/>
        <w:gridCol w:w="710"/>
        <w:gridCol w:w="2365"/>
      </w:tblGrid>
      <w:tr>
        <w:trPr/>
        <w:tc>
          <w:tcPr>
            <w:tcBorders/>
            <w:tcMar>
              <w:left w:w="15" w:type="dxa"/>
              <w:top w:w="15" w:type="dxa"/>
              <w:right w:w="15" w:type="dxa"/>
              <w:bottom w:w="15" w:type="dxa"/>
            </w:tcMar>
            <w:tcW w:w="2295" w:type="dxa"/>
            <w:vAlign w:val="center"/>
          </w:tcPr>
          <w:p w14:paraId="37CC35FB">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2408" w:type="dxa"/>
            <w:vAlign w:val="center"/>
          </w:tcPr>
          <w:p w14:paraId="2B32364A">
            <w:pPr>
              <w:pBdr/>
              <w:spacing w:after="0" w:before="0" w:line="240"/>
              <w:ind/>
              <w:jc w:val="center"/>
              <w:rPr/>
            </w:pPr>
            <w:r>
              <w:rPr>
                <w:rFonts w:ascii="Times New Roman" w:hAnsi="Times New Roman" w:eastAsia="Times New Roman" w:cs="Times New Roman"/>
                <w:b/>
                <w:color w:val="000000"/>
                <w:sz w:val="24"/>
              </w:rPr>
              <w:t xml:space="preserve">Input Metric Concept</w:t>
            </w:r>
            <w:r/>
          </w:p>
        </w:tc>
        <w:tc>
          <w:tcPr>
            <w:tcBorders/>
            <w:tcMar>
              <w:left w:w="15" w:type="dxa"/>
              <w:top w:w="15" w:type="dxa"/>
              <w:right w:w="15" w:type="dxa"/>
              <w:bottom w:w="15" w:type="dxa"/>
            </w:tcMar>
            <w:tcW w:w="881" w:type="dxa"/>
            <w:vAlign w:val="center"/>
          </w:tcPr>
          <w:p w14:paraId="530898AC">
            <w:pPr>
              <w:pBdr/>
              <w:spacing w:after="0" w:before="0" w:line="240"/>
              <w:ind/>
              <w:jc w:val="center"/>
              <w:rPr/>
            </w:pPr>
            <w:r>
              <w:rPr>
                <w:rFonts w:ascii="Times New Roman" w:hAnsi="Times New Roman" w:eastAsia="Times New Roman" w:cs="Times New Roman"/>
                <w:b/>
                <w:color w:val="000000"/>
                <w:sz w:val="24"/>
              </w:rPr>
              <w:t xml:space="preserve">Statistic</w:t>
            </w:r>
            <w:r/>
          </w:p>
        </w:tc>
        <w:tc>
          <w:tcPr>
            <w:tcBorders/>
            <w:tcMar>
              <w:left w:w="15" w:type="dxa"/>
              <w:top w:w="15" w:type="dxa"/>
              <w:right w:w="15" w:type="dxa"/>
              <w:bottom w:w="15" w:type="dxa"/>
            </w:tcMar>
            <w:tcW w:w="696" w:type="dxa"/>
            <w:vAlign w:val="center"/>
          </w:tcPr>
          <w:p w14:paraId="372096A0">
            <w:pPr>
              <w:pBdr/>
              <w:spacing w:after="0" w:before="0" w:line="240"/>
              <w:ind/>
              <w:jc w:val="center"/>
              <w:rPr/>
            </w:pPr>
            <w:r>
              <w:rPr>
                <w:rFonts w:ascii="Times New Roman" w:hAnsi="Times New Roman" w:eastAsia="Times New Roman" w:cs="Times New Roman"/>
                <w:b/>
                <w:color w:val="000000"/>
                <w:sz w:val="24"/>
              </w:rPr>
              <w:t xml:space="preserve">Window</w:t>
            </w:r>
            <w:r/>
          </w:p>
        </w:tc>
        <w:tc>
          <w:tcPr>
            <w:tcBorders/>
            <w:tcMar>
              <w:left w:w="15" w:type="dxa"/>
              <w:top w:w="15" w:type="dxa"/>
              <w:right w:w="15" w:type="dxa"/>
              <w:bottom w:w="15" w:type="dxa"/>
            </w:tcMar>
            <w:tcW w:w="710" w:type="dxa"/>
            <w:vAlign w:val="center"/>
          </w:tcPr>
          <w:p w14:paraId="62535EBC">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2365" w:type="dxa"/>
            <w:vAlign w:val="center"/>
          </w:tcPr>
          <w:p w14:paraId="40A6CE8F">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295" w:type="dxa"/>
            <w:vAlign w:val="center"/>
          </w:tcPr>
          <w:p w14:paraId="0BCC6E2D">
            <w:pPr>
              <w:pBdr/>
              <w:spacing w:after="0" w:before="0" w:line="240"/>
              <w:ind/>
              <w:rPr/>
            </w:pPr>
            <w:r>
              <w:rPr>
                <w:rFonts w:ascii="Times New Roman" w:hAnsi="Times New Roman" w:eastAsia="Times New Roman" w:cs="Times New Roman"/>
                <w:color w:val="000000"/>
                <w:sz w:val="24"/>
              </w:rPr>
              <w:t xml:space="preserve">Total DeFi TVL</w:t>
            </w:r>
            <w:r/>
          </w:p>
        </w:tc>
        <w:tc>
          <w:tcPr>
            <w:tcBorders/>
            <w:tcMar>
              <w:left w:w="15" w:type="dxa"/>
              <w:top w:w="15" w:type="dxa"/>
              <w:right w:w="15" w:type="dxa"/>
              <w:bottom w:w="15" w:type="dxa"/>
            </w:tcMar>
            <w:tcW w:w="2408" w:type="dxa"/>
            <w:vAlign w:val="center"/>
          </w:tcPr>
          <w:p w14:paraId="63DF1F76">
            <w:pPr>
              <w:pBdr/>
              <w:spacing w:after="0" w:before="0" w:line="240"/>
              <w:ind/>
              <w:rPr/>
            </w:pPr>
            <w:r>
              <w:rPr>
                <w:rFonts w:ascii="Times New Roman" w:hAnsi="Times New Roman" w:eastAsia="Times New Roman" w:cs="Times New Roman"/>
                <w:color w:val="000000"/>
                <w:sz w:val="24"/>
              </w:rPr>
              <w:t xml:space="preserve">defi_tvl_usd</w:t>
            </w:r>
            <w:r/>
          </w:p>
        </w:tc>
        <w:tc>
          <w:tcPr>
            <w:tcBorders/>
            <w:tcMar>
              <w:left w:w="15" w:type="dxa"/>
              <w:top w:w="15" w:type="dxa"/>
              <w:right w:w="15" w:type="dxa"/>
              <w:bottom w:w="15" w:type="dxa"/>
            </w:tcMar>
            <w:tcW w:w="881" w:type="dxa"/>
            <w:vAlign w:val="center"/>
          </w:tcPr>
          <w:p w14:paraId="31C8FC84">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696" w:type="dxa"/>
            <w:vAlign w:val="center"/>
          </w:tcPr>
          <w:p w14:paraId="63CB7592">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10" w:type="dxa"/>
            <w:vAlign w:val="center"/>
          </w:tcPr>
          <w:p w14:paraId="62913E1E">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5F04AD7F">
            <w:pPr>
              <w:pBdr/>
              <w:spacing w:after="0" w:before="0" w:line="240"/>
              <w:ind/>
              <w:rPr/>
            </w:pPr>
            <w:r>
              <w:rPr>
                <w:rFonts w:ascii="Times New Roman" w:hAnsi="Times New Roman" w:eastAsia="Times New Roman" w:cs="Times New Roman"/>
                <w:color w:val="000000"/>
                <w:sz w:val="24"/>
              </w:rPr>
              <w:t xml:space="preserve">Aggregate</w:t>
            </w:r>
            <w:r/>
          </w:p>
        </w:tc>
      </w:tr>
      <w:tr>
        <w:trPr/>
        <w:tc>
          <w:tcPr>
            <w:tcBorders/>
            <w:tcMar>
              <w:left w:w="15" w:type="dxa"/>
              <w:top w:w="15" w:type="dxa"/>
              <w:right w:w="15" w:type="dxa"/>
              <w:bottom w:w="15" w:type="dxa"/>
            </w:tcMar>
            <w:tcW w:w="2295" w:type="dxa"/>
            <w:vAlign w:val="center"/>
          </w:tcPr>
          <w:p w14:paraId="077859ED">
            <w:pPr>
              <w:pBdr/>
              <w:spacing w:after="0" w:before="0" w:line="240"/>
              <w:ind/>
              <w:rPr/>
            </w:pPr>
            <w:r>
              <w:rPr>
                <w:rFonts w:ascii="Times New Roman" w:hAnsi="Times New Roman" w:eastAsia="Times New Roman" w:cs="Times New Roman"/>
                <w:color w:val="000000"/>
                <w:sz w:val="24"/>
              </w:rPr>
              <w:t xml:space="preserve">Total DeFi TVL change</w:t>
            </w:r>
            <w:r/>
          </w:p>
        </w:tc>
        <w:tc>
          <w:tcPr>
            <w:tcBorders/>
            <w:tcMar>
              <w:left w:w="15" w:type="dxa"/>
              <w:top w:w="15" w:type="dxa"/>
              <w:right w:w="15" w:type="dxa"/>
              <w:bottom w:w="15" w:type="dxa"/>
            </w:tcMar>
            <w:tcW w:w="2408" w:type="dxa"/>
            <w:vAlign w:val="center"/>
          </w:tcPr>
          <w:p w14:paraId="766F6889">
            <w:pPr>
              <w:pBdr/>
              <w:spacing w:after="0" w:before="0" w:line="240"/>
              <w:ind/>
              <w:rPr/>
            </w:pPr>
            <w:r>
              <w:rPr>
                <w:rFonts w:ascii="Times New Roman" w:hAnsi="Times New Roman" w:eastAsia="Times New Roman" w:cs="Times New Roman"/>
                <w:color w:val="000000"/>
                <w:sz w:val="24"/>
              </w:rPr>
              <w:t xml:space="preserve">defi_tvl_usd</w:t>
            </w:r>
            <w:r/>
          </w:p>
        </w:tc>
        <w:tc>
          <w:tcPr>
            <w:tcBorders/>
            <w:tcMar>
              <w:left w:w="15" w:type="dxa"/>
              <w:top w:w="15" w:type="dxa"/>
              <w:right w:w="15" w:type="dxa"/>
              <w:bottom w:w="15" w:type="dxa"/>
            </w:tcMar>
            <w:tcW w:w="881" w:type="dxa"/>
            <w:vAlign w:val="center"/>
          </w:tcPr>
          <w:p w14:paraId="0E1A6A22">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696" w:type="dxa"/>
            <w:vAlign w:val="center"/>
          </w:tcPr>
          <w:p w14:paraId="2B5460B0">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710" w:type="dxa"/>
            <w:vAlign w:val="center"/>
          </w:tcPr>
          <w:p w14:paraId="2F9E3C3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3C83B824">
            <w:pPr>
              <w:pBdr/>
              <w:spacing w:after="0" w:before="0" w:line="240"/>
              <w:ind/>
              <w:rPr/>
            </w:pPr>
            <w:r/>
          </w:p>
        </w:tc>
      </w:tr>
      <w:tr>
        <w:trPr/>
        <w:tc>
          <w:tcPr>
            <w:tcBorders/>
            <w:tcMar>
              <w:left w:w="15" w:type="dxa"/>
              <w:top w:w="15" w:type="dxa"/>
              <w:right w:w="15" w:type="dxa"/>
              <w:bottom w:w="15" w:type="dxa"/>
            </w:tcMar>
            <w:tcW w:w="2295" w:type="dxa"/>
            <w:vAlign w:val="center"/>
          </w:tcPr>
          <w:p w14:paraId="3394E799">
            <w:pPr>
              <w:pBdr/>
              <w:spacing w:after="0" w:before="0" w:line="240"/>
              <w:ind/>
              <w:rPr/>
            </w:pPr>
            <w:r>
              <w:rPr>
                <w:rFonts w:ascii="Times New Roman" w:hAnsi="Times New Roman" w:eastAsia="Times New Roman" w:cs="Times New Roman"/>
                <w:color w:val="000000"/>
                <w:sz w:val="24"/>
              </w:rPr>
              <w:t xml:space="preserve">Total DeFi TVL change</w:t>
            </w:r>
            <w:r/>
          </w:p>
        </w:tc>
        <w:tc>
          <w:tcPr>
            <w:tcBorders/>
            <w:tcMar>
              <w:left w:w="15" w:type="dxa"/>
              <w:top w:w="15" w:type="dxa"/>
              <w:right w:w="15" w:type="dxa"/>
              <w:bottom w:w="15" w:type="dxa"/>
            </w:tcMar>
            <w:tcW w:w="2408" w:type="dxa"/>
            <w:vAlign w:val="center"/>
          </w:tcPr>
          <w:p w14:paraId="09DF62EC">
            <w:pPr>
              <w:pBdr/>
              <w:spacing w:after="0" w:before="0" w:line="240"/>
              <w:ind/>
              <w:rPr/>
            </w:pPr>
            <w:r>
              <w:rPr>
                <w:rFonts w:ascii="Times New Roman" w:hAnsi="Times New Roman" w:eastAsia="Times New Roman" w:cs="Times New Roman"/>
                <w:color w:val="000000"/>
                <w:sz w:val="24"/>
              </w:rPr>
              <w:t xml:space="preserve">defi_tvl_usd</w:t>
            </w:r>
            <w:r/>
          </w:p>
        </w:tc>
        <w:tc>
          <w:tcPr>
            <w:tcBorders/>
            <w:tcMar>
              <w:left w:w="15" w:type="dxa"/>
              <w:top w:w="15" w:type="dxa"/>
              <w:right w:w="15" w:type="dxa"/>
              <w:bottom w:w="15" w:type="dxa"/>
            </w:tcMar>
            <w:tcW w:w="881" w:type="dxa"/>
            <w:vAlign w:val="center"/>
          </w:tcPr>
          <w:p w14:paraId="45F54460">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696" w:type="dxa"/>
            <w:vAlign w:val="center"/>
          </w:tcPr>
          <w:p w14:paraId="08F430EE">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10" w:type="dxa"/>
            <w:vAlign w:val="center"/>
          </w:tcPr>
          <w:p w14:paraId="1A711916">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7248A8C1">
            <w:pPr>
              <w:pBdr/>
              <w:spacing w:after="0" w:before="0" w:line="240"/>
              <w:ind/>
              <w:rPr/>
            </w:pPr>
            <w:r/>
          </w:p>
        </w:tc>
      </w:tr>
      <w:tr>
        <w:trPr/>
        <w:tc>
          <w:tcPr>
            <w:tcBorders/>
            <w:tcMar>
              <w:left w:w="15" w:type="dxa"/>
              <w:top w:w="15" w:type="dxa"/>
              <w:right w:w="15" w:type="dxa"/>
              <w:bottom w:w="15" w:type="dxa"/>
            </w:tcMar>
            <w:tcW w:w="2295" w:type="dxa"/>
            <w:vAlign w:val="center"/>
          </w:tcPr>
          <w:p w14:paraId="4C1B3DEF">
            <w:pPr>
              <w:pBdr/>
              <w:spacing w:after="0" w:before="0" w:line="240"/>
              <w:ind/>
              <w:rPr/>
            </w:pPr>
            <w:r>
              <w:rPr>
                <w:rFonts w:ascii="Times New Roman" w:hAnsi="Times New Roman" w:eastAsia="Times New Roman" w:cs="Times New Roman"/>
                <w:color w:val="000000"/>
                <w:sz w:val="24"/>
              </w:rPr>
              <w:t xml:space="preserve">Total DeFi TVL zscore</w:t>
            </w:r>
            <w:r/>
          </w:p>
        </w:tc>
        <w:tc>
          <w:tcPr>
            <w:tcBorders/>
            <w:tcMar>
              <w:left w:w="15" w:type="dxa"/>
              <w:top w:w="15" w:type="dxa"/>
              <w:right w:w="15" w:type="dxa"/>
              <w:bottom w:w="15" w:type="dxa"/>
            </w:tcMar>
            <w:tcW w:w="2408" w:type="dxa"/>
            <w:vAlign w:val="center"/>
          </w:tcPr>
          <w:p w14:paraId="44A136BF">
            <w:pPr>
              <w:pBdr/>
              <w:spacing w:after="0" w:before="0" w:line="240"/>
              <w:ind/>
              <w:rPr/>
            </w:pPr>
            <w:r>
              <w:rPr>
                <w:rFonts w:ascii="Times New Roman" w:hAnsi="Times New Roman" w:eastAsia="Times New Roman" w:cs="Times New Roman"/>
                <w:color w:val="000000"/>
                <w:sz w:val="24"/>
              </w:rPr>
              <w:t xml:space="preserve">defi_tvl_usd</w:t>
            </w:r>
            <w:r/>
          </w:p>
        </w:tc>
        <w:tc>
          <w:tcPr>
            <w:tcBorders/>
            <w:tcMar>
              <w:left w:w="15" w:type="dxa"/>
              <w:top w:w="15" w:type="dxa"/>
              <w:right w:w="15" w:type="dxa"/>
              <w:bottom w:w="15" w:type="dxa"/>
            </w:tcMar>
            <w:tcW w:w="881" w:type="dxa"/>
            <w:vAlign w:val="center"/>
          </w:tcPr>
          <w:p w14:paraId="10EF203A">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696" w:type="dxa"/>
            <w:vAlign w:val="center"/>
          </w:tcPr>
          <w:p w14:paraId="27E508EA">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10" w:type="dxa"/>
            <w:vAlign w:val="center"/>
          </w:tcPr>
          <w:p w14:paraId="3A7ADB3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7FF68B2E">
            <w:pPr>
              <w:pBdr/>
              <w:spacing w:after="0" w:before="0" w:line="240"/>
              <w:ind/>
              <w:rPr/>
            </w:pPr>
            <w:r/>
          </w:p>
        </w:tc>
      </w:tr>
      <w:tr>
        <w:trPr/>
        <w:tc>
          <w:tcPr>
            <w:tcBorders/>
            <w:tcMar>
              <w:left w:w="15" w:type="dxa"/>
              <w:top w:w="15" w:type="dxa"/>
              <w:right w:w="15" w:type="dxa"/>
              <w:bottom w:w="15" w:type="dxa"/>
            </w:tcMar>
            <w:tcW w:w="2295" w:type="dxa"/>
            <w:vAlign w:val="center"/>
          </w:tcPr>
          <w:p w14:paraId="2563EB9C">
            <w:pPr>
              <w:pBdr/>
              <w:spacing w:after="0" w:before="0" w:line="240"/>
              <w:ind/>
              <w:rPr/>
            </w:pPr>
            <w:r>
              <w:rPr>
                <w:rFonts w:ascii="Times New Roman" w:hAnsi="Times New Roman" w:eastAsia="Times New Roman" w:cs="Times New Roman"/>
                <w:color w:val="000000"/>
                <w:sz w:val="24"/>
              </w:rPr>
              <w:t xml:space="preserve">DEX volume</w:t>
            </w:r>
            <w:r/>
          </w:p>
        </w:tc>
        <w:tc>
          <w:tcPr>
            <w:tcBorders/>
            <w:tcMar>
              <w:left w:w="15" w:type="dxa"/>
              <w:top w:w="15" w:type="dxa"/>
              <w:right w:w="15" w:type="dxa"/>
              <w:bottom w:w="15" w:type="dxa"/>
            </w:tcMar>
            <w:tcW w:w="2408" w:type="dxa"/>
            <w:vAlign w:val="center"/>
          </w:tcPr>
          <w:p w14:paraId="540D4B9B">
            <w:pPr>
              <w:pBdr/>
              <w:spacing w:after="0" w:before="0" w:line="240"/>
              <w:ind/>
              <w:rPr/>
            </w:pPr>
            <w:r>
              <w:rPr>
                <w:rFonts w:ascii="Times New Roman" w:hAnsi="Times New Roman" w:eastAsia="Times New Roman" w:cs="Times New Roman"/>
                <w:color w:val="000000"/>
                <w:sz w:val="24"/>
              </w:rPr>
              <w:t xml:space="preserve">dex_volume_usd</w:t>
            </w:r>
            <w:r/>
          </w:p>
        </w:tc>
        <w:tc>
          <w:tcPr>
            <w:tcBorders/>
            <w:tcMar>
              <w:left w:w="15" w:type="dxa"/>
              <w:top w:w="15" w:type="dxa"/>
              <w:right w:w="15" w:type="dxa"/>
              <w:bottom w:w="15" w:type="dxa"/>
            </w:tcMar>
            <w:tcW w:w="881" w:type="dxa"/>
            <w:vAlign w:val="center"/>
          </w:tcPr>
          <w:p w14:paraId="4805C43A">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696" w:type="dxa"/>
            <w:vAlign w:val="center"/>
          </w:tcPr>
          <w:p w14:paraId="4EEE4FA8">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10" w:type="dxa"/>
            <w:vAlign w:val="center"/>
          </w:tcPr>
          <w:p w14:paraId="2F20FC65">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7BE57F55">
            <w:pPr>
              <w:pBdr/>
              <w:spacing w:after="0" w:before="0" w:line="240"/>
              <w:ind/>
              <w:rPr/>
            </w:pPr>
            <w:r/>
          </w:p>
        </w:tc>
      </w:tr>
      <w:tr>
        <w:trPr/>
        <w:tc>
          <w:tcPr>
            <w:tcBorders/>
            <w:tcMar>
              <w:left w:w="15" w:type="dxa"/>
              <w:top w:w="15" w:type="dxa"/>
              <w:right w:w="15" w:type="dxa"/>
              <w:bottom w:w="15" w:type="dxa"/>
            </w:tcMar>
            <w:tcW w:w="2295" w:type="dxa"/>
            <w:vAlign w:val="center"/>
          </w:tcPr>
          <w:p w14:paraId="2539E254">
            <w:pPr>
              <w:pBdr/>
              <w:spacing w:after="0" w:before="0" w:line="240"/>
              <w:ind/>
              <w:rPr/>
            </w:pPr>
            <w:r>
              <w:rPr>
                <w:rFonts w:ascii="Times New Roman" w:hAnsi="Times New Roman" w:eastAsia="Times New Roman" w:cs="Times New Roman"/>
                <w:color w:val="000000"/>
                <w:sz w:val="24"/>
              </w:rPr>
              <w:t xml:space="preserve">DEX volume MA</w:t>
            </w:r>
            <w:r/>
          </w:p>
        </w:tc>
        <w:tc>
          <w:tcPr>
            <w:tcBorders/>
            <w:tcMar>
              <w:left w:w="15" w:type="dxa"/>
              <w:top w:w="15" w:type="dxa"/>
              <w:right w:w="15" w:type="dxa"/>
              <w:bottom w:w="15" w:type="dxa"/>
            </w:tcMar>
            <w:tcW w:w="2408" w:type="dxa"/>
            <w:vAlign w:val="center"/>
          </w:tcPr>
          <w:p w14:paraId="4A829D74">
            <w:pPr>
              <w:pBdr/>
              <w:spacing w:after="0" w:before="0" w:line="240"/>
              <w:ind/>
              <w:rPr/>
            </w:pPr>
            <w:r>
              <w:rPr>
                <w:rFonts w:ascii="Times New Roman" w:hAnsi="Times New Roman" w:eastAsia="Times New Roman" w:cs="Times New Roman"/>
                <w:color w:val="000000"/>
                <w:sz w:val="24"/>
              </w:rPr>
              <w:t xml:space="preserve">dex_volume_usd</w:t>
            </w:r>
            <w:r/>
          </w:p>
        </w:tc>
        <w:tc>
          <w:tcPr>
            <w:tcBorders/>
            <w:tcMar>
              <w:left w:w="15" w:type="dxa"/>
              <w:top w:w="15" w:type="dxa"/>
              <w:right w:w="15" w:type="dxa"/>
              <w:bottom w:w="15" w:type="dxa"/>
            </w:tcMar>
            <w:tcW w:w="881" w:type="dxa"/>
            <w:vAlign w:val="center"/>
          </w:tcPr>
          <w:p w14:paraId="5334B1C8">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696" w:type="dxa"/>
            <w:vAlign w:val="center"/>
          </w:tcPr>
          <w:p w14:paraId="4D474D64">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10" w:type="dxa"/>
            <w:vAlign w:val="center"/>
          </w:tcPr>
          <w:p w14:paraId="2F8186FE">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3C1A1C91">
            <w:pPr>
              <w:pBdr/>
              <w:spacing w:after="0" w:before="0" w:line="240"/>
              <w:ind/>
              <w:rPr/>
            </w:pPr>
            <w:r/>
          </w:p>
        </w:tc>
      </w:tr>
      <w:tr>
        <w:trPr/>
        <w:tc>
          <w:tcPr>
            <w:tcBorders/>
            <w:tcMar>
              <w:left w:w="15" w:type="dxa"/>
              <w:top w:w="15" w:type="dxa"/>
              <w:right w:w="15" w:type="dxa"/>
              <w:bottom w:w="15" w:type="dxa"/>
            </w:tcMar>
            <w:tcW w:w="2295" w:type="dxa"/>
            <w:vAlign w:val="center"/>
          </w:tcPr>
          <w:p w14:paraId="38EC52A9">
            <w:pPr>
              <w:pBdr/>
              <w:spacing w:after="0" w:before="0" w:line="240"/>
              <w:ind/>
              <w:rPr/>
            </w:pPr>
            <w:r>
              <w:rPr>
                <w:rFonts w:ascii="Times New Roman" w:hAnsi="Times New Roman" w:eastAsia="Times New Roman" w:cs="Times New Roman"/>
                <w:color w:val="000000"/>
                <w:sz w:val="24"/>
              </w:rPr>
              <w:t xml:space="preserve">DEX volume MA</w:t>
            </w:r>
            <w:r/>
          </w:p>
        </w:tc>
        <w:tc>
          <w:tcPr>
            <w:tcBorders/>
            <w:tcMar>
              <w:left w:w="15" w:type="dxa"/>
              <w:top w:w="15" w:type="dxa"/>
              <w:right w:w="15" w:type="dxa"/>
              <w:bottom w:w="15" w:type="dxa"/>
            </w:tcMar>
            <w:tcW w:w="2408" w:type="dxa"/>
            <w:vAlign w:val="center"/>
          </w:tcPr>
          <w:p w14:paraId="5E9B81EB">
            <w:pPr>
              <w:pBdr/>
              <w:spacing w:after="0" w:before="0" w:line="240"/>
              <w:ind/>
              <w:rPr/>
            </w:pPr>
            <w:r>
              <w:rPr>
                <w:rFonts w:ascii="Times New Roman" w:hAnsi="Times New Roman" w:eastAsia="Times New Roman" w:cs="Times New Roman"/>
                <w:color w:val="000000"/>
                <w:sz w:val="24"/>
              </w:rPr>
              <w:t xml:space="preserve">dex_volume_usd</w:t>
            </w:r>
            <w:r/>
          </w:p>
        </w:tc>
        <w:tc>
          <w:tcPr>
            <w:tcBorders/>
            <w:tcMar>
              <w:left w:w="15" w:type="dxa"/>
              <w:top w:w="15" w:type="dxa"/>
              <w:right w:w="15" w:type="dxa"/>
              <w:bottom w:w="15" w:type="dxa"/>
            </w:tcMar>
            <w:tcW w:w="881" w:type="dxa"/>
            <w:vAlign w:val="center"/>
          </w:tcPr>
          <w:p w14:paraId="485AC7D1">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696" w:type="dxa"/>
            <w:vAlign w:val="center"/>
          </w:tcPr>
          <w:p w14:paraId="31A45558">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10" w:type="dxa"/>
            <w:vAlign w:val="center"/>
          </w:tcPr>
          <w:p w14:paraId="5337EF53">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313AA343">
            <w:pPr>
              <w:pBdr/>
              <w:spacing w:after="0" w:before="0" w:line="240"/>
              <w:ind/>
              <w:rPr/>
            </w:pPr>
            <w:r/>
          </w:p>
        </w:tc>
      </w:tr>
      <w:tr>
        <w:trPr/>
        <w:tc>
          <w:tcPr>
            <w:tcBorders/>
            <w:tcMar>
              <w:left w:w="15" w:type="dxa"/>
              <w:top w:w="15" w:type="dxa"/>
              <w:right w:w="15" w:type="dxa"/>
              <w:bottom w:w="15" w:type="dxa"/>
            </w:tcMar>
            <w:tcW w:w="2295" w:type="dxa"/>
            <w:vAlign w:val="center"/>
          </w:tcPr>
          <w:p w14:paraId="1D7B4DDA">
            <w:pPr>
              <w:pBdr/>
              <w:spacing w:after="0" w:before="0" w:line="240"/>
              <w:ind/>
              <w:rPr/>
            </w:pPr>
            <w:r>
              <w:rPr>
                <w:rFonts w:ascii="Times New Roman" w:hAnsi="Times New Roman" w:eastAsia="Times New Roman" w:cs="Times New Roman"/>
                <w:color w:val="000000"/>
                <w:sz w:val="24"/>
              </w:rPr>
              <w:t xml:space="preserve">DEX volume zscore</w:t>
            </w:r>
            <w:r/>
          </w:p>
        </w:tc>
        <w:tc>
          <w:tcPr>
            <w:tcBorders/>
            <w:tcMar>
              <w:left w:w="15" w:type="dxa"/>
              <w:top w:w="15" w:type="dxa"/>
              <w:right w:w="15" w:type="dxa"/>
              <w:bottom w:w="15" w:type="dxa"/>
            </w:tcMar>
            <w:tcW w:w="2408" w:type="dxa"/>
            <w:vAlign w:val="center"/>
          </w:tcPr>
          <w:p w14:paraId="018878A5">
            <w:pPr>
              <w:pBdr/>
              <w:spacing w:after="0" w:before="0" w:line="240"/>
              <w:ind/>
              <w:rPr/>
            </w:pPr>
            <w:r>
              <w:rPr>
                <w:rFonts w:ascii="Times New Roman" w:hAnsi="Times New Roman" w:eastAsia="Times New Roman" w:cs="Times New Roman"/>
                <w:color w:val="000000"/>
                <w:sz w:val="24"/>
              </w:rPr>
              <w:t xml:space="preserve">dex_volume_usd</w:t>
            </w:r>
            <w:r/>
          </w:p>
        </w:tc>
        <w:tc>
          <w:tcPr>
            <w:tcBorders/>
            <w:tcMar>
              <w:left w:w="15" w:type="dxa"/>
              <w:top w:w="15" w:type="dxa"/>
              <w:right w:w="15" w:type="dxa"/>
              <w:bottom w:w="15" w:type="dxa"/>
            </w:tcMar>
            <w:tcW w:w="881" w:type="dxa"/>
            <w:vAlign w:val="center"/>
          </w:tcPr>
          <w:p w14:paraId="350C001A">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696" w:type="dxa"/>
            <w:vAlign w:val="center"/>
          </w:tcPr>
          <w:p w14:paraId="3F72BA69">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10" w:type="dxa"/>
            <w:vAlign w:val="center"/>
          </w:tcPr>
          <w:p w14:paraId="7AED64D3">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24CD859B">
            <w:pPr>
              <w:pBdr/>
              <w:spacing w:after="0" w:before="0" w:line="240"/>
              <w:ind/>
              <w:rPr/>
            </w:pPr>
            <w:r/>
          </w:p>
        </w:tc>
      </w:tr>
      <w:tr>
        <w:trPr/>
        <w:tc>
          <w:tcPr>
            <w:tcBorders/>
            <w:tcMar>
              <w:left w:w="15" w:type="dxa"/>
              <w:top w:w="15" w:type="dxa"/>
              <w:right w:w="15" w:type="dxa"/>
              <w:bottom w:w="15" w:type="dxa"/>
            </w:tcMar>
            <w:tcW w:w="2295" w:type="dxa"/>
            <w:vAlign w:val="center"/>
          </w:tcPr>
          <w:p w14:paraId="34B91217">
            <w:pPr>
              <w:pBdr/>
              <w:spacing w:after="0" w:before="0" w:line="240"/>
              <w:ind/>
              <w:rPr/>
            </w:pPr>
            <w:r>
              <w:rPr>
                <w:rFonts w:ascii="Times New Roman" w:hAnsi="Times New Roman" w:eastAsia="Times New Roman" w:cs="Times New Roman"/>
                <w:color w:val="000000"/>
                <w:sz w:val="24"/>
              </w:rPr>
              <w:t xml:space="preserve">Lending utilization</w:t>
            </w:r>
            <w:r/>
          </w:p>
        </w:tc>
        <w:tc>
          <w:tcPr>
            <w:tcBorders/>
            <w:tcMar>
              <w:left w:w="15" w:type="dxa"/>
              <w:top w:w="15" w:type="dxa"/>
              <w:right w:w="15" w:type="dxa"/>
              <w:bottom w:w="15" w:type="dxa"/>
            </w:tcMar>
            <w:tcW w:w="2408" w:type="dxa"/>
            <w:vAlign w:val="center"/>
          </w:tcPr>
          <w:p w14:paraId="6771FF5F">
            <w:pPr>
              <w:pBdr/>
              <w:spacing w:after="0" w:before="0" w:line="240"/>
              <w:ind/>
              <w:rPr/>
            </w:pPr>
            <w:r>
              <w:rPr>
                <w:rFonts w:ascii="Times New Roman" w:hAnsi="Times New Roman" w:eastAsia="Times New Roman" w:cs="Times New Roman"/>
                <w:color w:val="000000"/>
                <w:sz w:val="24"/>
              </w:rPr>
              <w:t xml:space="preserve">lending_utilization_rate</w:t>
            </w:r>
            <w:r/>
          </w:p>
        </w:tc>
        <w:tc>
          <w:tcPr>
            <w:tcBorders/>
            <w:tcMar>
              <w:left w:w="15" w:type="dxa"/>
              <w:top w:w="15" w:type="dxa"/>
              <w:right w:w="15" w:type="dxa"/>
              <w:bottom w:w="15" w:type="dxa"/>
            </w:tcMar>
            <w:tcW w:w="881" w:type="dxa"/>
            <w:vAlign w:val="center"/>
          </w:tcPr>
          <w:p w14:paraId="5B6CEB09">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696" w:type="dxa"/>
            <w:vAlign w:val="center"/>
          </w:tcPr>
          <w:p w14:paraId="73A09626">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10" w:type="dxa"/>
            <w:vAlign w:val="center"/>
          </w:tcPr>
          <w:p w14:paraId="06ECA1E5">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124F8BCC">
            <w:pPr>
              <w:pBdr/>
              <w:spacing w:after="0" w:before="0" w:line="240"/>
              <w:ind/>
              <w:rPr/>
            </w:pPr>
            <w:r>
              <w:rPr>
                <w:rFonts w:ascii="Times New Roman" w:hAnsi="Times New Roman" w:eastAsia="Times New Roman" w:cs="Times New Roman"/>
                <w:color w:val="000000"/>
                <w:sz w:val="24"/>
              </w:rPr>
              <w:t xml:space="preserve">Weighted avg across protocols</w:t>
            </w:r>
            <w:r/>
          </w:p>
        </w:tc>
      </w:tr>
      <w:tr>
        <w:trPr/>
        <w:tc>
          <w:tcPr>
            <w:tcBorders/>
            <w:tcMar>
              <w:left w:w="15" w:type="dxa"/>
              <w:top w:w="15" w:type="dxa"/>
              <w:right w:w="15" w:type="dxa"/>
              <w:bottom w:w="15" w:type="dxa"/>
            </w:tcMar>
            <w:tcW w:w="2295" w:type="dxa"/>
            <w:vAlign w:val="center"/>
          </w:tcPr>
          <w:p w14:paraId="4BB842A2">
            <w:pPr>
              <w:pBdr/>
              <w:spacing w:after="0" w:before="0" w:line="240"/>
              <w:ind/>
              <w:rPr/>
            </w:pPr>
            <w:r>
              <w:rPr>
                <w:rFonts w:ascii="Times New Roman" w:hAnsi="Times New Roman" w:eastAsia="Times New Roman" w:cs="Times New Roman"/>
                <w:color w:val="000000"/>
                <w:sz w:val="24"/>
              </w:rPr>
              <w:t xml:space="preserve">Lending utilization zscore</w:t>
            </w:r>
            <w:r/>
          </w:p>
        </w:tc>
        <w:tc>
          <w:tcPr>
            <w:tcBorders/>
            <w:tcMar>
              <w:left w:w="15" w:type="dxa"/>
              <w:top w:w="15" w:type="dxa"/>
              <w:right w:w="15" w:type="dxa"/>
              <w:bottom w:w="15" w:type="dxa"/>
            </w:tcMar>
            <w:tcW w:w="2408" w:type="dxa"/>
            <w:vAlign w:val="center"/>
          </w:tcPr>
          <w:p w14:paraId="4BBC8C2D">
            <w:pPr>
              <w:pBdr/>
              <w:spacing w:after="0" w:before="0" w:line="240"/>
              <w:ind/>
              <w:rPr/>
            </w:pPr>
            <w:r>
              <w:rPr>
                <w:rFonts w:ascii="Times New Roman" w:hAnsi="Times New Roman" w:eastAsia="Times New Roman" w:cs="Times New Roman"/>
                <w:color w:val="000000"/>
                <w:sz w:val="24"/>
              </w:rPr>
              <w:t xml:space="preserve">lending_utilization_rate</w:t>
            </w:r>
            <w:r/>
          </w:p>
        </w:tc>
        <w:tc>
          <w:tcPr>
            <w:tcBorders/>
            <w:tcMar>
              <w:left w:w="15" w:type="dxa"/>
              <w:top w:w="15" w:type="dxa"/>
              <w:right w:w="15" w:type="dxa"/>
              <w:bottom w:w="15" w:type="dxa"/>
            </w:tcMar>
            <w:tcW w:w="881" w:type="dxa"/>
            <w:vAlign w:val="center"/>
          </w:tcPr>
          <w:p w14:paraId="1C49E72B">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696" w:type="dxa"/>
            <w:vAlign w:val="center"/>
          </w:tcPr>
          <w:p w14:paraId="6EBB1C61">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710" w:type="dxa"/>
            <w:vAlign w:val="center"/>
          </w:tcPr>
          <w:p w14:paraId="0B70646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56678039">
            <w:pPr>
              <w:pBdr/>
              <w:spacing w:after="0" w:before="0" w:line="240"/>
              <w:ind/>
              <w:rPr/>
            </w:pPr>
            <w:r/>
          </w:p>
        </w:tc>
      </w:tr>
      <w:tr>
        <w:trPr/>
        <w:tc>
          <w:tcPr>
            <w:tcBorders/>
            <w:tcMar>
              <w:left w:w="15" w:type="dxa"/>
              <w:top w:w="15" w:type="dxa"/>
              <w:right w:w="15" w:type="dxa"/>
              <w:bottom w:w="15" w:type="dxa"/>
            </w:tcMar>
            <w:tcW w:w="2295" w:type="dxa"/>
            <w:vAlign w:val="center"/>
          </w:tcPr>
          <w:p w14:paraId="0704FD7D">
            <w:pPr>
              <w:pBdr/>
              <w:spacing w:after="0" w:before="0" w:line="240"/>
              <w:ind/>
              <w:rPr/>
            </w:pPr>
            <w:r>
              <w:rPr>
                <w:rFonts w:ascii="Times New Roman" w:hAnsi="Times New Roman" w:eastAsia="Times New Roman" w:cs="Times New Roman"/>
                <w:color w:val="000000"/>
                <w:sz w:val="24"/>
              </w:rPr>
              <w:t xml:space="preserve">Stablecoin peg max deviation</w:t>
            </w:r>
            <w:r/>
          </w:p>
        </w:tc>
        <w:tc>
          <w:tcPr>
            <w:tcBorders/>
            <w:tcMar>
              <w:left w:w="15" w:type="dxa"/>
              <w:top w:w="15" w:type="dxa"/>
              <w:right w:w="15" w:type="dxa"/>
              <w:bottom w:w="15" w:type="dxa"/>
            </w:tcMar>
            <w:tcW w:w="2408" w:type="dxa"/>
            <w:vAlign w:val="center"/>
          </w:tcPr>
          <w:p w14:paraId="0C7BE54A">
            <w:pPr>
              <w:pBdr/>
              <w:spacing w:after="0" w:before="0" w:line="240"/>
              <w:ind/>
              <w:rPr/>
            </w:pPr>
            <w:r>
              <w:rPr>
                <w:rFonts w:ascii="Times New Roman" w:hAnsi="Times New Roman" w:eastAsia="Times New Roman" w:cs="Times New Roman"/>
                <w:color w:val="000000"/>
                <w:sz w:val="24"/>
              </w:rPr>
              <w:t xml:space="preserve">stablecoin_peg_deviation_max</w:t>
            </w:r>
            <w:r/>
          </w:p>
        </w:tc>
        <w:tc>
          <w:tcPr>
            <w:tcBorders/>
            <w:tcMar>
              <w:left w:w="15" w:type="dxa"/>
              <w:top w:w="15" w:type="dxa"/>
              <w:right w:w="15" w:type="dxa"/>
              <w:bottom w:w="15" w:type="dxa"/>
            </w:tcMar>
            <w:tcW w:w="881" w:type="dxa"/>
            <w:vAlign w:val="center"/>
          </w:tcPr>
          <w:p w14:paraId="4BCB40F4">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696" w:type="dxa"/>
            <w:vAlign w:val="center"/>
          </w:tcPr>
          <w:p w14:paraId="5472C49E">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710" w:type="dxa"/>
            <w:vAlign w:val="center"/>
          </w:tcPr>
          <w:p w14:paraId="14C08EE7">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7B9547CB">
            <w:pPr>
              <w:pBdr/>
              <w:spacing w:after="0" w:before="0" w:line="240"/>
              <w:ind/>
              <w:rPr/>
            </w:pPr>
            <w:r>
              <w:rPr>
                <w:rFonts w:ascii="Times New Roman" w:hAnsi="Times New Roman" w:eastAsia="Times New Roman" w:cs="Times New Roman"/>
                <w:color w:val="000000"/>
                <w:sz w:val="24"/>
              </w:rPr>
              <w:t xml:space="preserve">Stress indicator</w:t>
            </w:r>
            <w:r/>
          </w:p>
        </w:tc>
      </w:tr>
      <w:tr>
        <w:trPr/>
        <w:tc>
          <w:tcPr>
            <w:tcBorders/>
            <w:tcMar>
              <w:left w:w="15" w:type="dxa"/>
              <w:top w:w="15" w:type="dxa"/>
              <w:right w:w="15" w:type="dxa"/>
              <w:bottom w:w="15" w:type="dxa"/>
            </w:tcMar>
            <w:tcW w:w="2295" w:type="dxa"/>
            <w:vAlign w:val="center"/>
          </w:tcPr>
          <w:p w14:paraId="5B136480">
            <w:pPr>
              <w:pBdr/>
              <w:spacing w:after="0" w:before="0" w:line="240"/>
              <w:ind/>
              <w:rPr/>
            </w:pPr>
            <w:r>
              <w:rPr>
                <w:rFonts w:ascii="Times New Roman" w:hAnsi="Times New Roman" w:eastAsia="Times New Roman" w:cs="Times New Roman"/>
                <w:color w:val="000000"/>
                <w:sz w:val="24"/>
              </w:rPr>
              <w:t xml:space="preserve">Stablecoin peg deviation MA</w:t>
            </w:r>
            <w:r/>
          </w:p>
        </w:tc>
        <w:tc>
          <w:tcPr>
            <w:tcBorders/>
            <w:tcMar>
              <w:left w:w="15" w:type="dxa"/>
              <w:top w:w="15" w:type="dxa"/>
              <w:right w:w="15" w:type="dxa"/>
              <w:bottom w:w="15" w:type="dxa"/>
            </w:tcMar>
            <w:tcW w:w="2408" w:type="dxa"/>
            <w:vAlign w:val="center"/>
          </w:tcPr>
          <w:p w14:paraId="06C09D25">
            <w:pPr>
              <w:pBdr/>
              <w:spacing w:after="0" w:before="0" w:line="240"/>
              <w:ind/>
              <w:rPr/>
            </w:pPr>
            <w:r>
              <w:rPr>
                <w:rFonts w:ascii="Times New Roman" w:hAnsi="Times New Roman" w:eastAsia="Times New Roman" w:cs="Times New Roman"/>
                <w:color w:val="000000"/>
                <w:sz w:val="24"/>
              </w:rPr>
              <w:t xml:space="preserve">stablecoin_peg_deviation_max</w:t>
            </w:r>
            <w:r/>
          </w:p>
        </w:tc>
        <w:tc>
          <w:tcPr>
            <w:tcBorders/>
            <w:tcMar>
              <w:left w:w="15" w:type="dxa"/>
              <w:top w:w="15" w:type="dxa"/>
              <w:right w:w="15" w:type="dxa"/>
              <w:bottom w:w="15" w:type="dxa"/>
            </w:tcMar>
            <w:tcW w:w="881" w:type="dxa"/>
            <w:vAlign w:val="center"/>
          </w:tcPr>
          <w:p w14:paraId="6330461C">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696" w:type="dxa"/>
            <w:vAlign w:val="center"/>
          </w:tcPr>
          <w:p w14:paraId="5A436FA2">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10" w:type="dxa"/>
            <w:vAlign w:val="center"/>
          </w:tcPr>
          <w:p w14:paraId="379EE9E9">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4E01D2F4">
            <w:pPr>
              <w:pBdr/>
              <w:spacing w:after="0" w:before="0" w:line="240"/>
              <w:ind/>
              <w:rPr/>
            </w:pPr>
            <w:r/>
          </w:p>
        </w:tc>
      </w:tr>
      <w:tr>
        <w:trPr/>
        <w:tc>
          <w:tcPr>
            <w:tcBorders/>
            <w:tcMar>
              <w:left w:w="15" w:type="dxa"/>
              <w:top w:w="15" w:type="dxa"/>
              <w:right w:w="15" w:type="dxa"/>
              <w:bottom w:w="15" w:type="dxa"/>
            </w:tcMar>
            <w:tcW w:w="2295" w:type="dxa"/>
            <w:vAlign w:val="center"/>
          </w:tcPr>
          <w:p w14:paraId="6AFB34D3">
            <w:pPr>
              <w:pBdr/>
              <w:spacing w:after="0" w:before="0" w:line="240"/>
              <w:ind/>
              <w:rPr/>
            </w:pPr>
            <w:r>
              <w:rPr>
                <w:rFonts w:ascii="Times New Roman" w:hAnsi="Times New Roman" w:eastAsia="Times New Roman" w:cs="Times New Roman"/>
                <w:color w:val="000000"/>
                <w:sz w:val="24"/>
              </w:rPr>
              <w:t xml:space="preserve">Protocol TVL change, top 20</w:t>
            </w:r>
            <w:r/>
          </w:p>
        </w:tc>
        <w:tc>
          <w:tcPr>
            <w:tcBorders/>
            <w:tcMar>
              <w:left w:w="15" w:type="dxa"/>
              <w:top w:w="15" w:type="dxa"/>
              <w:right w:w="15" w:type="dxa"/>
              <w:bottom w:w="15" w:type="dxa"/>
            </w:tcMar>
            <w:tcW w:w="2408" w:type="dxa"/>
            <w:vAlign w:val="center"/>
          </w:tcPr>
          <w:p w14:paraId="13F6A5CC">
            <w:pPr>
              <w:pBdr/>
              <w:spacing w:after="0" w:before="0" w:line="240"/>
              <w:ind/>
              <w:rPr/>
            </w:pPr>
            <w:r>
              <w:rPr>
                <w:rFonts w:ascii="Times New Roman" w:hAnsi="Times New Roman" w:eastAsia="Times New Roman" w:cs="Times New Roman"/>
                <w:color w:val="000000"/>
                <w:sz w:val="24"/>
              </w:rPr>
              <w:t xml:space="preserve">protocol_tvl_usd</w:t>
            </w:r>
            <w:r/>
          </w:p>
        </w:tc>
        <w:tc>
          <w:tcPr>
            <w:tcBorders/>
            <w:tcMar>
              <w:left w:w="15" w:type="dxa"/>
              <w:top w:w="15" w:type="dxa"/>
              <w:right w:w="15" w:type="dxa"/>
              <w:bottom w:w="15" w:type="dxa"/>
            </w:tcMar>
            <w:tcW w:w="881" w:type="dxa"/>
            <w:vAlign w:val="center"/>
          </w:tcPr>
          <w:p w14:paraId="732968BB">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696" w:type="dxa"/>
            <w:vAlign w:val="center"/>
          </w:tcPr>
          <w:p w14:paraId="23B3D81C">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710" w:type="dxa"/>
            <w:vAlign w:val="center"/>
          </w:tcPr>
          <w:p w14:paraId="6E7BFD08">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65" w:type="dxa"/>
            <w:vAlign w:val="center"/>
          </w:tcPr>
          <w:p w14:paraId="0AF1F81A">
            <w:pPr>
              <w:pBdr/>
              <w:spacing w:after="0" w:before="0" w:line="240"/>
              <w:ind/>
              <w:rPr/>
            </w:pPr>
            <w:r>
              <w:rPr>
                <w:rFonts w:ascii="Times New Roman" w:hAnsi="Times New Roman" w:eastAsia="Times New Roman" w:cs="Times New Roman"/>
                <w:color w:val="000000"/>
                <w:sz w:val="24"/>
              </w:rPr>
              <w:t xml:space="preserve">Per protocol, ranked</w:t>
            </w:r>
            <w:r/>
          </w:p>
        </w:tc>
      </w:tr>
    </w:tbl>
    <w:p w14:paraId="63E33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Macro domain — market-level: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2133"/>
        <w:gridCol w:w="1041"/>
        <w:gridCol w:w="822"/>
        <w:gridCol w:w="838"/>
        <w:gridCol w:w="2317"/>
      </w:tblGrid>
      <w:tr>
        <w:trPr/>
        <w:tc>
          <w:tcPr>
            <w:tcBorders/>
            <w:tcMar>
              <w:left w:w="15" w:type="dxa"/>
              <w:top w:w="15" w:type="dxa"/>
              <w:right w:w="15" w:type="dxa"/>
              <w:bottom w:w="15" w:type="dxa"/>
            </w:tcMar>
            <w:tcW w:w="2203" w:type="dxa"/>
            <w:vAlign w:val="center"/>
          </w:tcPr>
          <w:p w14:paraId="50E13D0F">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2133" w:type="dxa"/>
            <w:vAlign w:val="center"/>
          </w:tcPr>
          <w:p w14:paraId="2C3F314E">
            <w:pPr>
              <w:pBdr/>
              <w:spacing w:after="0" w:before="0" w:line="240"/>
              <w:ind/>
              <w:jc w:val="center"/>
              <w:rPr/>
            </w:pPr>
            <w:r>
              <w:rPr>
                <w:rFonts w:ascii="Times New Roman" w:hAnsi="Times New Roman" w:eastAsia="Times New Roman" w:cs="Times New Roman"/>
                <w:b/>
                <w:color w:val="000000"/>
                <w:sz w:val="24"/>
              </w:rPr>
              <w:t xml:space="preserve">Input Metric Concept</w:t>
            </w:r>
            <w:r/>
          </w:p>
        </w:tc>
        <w:tc>
          <w:tcPr>
            <w:tcBorders/>
            <w:tcMar>
              <w:left w:w="15" w:type="dxa"/>
              <w:top w:w="15" w:type="dxa"/>
              <w:right w:w="15" w:type="dxa"/>
              <w:bottom w:w="15" w:type="dxa"/>
            </w:tcMar>
            <w:tcW w:w="1041" w:type="dxa"/>
            <w:vAlign w:val="center"/>
          </w:tcPr>
          <w:p w14:paraId="60E8D64B">
            <w:pPr>
              <w:pBdr/>
              <w:spacing w:after="0" w:before="0" w:line="240"/>
              <w:ind/>
              <w:jc w:val="center"/>
              <w:rPr/>
            </w:pPr>
            <w:r>
              <w:rPr>
                <w:rFonts w:ascii="Times New Roman" w:hAnsi="Times New Roman" w:eastAsia="Times New Roman" w:cs="Times New Roman"/>
                <w:b/>
                <w:color w:val="000000"/>
                <w:sz w:val="24"/>
              </w:rPr>
              <w:t xml:space="preserve">Statistic</w:t>
            </w:r>
            <w:r/>
          </w:p>
        </w:tc>
        <w:tc>
          <w:tcPr>
            <w:tcBorders/>
            <w:tcMar>
              <w:left w:w="15" w:type="dxa"/>
              <w:top w:w="15" w:type="dxa"/>
              <w:right w:w="15" w:type="dxa"/>
              <w:bottom w:w="15" w:type="dxa"/>
            </w:tcMar>
            <w:tcW w:w="822" w:type="dxa"/>
            <w:vAlign w:val="center"/>
          </w:tcPr>
          <w:p w14:paraId="7C9A0644">
            <w:pPr>
              <w:pBdr/>
              <w:spacing w:after="0" w:before="0" w:line="240"/>
              <w:ind/>
              <w:jc w:val="center"/>
              <w:rPr/>
            </w:pPr>
            <w:r>
              <w:rPr>
                <w:rFonts w:ascii="Times New Roman" w:hAnsi="Times New Roman" w:eastAsia="Times New Roman" w:cs="Times New Roman"/>
                <w:b/>
                <w:color w:val="000000"/>
                <w:sz w:val="24"/>
              </w:rPr>
              <w:t xml:space="preserve">Window</w:t>
            </w:r>
            <w:r/>
          </w:p>
        </w:tc>
        <w:tc>
          <w:tcPr>
            <w:tcBorders/>
            <w:tcMar>
              <w:left w:w="15" w:type="dxa"/>
              <w:top w:w="15" w:type="dxa"/>
              <w:right w:w="15" w:type="dxa"/>
              <w:bottom w:w="15" w:type="dxa"/>
            </w:tcMar>
            <w:tcW w:w="838" w:type="dxa"/>
            <w:vAlign w:val="center"/>
          </w:tcPr>
          <w:p w14:paraId="1586923E">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2317" w:type="dxa"/>
            <w:vAlign w:val="center"/>
          </w:tcPr>
          <w:p w14:paraId="65646530">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203" w:type="dxa"/>
            <w:vAlign w:val="center"/>
          </w:tcPr>
          <w:p w14:paraId="0CDA38D5">
            <w:pPr>
              <w:pBdr/>
              <w:spacing w:after="0" w:before="0" w:line="240"/>
              <w:ind/>
              <w:rPr/>
            </w:pPr>
            <w:r>
              <w:rPr>
                <w:rFonts w:ascii="Times New Roman" w:hAnsi="Times New Roman" w:eastAsia="Times New Roman" w:cs="Times New Roman"/>
                <w:color w:val="000000"/>
                <w:sz w:val="24"/>
              </w:rPr>
              <w:t xml:space="preserve">Yield curve spread</w:t>
            </w:r>
            <w:r/>
          </w:p>
        </w:tc>
        <w:tc>
          <w:tcPr>
            <w:tcBorders/>
            <w:tcMar>
              <w:left w:w="15" w:type="dxa"/>
              <w:top w:w="15" w:type="dxa"/>
              <w:right w:w="15" w:type="dxa"/>
              <w:bottom w:w="15" w:type="dxa"/>
            </w:tcMar>
            <w:tcW w:w="2133" w:type="dxa"/>
            <w:vAlign w:val="center"/>
          </w:tcPr>
          <w:p w14:paraId="432C5D6E">
            <w:pPr>
              <w:pBdr/>
              <w:spacing w:after="0" w:before="0" w:line="240"/>
              <w:ind/>
              <w:rPr/>
            </w:pPr>
            <w:r>
              <w:rPr>
                <w:rFonts w:ascii="Times New Roman" w:hAnsi="Times New Roman" w:eastAsia="Times New Roman" w:cs="Times New Roman"/>
                <w:color w:val="000000"/>
                <w:sz w:val="24"/>
              </w:rPr>
              <w:t xml:space="preserve">yield_curve_10y2y</w:t>
            </w:r>
            <w:r/>
          </w:p>
        </w:tc>
        <w:tc>
          <w:tcPr>
            <w:tcBorders/>
            <w:tcMar>
              <w:left w:w="15" w:type="dxa"/>
              <w:top w:w="15" w:type="dxa"/>
              <w:right w:w="15" w:type="dxa"/>
              <w:bottom w:w="15" w:type="dxa"/>
            </w:tcMar>
            <w:tcW w:w="1041" w:type="dxa"/>
            <w:vAlign w:val="center"/>
          </w:tcPr>
          <w:p w14:paraId="0E189E7C">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822" w:type="dxa"/>
            <w:vAlign w:val="center"/>
          </w:tcPr>
          <w:p w14:paraId="62E821B8">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838" w:type="dxa"/>
            <w:vAlign w:val="center"/>
          </w:tcPr>
          <w:p w14:paraId="113F981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23CDC166">
            <w:pPr>
              <w:pBdr/>
              <w:spacing w:after="0" w:before="0" w:line="240"/>
              <w:ind/>
              <w:rPr/>
            </w:pPr>
            <w:r>
              <w:rPr>
                <w:rFonts w:ascii="Times New Roman" w:hAnsi="Times New Roman" w:eastAsia="Times New Roman" w:cs="Times New Roman"/>
                <w:color w:val="000000"/>
                <w:sz w:val="24"/>
              </w:rPr>
              <w:t xml:space="preserve">10Y - 2Y</w:t>
            </w:r>
            <w:r/>
          </w:p>
        </w:tc>
      </w:tr>
      <w:tr>
        <w:trPr/>
        <w:tc>
          <w:tcPr>
            <w:tcBorders/>
            <w:tcMar>
              <w:left w:w="15" w:type="dxa"/>
              <w:top w:w="15" w:type="dxa"/>
              <w:right w:w="15" w:type="dxa"/>
              <w:bottom w:w="15" w:type="dxa"/>
            </w:tcMar>
            <w:tcW w:w="2203" w:type="dxa"/>
            <w:vAlign w:val="center"/>
          </w:tcPr>
          <w:p w14:paraId="39187955">
            <w:pPr>
              <w:pBdr/>
              <w:spacing w:after="0" w:before="0" w:line="240"/>
              <w:ind/>
              <w:rPr/>
            </w:pPr>
            <w:r>
              <w:rPr>
                <w:rFonts w:ascii="Times New Roman" w:hAnsi="Times New Roman" w:eastAsia="Times New Roman" w:cs="Times New Roman"/>
                <w:color w:val="000000"/>
                <w:sz w:val="24"/>
              </w:rPr>
              <w:t xml:space="preserve">Yield curve trend</w:t>
            </w:r>
            <w:r/>
          </w:p>
        </w:tc>
        <w:tc>
          <w:tcPr>
            <w:tcBorders/>
            <w:tcMar>
              <w:left w:w="15" w:type="dxa"/>
              <w:top w:w="15" w:type="dxa"/>
              <w:right w:w="15" w:type="dxa"/>
              <w:bottom w:w="15" w:type="dxa"/>
            </w:tcMar>
            <w:tcW w:w="2133" w:type="dxa"/>
            <w:vAlign w:val="center"/>
          </w:tcPr>
          <w:p w14:paraId="288F134E">
            <w:pPr>
              <w:pBdr/>
              <w:spacing w:after="0" w:before="0" w:line="240"/>
              <w:ind/>
              <w:rPr/>
            </w:pPr>
            <w:r>
              <w:rPr>
                <w:rFonts w:ascii="Times New Roman" w:hAnsi="Times New Roman" w:eastAsia="Times New Roman" w:cs="Times New Roman"/>
                <w:color w:val="000000"/>
                <w:sz w:val="24"/>
              </w:rPr>
              <w:t xml:space="preserve">yield_curve_10y2y</w:t>
            </w:r>
            <w:r/>
          </w:p>
        </w:tc>
        <w:tc>
          <w:tcPr>
            <w:tcBorders/>
            <w:tcMar>
              <w:left w:w="15" w:type="dxa"/>
              <w:top w:w="15" w:type="dxa"/>
              <w:right w:w="15" w:type="dxa"/>
              <w:bottom w:w="15" w:type="dxa"/>
            </w:tcMar>
            <w:tcW w:w="1041" w:type="dxa"/>
            <w:vAlign w:val="center"/>
          </w:tcPr>
          <w:p w14:paraId="576070A1">
            <w:pPr>
              <w:pBdr/>
              <w:spacing w:after="0" w:before="0" w:line="240"/>
              <w:ind/>
              <w:rPr/>
            </w:pPr>
            <w:r>
              <w:rPr>
                <w:rFonts w:ascii="Times New Roman" w:hAnsi="Times New Roman" w:eastAsia="Times New Roman" w:cs="Times New Roman"/>
                <w:color w:val="000000"/>
                <w:sz w:val="24"/>
              </w:rPr>
              <w:t xml:space="preserve">ma</w:t>
            </w:r>
            <w:r/>
          </w:p>
        </w:tc>
        <w:tc>
          <w:tcPr>
            <w:tcBorders/>
            <w:tcMar>
              <w:left w:w="15" w:type="dxa"/>
              <w:top w:w="15" w:type="dxa"/>
              <w:right w:w="15" w:type="dxa"/>
              <w:bottom w:w="15" w:type="dxa"/>
            </w:tcMar>
            <w:tcW w:w="822" w:type="dxa"/>
            <w:vAlign w:val="center"/>
          </w:tcPr>
          <w:p w14:paraId="04A08B1A">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838" w:type="dxa"/>
            <w:vAlign w:val="center"/>
          </w:tcPr>
          <w:p w14:paraId="4AD1CA8C">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27D692C6">
            <w:pPr>
              <w:pBdr/>
              <w:spacing w:after="0" w:before="0" w:line="240"/>
              <w:ind/>
              <w:rPr/>
            </w:pPr>
            <w:r/>
          </w:p>
        </w:tc>
      </w:tr>
      <w:tr>
        <w:trPr/>
        <w:tc>
          <w:tcPr>
            <w:tcBorders/>
            <w:tcMar>
              <w:left w:w="15" w:type="dxa"/>
              <w:top w:w="15" w:type="dxa"/>
              <w:right w:w="15" w:type="dxa"/>
              <w:bottom w:w="15" w:type="dxa"/>
            </w:tcMar>
            <w:tcW w:w="2203" w:type="dxa"/>
            <w:vAlign w:val="center"/>
          </w:tcPr>
          <w:p w14:paraId="75762467">
            <w:pPr>
              <w:pBdr/>
              <w:spacing w:after="0" w:before="0" w:line="240"/>
              <w:ind/>
              <w:rPr/>
            </w:pPr>
            <w:r>
              <w:rPr>
                <w:rFonts w:ascii="Times New Roman" w:hAnsi="Times New Roman" w:eastAsia="Times New Roman" w:cs="Times New Roman"/>
                <w:color w:val="000000"/>
                <w:sz w:val="24"/>
              </w:rPr>
              <w:t xml:space="preserve">Yield curve zscore</w:t>
            </w:r>
            <w:r/>
          </w:p>
        </w:tc>
        <w:tc>
          <w:tcPr>
            <w:tcBorders/>
            <w:tcMar>
              <w:left w:w="15" w:type="dxa"/>
              <w:top w:w="15" w:type="dxa"/>
              <w:right w:w="15" w:type="dxa"/>
              <w:bottom w:w="15" w:type="dxa"/>
            </w:tcMar>
            <w:tcW w:w="2133" w:type="dxa"/>
            <w:vAlign w:val="center"/>
          </w:tcPr>
          <w:p w14:paraId="286957ED">
            <w:pPr>
              <w:pBdr/>
              <w:spacing w:after="0" w:before="0" w:line="240"/>
              <w:ind/>
              <w:rPr/>
            </w:pPr>
            <w:r>
              <w:rPr>
                <w:rFonts w:ascii="Times New Roman" w:hAnsi="Times New Roman" w:eastAsia="Times New Roman" w:cs="Times New Roman"/>
                <w:color w:val="000000"/>
                <w:sz w:val="24"/>
              </w:rPr>
              <w:t xml:space="preserve">yield_curve_10y2y</w:t>
            </w:r>
            <w:r/>
          </w:p>
        </w:tc>
        <w:tc>
          <w:tcPr>
            <w:tcBorders/>
            <w:tcMar>
              <w:left w:w="15" w:type="dxa"/>
              <w:top w:w="15" w:type="dxa"/>
              <w:right w:w="15" w:type="dxa"/>
              <w:bottom w:w="15" w:type="dxa"/>
            </w:tcMar>
            <w:tcW w:w="1041" w:type="dxa"/>
            <w:vAlign w:val="center"/>
          </w:tcPr>
          <w:p w14:paraId="3FFC4BD7">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822" w:type="dxa"/>
            <w:vAlign w:val="center"/>
          </w:tcPr>
          <w:p w14:paraId="20E229F9">
            <w:pPr>
              <w:pBdr/>
              <w:spacing w:after="0" w:before="0" w:line="240"/>
              <w:ind/>
              <w:rPr/>
            </w:pPr>
            <w:r>
              <w:rPr>
                <w:rFonts w:ascii="Times New Roman" w:hAnsi="Times New Roman" w:eastAsia="Times New Roman" w:cs="Times New Roman"/>
                <w:color w:val="000000"/>
                <w:sz w:val="24"/>
              </w:rPr>
              <w:t xml:space="preserve">365d</w:t>
            </w:r>
            <w:r/>
          </w:p>
        </w:tc>
        <w:tc>
          <w:tcPr>
            <w:tcBorders/>
            <w:tcMar>
              <w:left w:w="15" w:type="dxa"/>
              <w:top w:w="15" w:type="dxa"/>
              <w:right w:w="15" w:type="dxa"/>
              <w:bottom w:w="15" w:type="dxa"/>
            </w:tcMar>
            <w:tcW w:w="838" w:type="dxa"/>
            <w:vAlign w:val="center"/>
          </w:tcPr>
          <w:p w14:paraId="23D21A81">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7D2338D3">
            <w:pPr>
              <w:pBdr/>
              <w:spacing w:after="0" w:before="0" w:line="240"/>
              <w:ind/>
              <w:rPr/>
            </w:pPr>
            <w:r>
              <w:rPr>
                <w:rFonts w:ascii="Times New Roman" w:hAnsi="Times New Roman" w:eastAsia="Times New Roman" w:cs="Times New Roman"/>
                <w:color w:val="000000"/>
                <w:sz w:val="24"/>
              </w:rPr>
              <w:t xml:space="preserve">Long context required</w:t>
            </w:r>
            <w:r/>
          </w:p>
        </w:tc>
      </w:tr>
      <w:tr>
        <w:trPr/>
        <w:tc>
          <w:tcPr>
            <w:tcBorders/>
            <w:tcMar>
              <w:left w:w="15" w:type="dxa"/>
              <w:top w:w="15" w:type="dxa"/>
              <w:right w:w="15" w:type="dxa"/>
              <w:bottom w:w="15" w:type="dxa"/>
            </w:tcMar>
            <w:tcW w:w="2203" w:type="dxa"/>
            <w:vAlign w:val="center"/>
          </w:tcPr>
          <w:p w14:paraId="39CC9794">
            <w:pPr>
              <w:pBdr/>
              <w:spacing w:after="0" w:before="0" w:line="240"/>
              <w:ind/>
              <w:rPr/>
            </w:pPr>
            <w:r>
              <w:rPr>
                <w:rFonts w:ascii="Times New Roman" w:hAnsi="Times New Roman" w:eastAsia="Times New Roman" w:cs="Times New Roman"/>
                <w:color w:val="000000"/>
                <w:sz w:val="24"/>
              </w:rPr>
              <w:t xml:space="preserve">Dollar index</w:t>
            </w:r>
            <w:r/>
          </w:p>
        </w:tc>
        <w:tc>
          <w:tcPr>
            <w:tcBorders/>
            <w:tcMar>
              <w:left w:w="15" w:type="dxa"/>
              <w:top w:w="15" w:type="dxa"/>
              <w:right w:w="15" w:type="dxa"/>
              <w:bottom w:w="15" w:type="dxa"/>
            </w:tcMar>
            <w:tcW w:w="2133" w:type="dxa"/>
            <w:vAlign w:val="center"/>
          </w:tcPr>
          <w:p w14:paraId="42A2323E">
            <w:pPr>
              <w:pBdr/>
              <w:spacing w:after="0" w:before="0" w:line="240"/>
              <w:ind/>
              <w:rPr/>
            </w:pPr>
            <w:r>
              <w:rPr>
                <w:rFonts w:ascii="Times New Roman" w:hAnsi="Times New Roman" w:eastAsia="Times New Roman" w:cs="Times New Roman"/>
                <w:color w:val="000000"/>
                <w:sz w:val="24"/>
              </w:rPr>
              <w:t xml:space="preserve">dxy</w:t>
            </w:r>
            <w:r/>
          </w:p>
        </w:tc>
        <w:tc>
          <w:tcPr>
            <w:tcBorders/>
            <w:tcMar>
              <w:left w:w="15" w:type="dxa"/>
              <w:top w:w="15" w:type="dxa"/>
              <w:right w:w="15" w:type="dxa"/>
              <w:bottom w:w="15" w:type="dxa"/>
            </w:tcMar>
            <w:tcW w:w="1041" w:type="dxa"/>
            <w:vAlign w:val="center"/>
          </w:tcPr>
          <w:p w14:paraId="6157642E">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822" w:type="dxa"/>
            <w:vAlign w:val="center"/>
          </w:tcPr>
          <w:p w14:paraId="64028054">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838" w:type="dxa"/>
            <w:vAlign w:val="center"/>
          </w:tcPr>
          <w:p w14:paraId="45791BC4">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50E88BAF">
            <w:pPr>
              <w:pBdr/>
              <w:spacing w:after="0" w:before="0" w:line="240"/>
              <w:ind/>
              <w:rPr/>
            </w:pPr>
            <w:r/>
          </w:p>
        </w:tc>
      </w:tr>
      <w:tr>
        <w:trPr/>
        <w:tc>
          <w:tcPr>
            <w:tcBorders/>
            <w:tcMar>
              <w:left w:w="15" w:type="dxa"/>
              <w:top w:w="15" w:type="dxa"/>
              <w:right w:w="15" w:type="dxa"/>
              <w:bottom w:w="15" w:type="dxa"/>
            </w:tcMar>
            <w:tcW w:w="2203" w:type="dxa"/>
            <w:vAlign w:val="center"/>
          </w:tcPr>
          <w:p w14:paraId="7A1A48C7">
            <w:pPr>
              <w:pBdr/>
              <w:spacing w:after="0" w:before="0" w:line="240"/>
              <w:ind/>
              <w:rPr/>
            </w:pPr>
            <w:r>
              <w:rPr>
                <w:rFonts w:ascii="Times New Roman" w:hAnsi="Times New Roman" w:eastAsia="Times New Roman" w:cs="Times New Roman"/>
                <w:color w:val="000000"/>
                <w:sz w:val="24"/>
              </w:rPr>
              <w:t xml:space="preserve">Dollar index change</w:t>
            </w:r>
            <w:r/>
          </w:p>
        </w:tc>
        <w:tc>
          <w:tcPr>
            <w:tcBorders/>
            <w:tcMar>
              <w:left w:w="15" w:type="dxa"/>
              <w:top w:w="15" w:type="dxa"/>
              <w:right w:w="15" w:type="dxa"/>
              <w:bottom w:w="15" w:type="dxa"/>
            </w:tcMar>
            <w:tcW w:w="2133" w:type="dxa"/>
            <w:vAlign w:val="center"/>
          </w:tcPr>
          <w:p w14:paraId="3822879E">
            <w:pPr>
              <w:pBdr/>
              <w:spacing w:after="0" w:before="0" w:line="240"/>
              <w:ind/>
              <w:rPr/>
            </w:pPr>
            <w:r>
              <w:rPr>
                <w:rFonts w:ascii="Times New Roman" w:hAnsi="Times New Roman" w:eastAsia="Times New Roman" w:cs="Times New Roman"/>
                <w:color w:val="000000"/>
                <w:sz w:val="24"/>
              </w:rPr>
              <w:t xml:space="preserve">dxy</w:t>
            </w:r>
            <w:r/>
          </w:p>
        </w:tc>
        <w:tc>
          <w:tcPr>
            <w:tcBorders/>
            <w:tcMar>
              <w:left w:w="15" w:type="dxa"/>
              <w:top w:w="15" w:type="dxa"/>
              <w:right w:w="15" w:type="dxa"/>
              <w:bottom w:w="15" w:type="dxa"/>
            </w:tcMar>
            <w:tcW w:w="1041" w:type="dxa"/>
            <w:vAlign w:val="center"/>
          </w:tcPr>
          <w:p w14:paraId="63FF9A22">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822" w:type="dxa"/>
            <w:vAlign w:val="center"/>
          </w:tcPr>
          <w:p w14:paraId="6023DD9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838" w:type="dxa"/>
            <w:vAlign w:val="center"/>
          </w:tcPr>
          <w:p w14:paraId="31DAEB88">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23FD72C6">
            <w:pPr>
              <w:pBdr/>
              <w:spacing w:after="0" w:before="0" w:line="240"/>
              <w:ind/>
              <w:rPr/>
            </w:pPr>
            <w:r/>
          </w:p>
        </w:tc>
      </w:tr>
      <w:tr>
        <w:trPr/>
        <w:tc>
          <w:tcPr>
            <w:tcBorders/>
            <w:tcMar>
              <w:left w:w="15" w:type="dxa"/>
              <w:top w:w="15" w:type="dxa"/>
              <w:right w:w="15" w:type="dxa"/>
              <w:bottom w:w="15" w:type="dxa"/>
            </w:tcMar>
            <w:tcW w:w="2203" w:type="dxa"/>
            <w:vAlign w:val="center"/>
          </w:tcPr>
          <w:p w14:paraId="401F91F4">
            <w:pPr>
              <w:pBdr/>
              <w:spacing w:after="0" w:before="0" w:line="240"/>
              <w:ind/>
              <w:rPr/>
            </w:pPr>
            <w:r>
              <w:rPr>
                <w:rFonts w:ascii="Times New Roman" w:hAnsi="Times New Roman" w:eastAsia="Times New Roman" w:cs="Times New Roman"/>
                <w:color w:val="000000"/>
                <w:sz w:val="24"/>
              </w:rPr>
              <w:t xml:space="preserve">Dollar index change</w:t>
            </w:r>
            <w:r/>
          </w:p>
        </w:tc>
        <w:tc>
          <w:tcPr>
            <w:tcBorders/>
            <w:tcMar>
              <w:left w:w="15" w:type="dxa"/>
              <w:top w:w="15" w:type="dxa"/>
              <w:right w:w="15" w:type="dxa"/>
              <w:bottom w:w="15" w:type="dxa"/>
            </w:tcMar>
            <w:tcW w:w="2133" w:type="dxa"/>
            <w:vAlign w:val="center"/>
          </w:tcPr>
          <w:p w14:paraId="48A0DC68">
            <w:pPr>
              <w:pBdr/>
              <w:spacing w:after="0" w:before="0" w:line="240"/>
              <w:ind/>
              <w:rPr/>
            </w:pPr>
            <w:r>
              <w:rPr>
                <w:rFonts w:ascii="Times New Roman" w:hAnsi="Times New Roman" w:eastAsia="Times New Roman" w:cs="Times New Roman"/>
                <w:color w:val="000000"/>
                <w:sz w:val="24"/>
              </w:rPr>
              <w:t xml:space="preserve">dxy</w:t>
            </w:r>
            <w:r/>
          </w:p>
        </w:tc>
        <w:tc>
          <w:tcPr>
            <w:tcBorders/>
            <w:tcMar>
              <w:left w:w="15" w:type="dxa"/>
              <w:top w:w="15" w:type="dxa"/>
              <w:right w:w="15" w:type="dxa"/>
              <w:bottom w:w="15" w:type="dxa"/>
            </w:tcMar>
            <w:tcW w:w="1041" w:type="dxa"/>
            <w:vAlign w:val="center"/>
          </w:tcPr>
          <w:p w14:paraId="0DA82B83">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822" w:type="dxa"/>
            <w:vAlign w:val="center"/>
          </w:tcPr>
          <w:p w14:paraId="7A8CDDE7">
            <w:pPr>
              <w:pBdr/>
              <w:spacing w:after="0" w:before="0" w:line="240"/>
              <w:ind/>
              <w:rPr/>
            </w:pPr>
            <w:r>
              <w:rPr>
                <w:rFonts w:ascii="Times New Roman" w:hAnsi="Times New Roman" w:eastAsia="Times New Roman" w:cs="Times New Roman"/>
                <w:color w:val="000000"/>
                <w:sz w:val="24"/>
              </w:rPr>
              <w:t xml:space="preserve">30d</w:t>
            </w:r>
            <w:r/>
          </w:p>
        </w:tc>
        <w:tc>
          <w:tcPr>
            <w:tcBorders/>
            <w:tcMar>
              <w:left w:w="15" w:type="dxa"/>
              <w:top w:w="15" w:type="dxa"/>
              <w:right w:w="15" w:type="dxa"/>
              <w:bottom w:w="15" w:type="dxa"/>
            </w:tcMar>
            <w:tcW w:w="838" w:type="dxa"/>
            <w:vAlign w:val="center"/>
          </w:tcPr>
          <w:p w14:paraId="28486F56">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7AE19271">
            <w:pPr>
              <w:pBdr/>
              <w:spacing w:after="0" w:before="0" w:line="240"/>
              <w:ind/>
              <w:rPr/>
            </w:pPr>
            <w:r/>
          </w:p>
        </w:tc>
      </w:tr>
      <w:tr>
        <w:trPr/>
        <w:tc>
          <w:tcPr>
            <w:tcBorders/>
            <w:tcMar>
              <w:left w:w="15" w:type="dxa"/>
              <w:top w:w="15" w:type="dxa"/>
              <w:right w:w="15" w:type="dxa"/>
              <w:bottom w:w="15" w:type="dxa"/>
            </w:tcMar>
            <w:tcW w:w="2203" w:type="dxa"/>
            <w:vAlign w:val="center"/>
          </w:tcPr>
          <w:p w14:paraId="2BD2B58A">
            <w:pPr>
              <w:pBdr/>
              <w:spacing w:after="0" w:before="0" w:line="240"/>
              <w:ind/>
              <w:rPr/>
            </w:pPr>
            <w:r>
              <w:rPr>
                <w:rFonts w:ascii="Times New Roman" w:hAnsi="Times New Roman" w:eastAsia="Times New Roman" w:cs="Times New Roman"/>
                <w:color w:val="000000"/>
                <w:sz w:val="24"/>
              </w:rPr>
              <w:t xml:space="preserve">Dollar index zscore</w:t>
            </w:r>
            <w:r/>
          </w:p>
        </w:tc>
        <w:tc>
          <w:tcPr>
            <w:tcBorders/>
            <w:tcMar>
              <w:left w:w="15" w:type="dxa"/>
              <w:top w:w="15" w:type="dxa"/>
              <w:right w:w="15" w:type="dxa"/>
              <w:bottom w:w="15" w:type="dxa"/>
            </w:tcMar>
            <w:tcW w:w="2133" w:type="dxa"/>
            <w:vAlign w:val="center"/>
          </w:tcPr>
          <w:p w14:paraId="392349D6">
            <w:pPr>
              <w:pBdr/>
              <w:spacing w:after="0" w:before="0" w:line="240"/>
              <w:ind/>
              <w:rPr/>
            </w:pPr>
            <w:r>
              <w:rPr>
                <w:rFonts w:ascii="Times New Roman" w:hAnsi="Times New Roman" w:eastAsia="Times New Roman" w:cs="Times New Roman"/>
                <w:color w:val="000000"/>
                <w:sz w:val="24"/>
              </w:rPr>
              <w:t xml:space="preserve">dxy</w:t>
            </w:r>
            <w:r/>
          </w:p>
        </w:tc>
        <w:tc>
          <w:tcPr>
            <w:tcBorders/>
            <w:tcMar>
              <w:left w:w="15" w:type="dxa"/>
              <w:top w:w="15" w:type="dxa"/>
              <w:right w:w="15" w:type="dxa"/>
              <w:bottom w:w="15" w:type="dxa"/>
            </w:tcMar>
            <w:tcW w:w="1041" w:type="dxa"/>
            <w:vAlign w:val="center"/>
          </w:tcPr>
          <w:p w14:paraId="7BDC201C">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822" w:type="dxa"/>
            <w:vAlign w:val="center"/>
          </w:tcPr>
          <w:p w14:paraId="420BC154">
            <w:pPr>
              <w:pBdr/>
              <w:spacing w:after="0" w:before="0" w:line="240"/>
              <w:ind/>
              <w:rPr/>
            </w:pPr>
            <w:r>
              <w:rPr>
                <w:rFonts w:ascii="Times New Roman" w:hAnsi="Times New Roman" w:eastAsia="Times New Roman" w:cs="Times New Roman"/>
                <w:color w:val="000000"/>
                <w:sz w:val="24"/>
              </w:rPr>
              <w:t xml:space="preserve">90d</w:t>
            </w:r>
            <w:r/>
          </w:p>
        </w:tc>
        <w:tc>
          <w:tcPr>
            <w:tcBorders/>
            <w:tcMar>
              <w:left w:w="15" w:type="dxa"/>
              <w:top w:w="15" w:type="dxa"/>
              <w:right w:w="15" w:type="dxa"/>
              <w:bottom w:w="15" w:type="dxa"/>
            </w:tcMar>
            <w:tcW w:w="838" w:type="dxa"/>
            <w:vAlign w:val="center"/>
          </w:tcPr>
          <w:p w14:paraId="396637B8">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4654A100">
            <w:pPr>
              <w:pBdr/>
              <w:spacing w:after="0" w:before="0" w:line="240"/>
              <w:ind/>
              <w:rPr/>
            </w:pPr>
            <w:r/>
          </w:p>
        </w:tc>
      </w:tr>
      <w:tr>
        <w:trPr/>
        <w:tc>
          <w:tcPr>
            <w:tcBorders/>
            <w:tcMar>
              <w:left w:w="15" w:type="dxa"/>
              <w:top w:w="15" w:type="dxa"/>
              <w:right w:w="15" w:type="dxa"/>
              <w:bottom w:w="15" w:type="dxa"/>
            </w:tcMar>
            <w:tcW w:w="2203" w:type="dxa"/>
            <w:vAlign w:val="center"/>
          </w:tcPr>
          <w:p w14:paraId="18F2364D">
            <w:pPr>
              <w:pBdr/>
              <w:spacing w:after="0" w:before="0" w:line="240"/>
              <w:ind/>
              <w:rPr/>
            </w:pPr>
            <w:r>
              <w:rPr>
                <w:rFonts w:ascii="Times New Roman" w:hAnsi="Times New Roman" w:eastAsia="Times New Roman" w:cs="Times New Roman"/>
                <w:color w:val="000000"/>
                <w:sz w:val="24"/>
              </w:rPr>
              <w:t xml:space="preserve">High yield credit spread</w:t>
            </w:r>
            <w:r/>
          </w:p>
        </w:tc>
        <w:tc>
          <w:tcPr>
            <w:tcBorders/>
            <w:tcMar>
              <w:left w:w="15" w:type="dxa"/>
              <w:top w:w="15" w:type="dxa"/>
              <w:right w:w="15" w:type="dxa"/>
              <w:bottom w:w="15" w:type="dxa"/>
            </w:tcMar>
            <w:tcW w:w="2133" w:type="dxa"/>
            <w:vAlign w:val="center"/>
          </w:tcPr>
          <w:p w14:paraId="585EB960">
            <w:pPr>
              <w:pBdr/>
              <w:spacing w:after="0" w:before="0" w:line="240"/>
              <w:ind/>
              <w:rPr/>
            </w:pPr>
            <w:r>
              <w:rPr>
                <w:rFonts w:ascii="Times New Roman" w:hAnsi="Times New Roman" w:eastAsia="Times New Roman" w:cs="Times New Roman"/>
                <w:color w:val="000000"/>
                <w:sz w:val="24"/>
              </w:rPr>
              <w:t xml:space="preserve">hy_credit_spread</w:t>
            </w:r>
            <w:r/>
          </w:p>
        </w:tc>
        <w:tc>
          <w:tcPr>
            <w:tcBorders/>
            <w:tcMar>
              <w:left w:w="15" w:type="dxa"/>
              <w:top w:w="15" w:type="dxa"/>
              <w:right w:w="15" w:type="dxa"/>
              <w:bottom w:w="15" w:type="dxa"/>
            </w:tcMar>
            <w:tcW w:w="1041" w:type="dxa"/>
            <w:vAlign w:val="center"/>
          </w:tcPr>
          <w:p w14:paraId="4CCB90A1">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822" w:type="dxa"/>
            <w:vAlign w:val="center"/>
          </w:tcPr>
          <w:p w14:paraId="3BF511EC">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838" w:type="dxa"/>
            <w:vAlign w:val="center"/>
          </w:tcPr>
          <w:p w14:paraId="3858D3A4">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6719E1A0">
            <w:pPr>
              <w:pBdr/>
              <w:spacing w:after="0" w:before="0" w:line="240"/>
              <w:ind/>
              <w:rPr/>
            </w:pPr>
            <w:r/>
          </w:p>
        </w:tc>
      </w:tr>
      <w:tr>
        <w:trPr/>
        <w:tc>
          <w:tcPr>
            <w:tcBorders/>
            <w:tcMar>
              <w:left w:w="15" w:type="dxa"/>
              <w:top w:w="15" w:type="dxa"/>
              <w:right w:w="15" w:type="dxa"/>
              <w:bottom w:w="15" w:type="dxa"/>
            </w:tcMar>
            <w:tcW w:w="2203" w:type="dxa"/>
            <w:vAlign w:val="center"/>
          </w:tcPr>
          <w:p w14:paraId="20873E81">
            <w:pPr>
              <w:pBdr/>
              <w:spacing w:after="0" w:before="0" w:line="240"/>
              <w:ind/>
              <w:rPr/>
            </w:pPr>
            <w:r>
              <w:rPr>
                <w:rFonts w:ascii="Times New Roman" w:hAnsi="Times New Roman" w:eastAsia="Times New Roman" w:cs="Times New Roman"/>
                <w:color w:val="000000"/>
                <w:sz w:val="24"/>
              </w:rPr>
              <w:t xml:space="preserve">Credit spread change</w:t>
            </w:r>
            <w:r/>
          </w:p>
        </w:tc>
        <w:tc>
          <w:tcPr>
            <w:tcBorders/>
            <w:tcMar>
              <w:left w:w="15" w:type="dxa"/>
              <w:top w:w="15" w:type="dxa"/>
              <w:right w:w="15" w:type="dxa"/>
              <w:bottom w:w="15" w:type="dxa"/>
            </w:tcMar>
            <w:tcW w:w="2133" w:type="dxa"/>
            <w:vAlign w:val="center"/>
          </w:tcPr>
          <w:p w14:paraId="49F2B0AB">
            <w:pPr>
              <w:pBdr/>
              <w:spacing w:after="0" w:before="0" w:line="240"/>
              <w:ind/>
              <w:rPr/>
            </w:pPr>
            <w:r>
              <w:rPr>
                <w:rFonts w:ascii="Times New Roman" w:hAnsi="Times New Roman" w:eastAsia="Times New Roman" w:cs="Times New Roman"/>
                <w:color w:val="000000"/>
                <w:sz w:val="24"/>
              </w:rPr>
              <w:t xml:space="preserve">hy_credit_spread</w:t>
            </w:r>
            <w:r/>
          </w:p>
        </w:tc>
        <w:tc>
          <w:tcPr>
            <w:tcBorders/>
            <w:tcMar>
              <w:left w:w="15" w:type="dxa"/>
              <w:top w:w="15" w:type="dxa"/>
              <w:right w:w="15" w:type="dxa"/>
              <w:bottom w:w="15" w:type="dxa"/>
            </w:tcMar>
            <w:tcW w:w="1041" w:type="dxa"/>
            <w:vAlign w:val="center"/>
          </w:tcPr>
          <w:p w14:paraId="6025FE33">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822" w:type="dxa"/>
            <w:vAlign w:val="center"/>
          </w:tcPr>
          <w:p w14:paraId="080713BF">
            <w:pPr>
              <w:pBdr/>
              <w:spacing w:after="0" w:before="0" w:line="240"/>
              <w:ind/>
              <w:rPr/>
            </w:pPr>
            <w:r>
              <w:rPr>
                <w:rFonts w:ascii="Times New Roman" w:hAnsi="Times New Roman" w:eastAsia="Times New Roman" w:cs="Times New Roman"/>
                <w:color w:val="000000"/>
                <w:sz w:val="24"/>
              </w:rPr>
              <w:t xml:space="preserve">7d</w:t>
            </w:r>
            <w:r/>
          </w:p>
        </w:tc>
        <w:tc>
          <w:tcPr>
            <w:tcBorders/>
            <w:tcMar>
              <w:left w:w="15" w:type="dxa"/>
              <w:top w:w="15" w:type="dxa"/>
              <w:right w:w="15" w:type="dxa"/>
              <w:bottom w:w="15" w:type="dxa"/>
            </w:tcMar>
            <w:tcW w:w="838" w:type="dxa"/>
            <w:vAlign w:val="center"/>
          </w:tcPr>
          <w:p w14:paraId="34392D8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2A037E37">
            <w:pPr>
              <w:pBdr/>
              <w:spacing w:after="0" w:before="0" w:line="240"/>
              <w:ind/>
              <w:rPr/>
            </w:pPr>
            <w:r/>
          </w:p>
        </w:tc>
      </w:tr>
      <w:tr>
        <w:trPr/>
        <w:tc>
          <w:tcPr>
            <w:tcBorders/>
            <w:tcMar>
              <w:left w:w="15" w:type="dxa"/>
              <w:top w:w="15" w:type="dxa"/>
              <w:right w:w="15" w:type="dxa"/>
              <w:bottom w:w="15" w:type="dxa"/>
            </w:tcMar>
            <w:tcW w:w="2203" w:type="dxa"/>
            <w:vAlign w:val="center"/>
          </w:tcPr>
          <w:p w14:paraId="33F97A86">
            <w:pPr>
              <w:pBdr/>
              <w:spacing w:after="0" w:before="0" w:line="240"/>
              <w:ind/>
              <w:rPr/>
            </w:pPr>
            <w:r>
              <w:rPr>
                <w:rFonts w:ascii="Times New Roman" w:hAnsi="Times New Roman" w:eastAsia="Times New Roman" w:cs="Times New Roman"/>
                <w:color w:val="000000"/>
                <w:sz w:val="24"/>
              </w:rPr>
              <w:t xml:space="preserve">Credit spread zscore</w:t>
            </w:r>
            <w:r/>
          </w:p>
        </w:tc>
        <w:tc>
          <w:tcPr>
            <w:tcBorders/>
            <w:tcMar>
              <w:left w:w="15" w:type="dxa"/>
              <w:top w:w="15" w:type="dxa"/>
              <w:right w:w="15" w:type="dxa"/>
              <w:bottom w:w="15" w:type="dxa"/>
            </w:tcMar>
            <w:tcW w:w="2133" w:type="dxa"/>
            <w:vAlign w:val="center"/>
          </w:tcPr>
          <w:p w14:paraId="49658133">
            <w:pPr>
              <w:pBdr/>
              <w:spacing w:after="0" w:before="0" w:line="240"/>
              <w:ind/>
              <w:rPr/>
            </w:pPr>
            <w:r>
              <w:rPr>
                <w:rFonts w:ascii="Times New Roman" w:hAnsi="Times New Roman" w:eastAsia="Times New Roman" w:cs="Times New Roman"/>
                <w:color w:val="000000"/>
                <w:sz w:val="24"/>
              </w:rPr>
              <w:t xml:space="preserve">hy_credit_spread</w:t>
            </w:r>
            <w:r/>
          </w:p>
        </w:tc>
        <w:tc>
          <w:tcPr>
            <w:tcBorders/>
            <w:tcMar>
              <w:left w:w="15" w:type="dxa"/>
              <w:top w:w="15" w:type="dxa"/>
              <w:right w:w="15" w:type="dxa"/>
              <w:bottom w:w="15" w:type="dxa"/>
            </w:tcMar>
            <w:tcW w:w="1041" w:type="dxa"/>
            <w:vAlign w:val="center"/>
          </w:tcPr>
          <w:p w14:paraId="1D9C1D3C">
            <w:pPr>
              <w:pBdr/>
              <w:spacing w:after="0" w:before="0" w:line="240"/>
              <w:ind/>
              <w:rPr/>
            </w:pPr>
            <w:r>
              <w:rPr>
                <w:rFonts w:ascii="Times New Roman" w:hAnsi="Times New Roman" w:eastAsia="Times New Roman" w:cs="Times New Roman"/>
                <w:color w:val="000000"/>
                <w:sz w:val="24"/>
              </w:rPr>
              <w:t xml:space="preserve">zscore</w:t>
            </w:r>
            <w:r/>
          </w:p>
        </w:tc>
        <w:tc>
          <w:tcPr>
            <w:tcBorders/>
            <w:tcMar>
              <w:left w:w="15" w:type="dxa"/>
              <w:top w:w="15" w:type="dxa"/>
              <w:right w:w="15" w:type="dxa"/>
              <w:bottom w:w="15" w:type="dxa"/>
            </w:tcMar>
            <w:tcW w:w="822" w:type="dxa"/>
            <w:vAlign w:val="center"/>
          </w:tcPr>
          <w:p w14:paraId="0B5FF79D">
            <w:pPr>
              <w:pBdr/>
              <w:spacing w:after="0" w:before="0" w:line="240"/>
              <w:ind/>
              <w:rPr/>
            </w:pPr>
            <w:r>
              <w:rPr>
                <w:rFonts w:ascii="Times New Roman" w:hAnsi="Times New Roman" w:eastAsia="Times New Roman" w:cs="Times New Roman"/>
                <w:color w:val="000000"/>
                <w:sz w:val="24"/>
              </w:rPr>
              <w:t xml:space="preserve">90d</w:t>
            </w:r>
            <w:r/>
          </w:p>
        </w:tc>
        <w:tc>
          <w:tcPr>
            <w:tcBorders/>
            <w:tcMar>
              <w:left w:w="15" w:type="dxa"/>
              <w:top w:w="15" w:type="dxa"/>
              <w:right w:w="15" w:type="dxa"/>
              <w:bottom w:w="15" w:type="dxa"/>
            </w:tcMar>
            <w:tcW w:w="838" w:type="dxa"/>
            <w:vAlign w:val="center"/>
          </w:tcPr>
          <w:p w14:paraId="41CD52B0">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61F466C5">
            <w:pPr>
              <w:pBdr/>
              <w:spacing w:after="0" w:before="0" w:line="240"/>
              <w:ind/>
              <w:rPr/>
            </w:pPr>
            <w:r/>
          </w:p>
        </w:tc>
      </w:tr>
      <w:tr>
        <w:trPr/>
        <w:tc>
          <w:tcPr>
            <w:tcBorders/>
            <w:tcMar>
              <w:left w:w="15" w:type="dxa"/>
              <w:top w:w="15" w:type="dxa"/>
              <w:right w:w="15" w:type="dxa"/>
              <w:bottom w:w="15" w:type="dxa"/>
            </w:tcMar>
            <w:tcW w:w="2203" w:type="dxa"/>
            <w:vAlign w:val="center"/>
          </w:tcPr>
          <w:p w14:paraId="24AE3293">
            <w:pPr>
              <w:pBdr/>
              <w:spacing w:after="0" w:before="0" w:line="240"/>
              <w:ind/>
              <w:rPr/>
            </w:pPr>
            <w:r>
              <w:rPr>
                <w:rFonts w:ascii="Times New Roman" w:hAnsi="Times New Roman" w:eastAsia="Times New Roman" w:cs="Times New Roman"/>
                <w:color w:val="000000"/>
                <w:sz w:val="24"/>
              </w:rPr>
              <w:t xml:space="preserve">Fed funds rate</w:t>
            </w:r>
            <w:r/>
          </w:p>
        </w:tc>
        <w:tc>
          <w:tcPr>
            <w:tcBorders/>
            <w:tcMar>
              <w:left w:w="15" w:type="dxa"/>
              <w:top w:w="15" w:type="dxa"/>
              <w:right w:w="15" w:type="dxa"/>
              <w:bottom w:w="15" w:type="dxa"/>
            </w:tcMar>
            <w:tcW w:w="2133" w:type="dxa"/>
            <w:vAlign w:val="center"/>
          </w:tcPr>
          <w:p w14:paraId="2B96F493">
            <w:pPr>
              <w:pBdr/>
              <w:spacing w:after="0" w:before="0" w:line="240"/>
              <w:ind/>
              <w:rPr/>
            </w:pPr>
            <w:r>
              <w:rPr>
                <w:rFonts w:ascii="Times New Roman" w:hAnsi="Times New Roman" w:eastAsia="Times New Roman" w:cs="Times New Roman"/>
                <w:color w:val="000000"/>
                <w:sz w:val="24"/>
              </w:rPr>
              <w:t xml:space="preserve">fed_funds_rate</w:t>
            </w:r>
            <w:r/>
          </w:p>
        </w:tc>
        <w:tc>
          <w:tcPr>
            <w:tcBorders/>
            <w:tcMar>
              <w:left w:w="15" w:type="dxa"/>
              <w:top w:w="15" w:type="dxa"/>
              <w:right w:w="15" w:type="dxa"/>
              <w:bottom w:w="15" w:type="dxa"/>
            </w:tcMar>
            <w:tcW w:w="1041" w:type="dxa"/>
            <w:vAlign w:val="center"/>
          </w:tcPr>
          <w:p w14:paraId="3A81D23A">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822" w:type="dxa"/>
            <w:vAlign w:val="center"/>
          </w:tcPr>
          <w:p w14:paraId="376C4D59">
            <w:pPr>
              <w:pBdr/>
              <w:spacing w:after="0" w:before="0" w:line="240"/>
              <w:ind/>
              <w:rPr/>
            </w:pPr>
            <w:r>
              <w:rPr>
                <w:rFonts w:ascii="Times New Roman" w:hAnsi="Times New Roman" w:eastAsia="Times New Roman" w:cs="Times New Roman"/>
                <w:color w:val="000000"/>
                <w:sz w:val="24"/>
              </w:rPr>
              <w:t xml:space="preserve">1 period</w:t>
            </w:r>
            <w:r/>
          </w:p>
        </w:tc>
        <w:tc>
          <w:tcPr>
            <w:tcBorders/>
            <w:tcMar>
              <w:left w:w="15" w:type="dxa"/>
              <w:top w:w="15" w:type="dxa"/>
              <w:right w:w="15" w:type="dxa"/>
              <w:bottom w:w="15" w:type="dxa"/>
            </w:tcMar>
            <w:tcW w:w="838" w:type="dxa"/>
            <w:vAlign w:val="center"/>
          </w:tcPr>
          <w:p w14:paraId="7ED17209">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492BAC26">
            <w:pPr>
              <w:pBdr/>
              <w:spacing w:after="0" w:before="0" w:line="240"/>
              <w:ind/>
              <w:rPr/>
            </w:pPr>
            <w:r>
              <w:rPr>
                <w:rFonts w:ascii="Times New Roman" w:hAnsi="Times New Roman" w:eastAsia="Times New Roman" w:cs="Times New Roman"/>
                <w:color w:val="000000"/>
                <w:sz w:val="24"/>
              </w:rPr>
              <w:t xml:space="preserve">Current effective rate</w:t>
            </w:r>
            <w:r/>
          </w:p>
        </w:tc>
      </w:tr>
      <w:tr>
        <w:trPr/>
        <w:tc>
          <w:tcPr>
            <w:tcBorders/>
            <w:tcMar>
              <w:left w:w="15" w:type="dxa"/>
              <w:top w:w="15" w:type="dxa"/>
              <w:right w:w="15" w:type="dxa"/>
              <w:bottom w:w="15" w:type="dxa"/>
            </w:tcMar>
            <w:tcW w:w="2203" w:type="dxa"/>
            <w:vAlign w:val="center"/>
          </w:tcPr>
          <w:p w14:paraId="5954F1FC">
            <w:pPr>
              <w:pBdr/>
              <w:spacing w:after="0" w:before="0" w:line="240"/>
              <w:ind/>
              <w:rPr/>
            </w:pPr>
            <w:r>
              <w:rPr>
                <w:rFonts w:ascii="Times New Roman" w:hAnsi="Times New Roman" w:eastAsia="Times New Roman" w:cs="Times New Roman"/>
                <w:color w:val="000000"/>
                <w:sz w:val="24"/>
              </w:rPr>
              <w:t xml:space="preserve">Rate trend</w:t>
            </w:r>
            <w:r/>
          </w:p>
        </w:tc>
        <w:tc>
          <w:tcPr>
            <w:tcBorders/>
            <w:tcMar>
              <w:left w:w="15" w:type="dxa"/>
              <w:top w:w="15" w:type="dxa"/>
              <w:right w:w="15" w:type="dxa"/>
              <w:bottom w:w="15" w:type="dxa"/>
            </w:tcMar>
            <w:tcW w:w="2133" w:type="dxa"/>
            <w:vAlign w:val="center"/>
          </w:tcPr>
          <w:p w14:paraId="6C867EE7">
            <w:pPr>
              <w:pBdr/>
              <w:spacing w:after="0" w:before="0" w:line="240"/>
              <w:ind/>
              <w:rPr/>
            </w:pPr>
            <w:r>
              <w:rPr>
                <w:rFonts w:ascii="Times New Roman" w:hAnsi="Times New Roman" w:eastAsia="Times New Roman" w:cs="Times New Roman"/>
                <w:color w:val="000000"/>
                <w:sz w:val="24"/>
              </w:rPr>
              <w:t xml:space="preserve">fed_funds_rate</w:t>
            </w:r>
            <w:r/>
          </w:p>
        </w:tc>
        <w:tc>
          <w:tcPr>
            <w:tcBorders/>
            <w:tcMar>
              <w:left w:w="15" w:type="dxa"/>
              <w:top w:w="15" w:type="dxa"/>
              <w:right w:w="15" w:type="dxa"/>
              <w:bottom w:w="15" w:type="dxa"/>
            </w:tcMar>
            <w:tcW w:w="1041" w:type="dxa"/>
            <w:vAlign w:val="center"/>
          </w:tcPr>
          <w:p w14:paraId="20BD9FED">
            <w:pPr>
              <w:pBdr/>
              <w:spacing w:after="0" w:before="0" w:line="240"/>
              <w:ind/>
              <w:rPr/>
            </w:pPr>
            <w:r>
              <w:rPr>
                <w:rFonts w:ascii="Times New Roman" w:hAnsi="Times New Roman" w:eastAsia="Times New Roman" w:cs="Times New Roman"/>
                <w:color w:val="000000"/>
                <w:sz w:val="24"/>
              </w:rPr>
              <w:t xml:space="preserve">change_pct</w:t>
            </w:r>
            <w:r/>
          </w:p>
        </w:tc>
        <w:tc>
          <w:tcPr>
            <w:tcBorders/>
            <w:tcMar>
              <w:left w:w="15" w:type="dxa"/>
              <w:top w:w="15" w:type="dxa"/>
              <w:right w:w="15" w:type="dxa"/>
              <w:bottom w:w="15" w:type="dxa"/>
            </w:tcMar>
            <w:tcW w:w="822" w:type="dxa"/>
            <w:vAlign w:val="center"/>
          </w:tcPr>
          <w:p w14:paraId="3347EFB9">
            <w:pPr>
              <w:pBdr/>
              <w:spacing w:after="0" w:before="0" w:line="240"/>
              <w:ind/>
              <w:rPr/>
            </w:pPr>
            <w:r>
              <w:rPr>
                <w:rFonts w:ascii="Times New Roman" w:hAnsi="Times New Roman" w:eastAsia="Times New Roman" w:cs="Times New Roman"/>
                <w:color w:val="000000"/>
                <w:sz w:val="24"/>
              </w:rPr>
              <w:t xml:space="preserve">90d</w:t>
            </w:r>
            <w:r/>
          </w:p>
        </w:tc>
        <w:tc>
          <w:tcPr>
            <w:tcBorders/>
            <w:tcMar>
              <w:left w:w="15" w:type="dxa"/>
              <w:top w:w="15" w:type="dxa"/>
              <w:right w:w="15" w:type="dxa"/>
              <w:bottom w:w="15" w:type="dxa"/>
            </w:tcMar>
            <w:tcW w:w="838" w:type="dxa"/>
            <w:vAlign w:val="center"/>
          </w:tcPr>
          <w:p w14:paraId="56585381">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2317" w:type="dxa"/>
            <w:vAlign w:val="center"/>
          </w:tcPr>
          <w:p w14:paraId="280ED19B">
            <w:pPr>
              <w:pBdr/>
              <w:spacing w:after="0" w:before="0" w:line="240"/>
              <w:ind/>
              <w:rPr/>
            </w:pPr>
            <w:r>
              <w:rPr>
                <w:rFonts w:ascii="Times New Roman" w:hAnsi="Times New Roman" w:eastAsia="Times New Roman" w:cs="Times New Roman"/>
                <w:color w:val="000000"/>
                <w:sz w:val="24"/>
              </w:rPr>
              <w:t xml:space="preserve">Hiking / cutting direction</w:t>
            </w:r>
            <w:r/>
          </w:p>
        </w:tc>
      </w:tr>
    </w:tbl>
    <w:p w14:paraId="237B667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B: Cross-Sectional Ranks</w:t>
      </w:r>
      <w:r/>
    </w:p>
    <w:p w14:paraId="26A64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Value for one instrument ranked against all other instruments in the signal-eligible universe at the same timestamp. These features capture relative positioning — not how extreme an instrument's funding rate is in its own history, but how extreme it is rel</w:t>
      </w:r>
      <w:r>
        <w:rPr>
          <w:rFonts w:ascii="Times New Roman" w:hAnsi="Times New Roman" w:eastAsia="Times New Roman" w:cs="Times New Roman"/>
          <w:color w:val="000000"/>
          <w:sz w:val="24"/>
        </w:rPr>
        <w:t xml:space="preserve">ative to the current market.</w:t>
      </w:r>
      <w:r/>
    </w:p>
    <w:p w14:paraId="3A2B1B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General form:</w:t>
      </w:r>
      <w:r/>
    </w:p>
    <w:p w14:paraId="5CD76A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feature = percentile_rank(metric_value, universe_at_timestamp)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52"/>
        <w:gridCol w:w="2333"/>
        <w:gridCol w:w="2920"/>
        <w:gridCol w:w="880"/>
      </w:tblGrid>
      <w:tr>
        <w:trPr/>
        <w:tc>
          <w:tcPr>
            <w:tcBorders/>
            <w:tcMar>
              <w:left w:w="15" w:type="dxa"/>
              <w:top w:w="15" w:type="dxa"/>
              <w:right w:w="15" w:type="dxa"/>
              <w:bottom w:w="15" w:type="dxa"/>
            </w:tcMar>
            <w:tcW w:w="2652" w:type="dxa"/>
            <w:vAlign w:val="center"/>
          </w:tcPr>
          <w:p w14:paraId="25232C35">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2333" w:type="dxa"/>
            <w:vAlign w:val="center"/>
          </w:tcPr>
          <w:p w14:paraId="119A4A52">
            <w:pPr>
              <w:pBdr/>
              <w:spacing w:after="0" w:before="0" w:line="240"/>
              <w:ind/>
              <w:jc w:val="center"/>
              <w:rPr/>
            </w:pPr>
            <w:r>
              <w:rPr>
                <w:rFonts w:ascii="Times New Roman" w:hAnsi="Times New Roman" w:eastAsia="Times New Roman" w:cs="Times New Roman"/>
                <w:b/>
                <w:color w:val="000000"/>
                <w:sz w:val="24"/>
              </w:rPr>
              <w:t xml:space="preserve">Input Metric Concept</w:t>
            </w:r>
            <w:r/>
          </w:p>
        </w:tc>
        <w:tc>
          <w:tcPr>
            <w:tcBorders/>
            <w:tcMar>
              <w:left w:w="15" w:type="dxa"/>
              <w:top w:w="15" w:type="dxa"/>
              <w:right w:w="15" w:type="dxa"/>
              <w:bottom w:w="15" w:type="dxa"/>
            </w:tcMar>
            <w:tcW w:w="2920" w:type="dxa"/>
            <w:vAlign w:val="center"/>
          </w:tcPr>
          <w:p w14:paraId="25EA4BCA">
            <w:pPr>
              <w:pBdr/>
              <w:spacing w:after="0" w:before="0" w:line="240"/>
              <w:ind/>
              <w:jc w:val="center"/>
              <w:rPr/>
            </w:pPr>
            <w:r>
              <w:rPr>
                <w:rFonts w:ascii="Times New Roman" w:hAnsi="Times New Roman" w:eastAsia="Times New Roman" w:cs="Times New Roman"/>
                <w:b/>
                <w:color w:val="000000"/>
                <w:sz w:val="24"/>
              </w:rPr>
              <w:t xml:space="preserve">Universe</w:t>
            </w:r>
            <w:r/>
          </w:p>
        </w:tc>
        <w:tc>
          <w:tcPr>
            <w:tcBorders/>
            <w:tcMar>
              <w:left w:w="15" w:type="dxa"/>
              <w:top w:w="15" w:type="dxa"/>
              <w:right w:w="15" w:type="dxa"/>
              <w:bottom w:w="15" w:type="dxa"/>
            </w:tcMar>
            <w:tcW w:w="880" w:type="dxa"/>
            <w:vAlign w:val="center"/>
          </w:tcPr>
          <w:p w14:paraId="19C368BA">
            <w:pPr>
              <w:pBdr/>
              <w:spacing w:after="0" w:before="0" w:line="240"/>
              <w:ind/>
              <w:jc w:val="center"/>
              <w:rPr/>
            </w:pPr>
            <w:r>
              <w:rPr>
                <w:rFonts w:ascii="Times New Roman" w:hAnsi="Times New Roman" w:eastAsia="Times New Roman" w:cs="Times New Roman"/>
                <w:b/>
                <w:color w:val="000000"/>
                <w:sz w:val="24"/>
              </w:rPr>
              <w:t xml:space="preserve">Cadence</w:t>
            </w:r>
            <w:r/>
          </w:p>
        </w:tc>
      </w:tr>
      <w:tr>
        <w:trPr/>
        <w:tc>
          <w:tcPr>
            <w:tcBorders/>
            <w:tcMar>
              <w:left w:w="15" w:type="dxa"/>
              <w:top w:w="15" w:type="dxa"/>
              <w:right w:w="15" w:type="dxa"/>
              <w:bottom w:w="15" w:type="dxa"/>
            </w:tcMar>
            <w:tcW w:w="2652" w:type="dxa"/>
            <w:vAlign w:val="center"/>
          </w:tcPr>
          <w:p w14:paraId="7BD51AA9">
            <w:pPr>
              <w:pBdr/>
              <w:spacing w:after="0" w:before="0" w:line="240"/>
              <w:ind/>
              <w:rPr/>
            </w:pPr>
            <w:r>
              <w:rPr>
                <w:rFonts w:ascii="Times New Roman" w:hAnsi="Times New Roman" w:eastAsia="Times New Roman" w:cs="Times New Roman"/>
                <w:color w:val="000000"/>
                <w:sz w:val="24"/>
              </w:rPr>
              <w:t xml:space="preserve">Funding rate rank</w:t>
            </w:r>
            <w:r/>
          </w:p>
        </w:tc>
        <w:tc>
          <w:tcPr>
            <w:tcBorders/>
            <w:tcMar>
              <w:left w:w="15" w:type="dxa"/>
              <w:top w:w="15" w:type="dxa"/>
              <w:right w:w="15" w:type="dxa"/>
              <w:bottom w:w="15" w:type="dxa"/>
            </w:tcMar>
            <w:tcW w:w="2333" w:type="dxa"/>
            <w:vAlign w:val="center"/>
          </w:tcPr>
          <w:p w14:paraId="2B18CF8C">
            <w:pPr>
              <w:pBdr/>
              <w:spacing w:after="0" w:before="0" w:line="240"/>
              <w:ind/>
              <w:rPr/>
            </w:pPr>
            <w:r>
              <w:rPr>
                <w:rFonts w:ascii="Times New Roman" w:hAnsi="Times New Roman" w:eastAsia="Times New Roman" w:cs="Times New Roman"/>
                <w:color w:val="000000"/>
                <w:sz w:val="24"/>
              </w:rPr>
              <w:t xml:space="preserve">funding_rate</w:t>
            </w:r>
            <w:r/>
          </w:p>
        </w:tc>
        <w:tc>
          <w:tcPr>
            <w:tcBorders/>
            <w:tcMar>
              <w:left w:w="15" w:type="dxa"/>
              <w:top w:w="15" w:type="dxa"/>
              <w:right w:w="15" w:type="dxa"/>
              <w:bottom w:w="15" w:type="dxa"/>
            </w:tcMar>
            <w:tcW w:w="2920" w:type="dxa"/>
            <w:vAlign w:val="center"/>
          </w:tcPr>
          <w:p w14:paraId="636E4A3A">
            <w:pPr>
              <w:pBdr/>
              <w:spacing w:after="0" w:before="0" w:line="240"/>
              <w:ind/>
              <w:rPr/>
            </w:pPr>
            <w:r>
              <w:rPr>
                <w:rFonts w:ascii="Times New Roman" w:hAnsi="Times New Roman" w:eastAsia="Times New Roman" w:cs="Times New Roman"/>
                <w:color w:val="000000"/>
                <w:sz w:val="24"/>
              </w:rPr>
              <w:t xml:space="preserve">All signal-eligible instruments</w:t>
            </w:r>
            <w:r/>
          </w:p>
        </w:tc>
        <w:tc>
          <w:tcPr>
            <w:tcBorders/>
            <w:tcMar>
              <w:left w:w="15" w:type="dxa"/>
              <w:top w:w="15" w:type="dxa"/>
              <w:right w:w="15" w:type="dxa"/>
              <w:bottom w:w="15" w:type="dxa"/>
            </w:tcMar>
            <w:tcW w:w="880" w:type="dxa"/>
            <w:vAlign w:val="center"/>
          </w:tcPr>
          <w:p w14:paraId="2FFE65F1">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2652" w:type="dxa"/>
            <w:vAlign w:val="center"/>
          </w:tcPr>
          <w:p w14:paraId="1DE02833">
            <w:pPr>
              <w:pBdr/>
              <w:spacing w:after="0" w:before="0" w:line="240"/>
              <w:ind/>
              <w:rPr/>
            </w:pPr>
            <w:r>
              <w:rPr>
                <w:rFonts w:ascii="Times New Roman" w:hAnsi="Times New Roman" w:eastAsia="Times New Roman" w:cs="Times New Roman"/>
                <w:color w:val="000000"/>
                <w:sz w:val="24"/>
              </w:rPr>
              <w:t xml:space="preserve">OI change rank</w:t>
            </w:r>
            <w:r/>
          </w:p>
        </w:tc>
        <w:tc>
          <w:tcPr>
            <w:tcBorders/>
            <w:tcMar>
              <w:left w:w="15" w:type="dxa"/>
              <w:top w:w="15" w:type="dxa"/>
              <w:right w:w="15" w:type="dxa"/>
              <w:bottom w:w="15" w:type="dxa"/>
            </w:tcMar>
            <w:tcW w:w="2333" w:type="dxa"/>
            <w:vAlign w:val="center"/>
          </w:tcPr>
          <w:p w14:paraId="697FD2F7">
            <w:pPr>
              <w:pBdr/>
              <w:spacing w:after="0" w:before="0" w:line="240"/>
              <w:ind/>
              <w:rPr/>
            </w:pPr>
            <w:r>
              <w:rPr>
                <w:rFonts w:ascii="Times New Roman" w:hAnsi="Times New Roman" w:eastAsia="Times New Roman" w:cs="Times New Roman"/>
                <w:color w:val="000000"/>
                <w:sz w:val="24"/>
              </w:rPr>
              <w:t xml:space="preserve">oi_usd_change_pct_1d</w:t>
            </w:r>
            <w:r/>
          </w:p>
        </w:tc>
        <w:tc>
          <w:tcPr>
            <w:tcBorders/>
            <w:tcMar>
              <w:left w:w="15" w:type="dxa"/>
              <w:top w:w="15" w:type="dxa"/>
              <w:right w:w="15" w:type="dxa"/>
              <w:bottom w:w="15" w:type="dxa"/>
            </w:tcMar>
            <w:tcW w:w="2920" w:type="dxa"/>
            <w:vAlign w:val="center"/>
          </w:tcPr>
          <w:p w14:paraId="091C2CF5">
            <w:pPr>
              <w:pBdr/>
              <w:spacing w:after="0" w:before="0" w:line="240"/>
              <w:ind/>
              <w:rPr/>
            </w:pPr>
            <w:r>
              <w:rPr>
                <w:rFonts w:ascii="Times New Roman" w:hAnsi="Times New Roman" w:eastAsia="Times New Roman" w:cs="Times New Roman"/>
                <w:color w:val="000000"/>
                <w:sz w:val="24"/>
              </w:rPr>
              <w:t xml:space="preserve">All signal-eligible instruments</w:t>
            </w:r>
            <w:r/>
          </w:p>
        </w:tc>
        <w:tc>
          <w:tcPr>
            <w:tcBorders/>
            <w:tcMar>
              <w:left w:w="15" w:type="dxa"/>
              <w:top w:w="15" w:type="dxa"/>
              <w:right w:w="15" w:type="dxa"/>
              <w:bottom w:w="15" w:type="dxa"/>
            </w:tcMar>
            <w:tcW w:w="880" w:type="dxa"/>
            <w:vAlign w:val="center"/>
          </w:tcPr>
          <w:p w14:paraId="68635DDB">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2652" w:type="dxa"/>
            <w:vAlign w:val="center"/>
          </w:tcPr>
          <w:p w14:paraId="244D22E2">
            <w:pPr>
              <w:pBdr/>
              <w:spacing w:after="0" w:before="0" w:line="240"/>
              <w:ind/>
              <w:rPr/>
            </w:pPr>
            <w:r>
              <w:rPr>
                <w:rFonts w:ascii="Times New Roman" w:hAnsi="Times New Roman" w:eastAsia="Times New Roman" w:cs="Times New Roman"/>
                <w:color w:val="000000"/>
                <w:sz w:val="24"/>
              </w:rPr>
              <w:t xml:space="preserve">Net flow rank</w:t>
            </w:r>
            <w:r/>
          </w:p>
        </w:tc>
        <w:tc>
          <w:tcPr>
            <w:tcBorders/>
            <w:tcMar>
              <w:left w:w="15" w:type="dxa"/>
              <w:top w:w="15" w:type="dxa"/>
              <w:right w:w="15" w:type="dxa"/>
              <w:bottom w:w="15" w:type="dxa"/>
            </w:tcMar>
            <w:tcW w:w="2333" w:type="dxa"/>
            <w:vAlign w:val="center"/>
          </w:tcPr>
          <w:p w14:paraId="593D2F9C">
            <w:pPr>
              <w:pBdr/>
              <w:spacing w:after="0" w:before="0" w:line="240"/>
              <w:ind/>
              <w:rPr/>
            </w:pPr>
            <w:r>
              <w:rPr>
                <w:rFonts w:ascii="Times New Roman" w:hAnsi="Times New Roman" w:eastAsia="Times New Roman" w:cs="Times New Roman"/>
                <w:color w:val="000000"/>
                <w:sz w:val="24"/>
              </w:rPr>
              <w:t xml:space="preserve">exchange_net_flow_usd</w:t>
            </w:r>
            <w:r/>
          </w:p>
        </w:tc>
        <w:tc>
          <w:tcPr>
            <w:tcBorders/>
            <w:tcMar>
              <w:left w:w="15" w:type="dxa"/>
              <w:top w:w="15" w:type="dxa"/>
              <w:right w:w="15" w:type="dxa"/>
              <w:bottom w:w="15" w:type="dxa"/>
            </w:tcMar>
            <w:tcW w:w="2920" w:type="dxa"/>
            <w:vAlign w:val="center"/>
          </w:tcPr>
          <w:p w14:paraId="353161E5">
            <w:pPr>
              <w:pBdr/>
              <w:spacing w:after="0" w:before="0" w:line="240"/>
              <w:ind/>
              <w:rPr/>
            </w:pPr>
            <w:r>
              <w:rPr>
                <w:rFonts w:ascii="Times New Roman" w:hAnsi="Times New Roman" w:eastAsia="Times New Roman" w:cs="Times New Roman"/>
                <w:color w:val="000000"/>
                <w:sz w:val="24"/>
              </w:rPr>
              <w:t xml:space="preserve">All signal-eligible instruments</w:t>
            </w:r>
            <w:r/>
          </w:p>
        </w:tc>
        <w:tc>
          <w:tcPr>
            <w:tcBorders/>
            <w:tcMar>
              <w:left w:w="15" w:type="dxa"/>
              <w:top w:w="15" w:type="dxa"/>
              <w:right w:w="15" w:type="dxa"/>
              <w:bottom w:w="15" w:type="dxa"/>
            </w:tcMar>
            <w:tcW w:w="880" w:type="dxa"/>
            <w:vAlign w:val="center"/>
          </w:tcPr>
          <w:p w14:paraId="7FC05450">
            <w:pPr>
              <w:pBdr/>
              <w:spacing w:after="0" w:before="0" w:line="240"/>
              <w:ind/>
              <w:rPr/>
            </w:pPr>
            <w:r>
              <w:rPr>
                <w:rFonts w:ascii="Times New Roman" w:hAnsi="Times New Roman" w:eastAsia="Times New Roman" w:cs="Times New Roman"/>
                <w:color w:val="000000"/>
                <w:sz w:val="24"/>
              </w:rPr>
              <w:t xml:space="preserve">1d</w:t>
            </w:r>
            <w:r/>
          </w:p>
        </w:tc>
      </w:tr>
      <w:tr>
        <w:trPr/>
        <w:tc>
          <w:tcPr>
            <w:tcBorders/>
            <w:tcMar>
              <w:left w:w="15" w:type="dxa"/>
              <w:top w:w="15" w:type="dxa"/>
              <w:right w:w="15" w:type="dxa"/>
              <w:bottom w:w="15" w:type="dxa"/>
            </w:tcMar>
            <w:tcW w:w="2652" w:type="dxa"/>
            <w:vAlign w:val="center"/>
          </w:tcPr>
          <w:p w14:paraId="4F34C039">
            <w:pPr>
              <w:pBdr/>
              <w:spacing w:after="0" w:before="0" w:line="240"/>
              <w:ind/>
              <w:rPr/>
            </w:pPr>
            <w:r>
              <w:rPr>
                <w:rFonts w:ascii="Times New Roman" w:hAnsi="Times New Roman" w:eastAsia="Times New Roman" w:cs="Times New Roman"/>
                <w:color w:val="000000"/>
                <w:sz w:val="24"/>
              </w:rPr>
              <w:t xml:space="preserve">Liquidation imbalance rank</w:t>
            </w:r>
            <w:r/>
          </w:p>
        </w:tc>
        <w:tc>
          <w:tcPr>
            <w:tcBorders/>
            <w:tcMar>
              <w:left w:w="15" w:type="dxa"/>
              <w:top w:w="15" w:type="dxa"/>
              <w:right w:w="15" w:type="dxa"/>
              <w:bottom w:w="15" w:type="dxa"/>
            </w:tcMar>
            <w:tcW w:w="2333" w:type="dxa"/>
            <w:vAlign w:val="center"/>
          </w:tcPr>
          <w:p w14:paraId="0BF37652">
            <w:pPr>
              <w:pBdr/>
              <w:spacing w:after="0" w:before="0" w:line="240"/>
              <w:ind/>
              <w:rPr/>
            </w:pPr>
            <w:r>
              <w:rPr>
                <w:rFonts w:ascii="Times New Roman" w:hAnsi="Times New Roman" w:eastAsia="Times New Roman" w:cs="Times New Roman"/>
                <w:color w:val="000000"/>
                <w:sz w:val="24"/>
              </w:rPr>
              <w:t xml:space="preserve">liquidation_imbalance</w:t>
            </w:r>
            <w:r/>
          </w:p>
        </w:tc>
        <w:tc>
          <w:tcPr>
            <w:tcBorders/>
            <w:tcMar>
              <w:left w:w="15" w:type="dxa"/>
              <w:top w:w="15" w:type="dxa"/>
              <w:right w:w="15" w:type="dxa"/>
              <w:bottom w:w="15" w:type="dxa"/>
            </w:tcMar>
            <w:tcW w:w="2920" w:type="dxa"/>
            <w:vAlign w:val="center"/>
          </w:tcPr>
          <w:p w14:paraId="33CD8CA4">
            <w:pPr>
              <w:pBdr/>
              <w:spacing w:after="0" w:before="0" w:line="240"/>
              <w:ind/>
              <w:rPr/>
            </w:pPr>
            <w:r>
              <w:rPr>
                <w:rFonts w:ascii="Times New Roman" w:hAnsi="Times New Roman" w:eastAsia="Times New Roman" w:cs="Times New Roman"/>
                <w:color w:val="000000"/>
                <w:sz w:val="24"/>
              </w:rPr>
              <w:t xml:space="preserve">All signal-eligible instruments</w:t>
            </w:r>
            <w:r/>
          </w:p>
        </w:tc>
        <w:tc>
          <w:tcPr>
            <w:tcBorders/>
            <w:tcMar>
              <w:left w:w="15" w:type="dxa"/>
              <w:top w:w="15" w:type="dxa"/>
              <w:right w:w="15" w:type="dxa"/>
              <w:bottom w:w="15" w:type="dxa"/>
            </w:tcMar>
            <w:tcW w:w="880" w:type="dxa"/>
            <w:vAlign w:val="center"/>
          </w:tcPr>
          <w:p w14:paraId="3A889F28">
            <w:pPr>
              <w:pBdr/>
              <w:spacing w:after="0" w:before="0" w:line="240"/>
              <w:ind/>
              <w:rPr/>
            </w:pPr>
            <w:r>
              <w:rPr>
                <w:rFonts w:ascii="Times New Roman" w:hAnsi="Times New Roman" w:eastAsia="Times New Roman" w:cs="Times New Roman"/>
                <w:color w:val="000000"/>
                <w:sz w:val="24"/>
              </w:rPr>
              <w:t xml:space="preserve">8h</w:t>
            </w:r>
            <w:r/>
          </w:p>
        </w:tc>
      </w:tr>
    </w:tbl>
    <w:p w14:paraId="093124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PIT note:</w:t>
      </w:r>
      <w:r>
        <w:rPr>
          <w:rFonts w:ascii="Times New Roman" w:hAnsi="Times New Roman" w:eastAsia="Times New Roman" w:cs="Times New Roman"/>
          <w:color w:val="000000"/>
          <w:sz w:val="24"/>
        </w:rPr>
        <w:t xml:space="preserve"> Cross-sectional ranks are computed across all instruments available at timestamp T. An instrument not yet in the signal-eligible universe at T is excluded from the ranking. This means ranks are stable — adding a new instrument in the future doesn't retroa</w:t>
      </w:r>
      <w:r>
        <w:rPr>
          <w:rFonts w:ascii="Times New Roman" w:hAnsi="Times New Roman" w:eastAsia="Times New Roman" w:cs="Times New Roman"/>
          <w:color w:val="000000"/>
          <w:sz w:val="24"/>
        </w:rPr>
        <w:t xml:space="preserve">ctively change historical rank values.</w:t>
      </w:r>
      <w:r/>
    </w:p>
    <w:p w14:paraId="665448AB">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C: Ratio and Interaction Features</w:t>
      </w:r>
      <w:r/>
    </w:p>
    <w:p w14:paraId="662F2F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Relationships between two metrics that carry information neither metric carries alone.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62"/>
        <w:gridCol w:w="3150"/>
        <w:gridCol w:w="776"/>
        <w:gridCol w:w="3366"/>
      </w:tblGrid>
      <w:tr>
        <w:trPr/>
        <w:tc>
          <w:tcPr>
            <w:tcBorders/>
            <w:tcMar>
              <w:left w:w="15" w:type="dxa"/>
              <w:top w:w="15" w:type="dxa"/>
              <w:right w:w="15" w:type="dxa"/>
              <w:bottom w:w="15" w:type="dxa"/>
            </w:tcMar>
            <w:tcW w:w="2062" w:type="dxa"/>
            <w:vAlign w:val="center"/>
          </w:tcPr>
          <w:p w14:paraId="143C19F4">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3150" w:type="dxa"/>
            <w:vAlign w:val="center"/>
          </w:tcPr>
          <w:p w14:paraId="7A685E32">
            <w:pPr>
              <w:pBdr/>
              <w:spacing w:after="0" w:before="0" w:line="240"/>
              <w:ind/>
              <w:jc w:val="center"/>
              <w:rPr/>
            </w:pPr>
            <w:r>
              <w:rPr>
                <w:rFonts w:ascii="Times New Roman" w:hAnsi="Times New Roman" w:eastAsia="Times New Roman" w:cs="Times New Roman"/>
                <w:b/>
                <w:color w:val="000000"/>
                <w:sz w:val="24"/>
              </w:rPr>
              <w:t xml:space="preserve">Formula</w:t>
            </w:r>
            <w:r/>
          </w:p>
        </w:tc>
        <w:tc>
          <w:tcPr>
            <w:tcBorders/>
            <w:tcMar>
              <w:left w:w="15" w:type="dxa"/>
              <w:top w:w="15" w:type="dxa"/>
              <w:right w:w="15" w:type="dxa"/>
              <w:bottom w:w="15" w:type="dxa"/>
            </w:tcMar>
            <w:tcW w:w="776" w:type="dxa"/>
            <w:vAlign w:val="center"/>
          </w:tcPr>
          <w:p w14:paraId="4BC675E5">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3366" w:type="dxa"/>
            <w:vAlign w:val="center"/>
          </w:tcPr>
          <w:p w14:paraId="710D2C0E">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062" w:type="dxa"/>
            <w:vAlign w:val="center"/>
          </w:tcPr>
          <w:p w14:paraId="11AB9E5C">
            <w:pPr>
              <w:pBdr/>
              <w:spacing w:after="0" w:before="0" w:line="240"/>
              <w:ind/>
              <w:rPr/>
            </w:pPr>
            <w:r>
              <w:rPr>
                <w:rFonts w:ascii="Times New Roman" w:hAnsi="Times New Roman" w:eastAsia="Times New Roman" w:cs="Times New Roman"/>
                <w:color w:val="000000"/>
                <w:sz w:val="24"/>
              </w:rPr>
              <w:t xml:space="preserve">OI-to-volume ratio</w:t>
            </w:r>
            <w:r/>
          </w:p>
        </w:tc>
        <w:tc>
          <w:tcPr>
            <w:tcBorders/>
            <w:tcMar>
              <w:left w:w="15" w:type="dxa"/>
              <w:top w:w="15" w:type="dxa"/>
              <w:right w:w="15" w:type="dxa"/>
              <w:bottom w:w="15" w:type="dxa"/>
            </w:tcMar>
            <w:tcW w:w="3150" w:type="dxa"/>
            <w:vAlign w:val="center"/>
          </w:tcPr>
          <w:p w14:paraId="43B2A320">
            <w:pPr>
              <w:pBdr/>
              <w:spacing w:after="0" w:before="0" w:line="240"/>
              <w:ind/>
              <w:rPr/>
            </w:pPr>
            <w:r>
              <w:rPr>
                <w:rFonts w:ascii="Times New Roman" w:hAnsi="Times New Roman" w:eastAsia="Times New Roman" w:cs="Times New Roman"/>
                <w:color w:val="000000"/>
                <w:sz w:val="24"/>
              </w:rPr>
              <w:t xml:space="preserve">oi_usd / spot_volume_usd</w:t>
            </w:r>
            <w:r/>
          </w:p>
        </w:tc>
        <w:tc>
          <w:tcPr>
            <w:tcBorders/>
            <w:tcMar>
              <w:left w:w="15" w:type="dxa"/>
              <w:top w:w="15" w:type="dxa"/>
              <w:right w:w="15" w:type="dxa"/>
              <w:bottom w:w="15" w:type="dxa"/>
            </w:tcMar>
            <w:tcW w:w="776" w:type="dxa"/>
            <w:vAlign w:val="center"/>
          </w:tcPr>
          <w:p w14:paraId="46526AB9">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366" w:type="dxa"/>
            <w:vAlign w:val="center"/>
          </w:tcPr>
          <w:p w14:paraId="3103AB76">
            <w:pPr>
              <w:pBdr/>
              <w:spacing w:after="0" w:before="0" w:line="240"/>
              <w:ind/>
              <w:rPr/>
            </w:pPr>
            <w:r>
              <w:rPr>
                <w:rFonts w:ascii="Times New Roman" w:hAnsi="Times New Roman" w:eastAsia="Times New Roman" w:cs="Times New Roman"/>
                <w:color w:val="000000"/>
                <w:sz w:val="24"/>
              </w:rPr>
              <w:t xml:space="preserve">Leverage relative to activity</w:t>
            </w:r>
            <w:r/>
          </w:p>
        </w:tc>
      </w:tr>
      <w:tr>
        <w:trPr/>
        <w:tc>
          <w:tcPr>
            <w:tcBorders/>
            <w:tcMar>
              <w:left w:w="15" w:type="dxa"/>
              <w:top w:w="15" w:type="dxa"/>
              <w:right w:w="15" w:type="dxa"/>
              <w:bottom w:w="15" w:type="dxa"/>
            </w:tcMar>
            <w:tcW w:w="2062" w:type="dxa"/>
            <w:vAlign w:val="center"/>
          </w:tcPr>
          <w:p w14:paraId="240F580D">
            <w:pPr>
              <w:pBdr/>
              <w:spacing w:after="0" w:before="0" w:line="240"/>
              <w:ind/>
              <w:rPr/>
            </w:pPr>
            <w:r>
              <w:rPr>
                <w:rFonts w:ascii="Times New Roman" w:hAnsi="Times New Roman" w:eastAsia="Times New Roman" w:cs="Times New Roman"/>
                <w:color w:val="000000"/>
                <w:sz w:val="24"/>
              </w:rPr>
              <w:t xml:space="preserve">OI-to-volume zscore</w:t>
            </w:r>
            <w:r/>
          </w:p>
        </w:tc>
        <w:tc>
          <w:tcPr>
            <w:tcBorders/>
            <w:tcMar>
              <w:left w:w="15" w:type="dxa"/>
              <w:top w:w="15" w:type="dxa"/>
              <w:right w:w="15" w:type="dxa"/>
              <w:bottom w:w="15" w:type="dxa"/>
            </w:tcMar>
            <w:tcW w:w="3150" w:type="dxa"/>
            <w:vAlign w:val="center"/>
          </w:tcPr>
          <w:p w14:paraId="10EB0BD3">
            <w:pPr>
              <w:pBdr/>
              <w:spacing w:after="0" w:before="0" w:line="240"/>
              <w:ind/>
              <w:rPr/>
            </w:pPr>
            <w:r>
              <w:rPr>
                <w:rFonts w:ascii="Times New Roman" w:hAnsi="Times New Roman" w:eastAsia="Times New Roman" w:cs="Times New Roman"/>
                <w:color w:val="000000"/>
                <w:sz w:val="24"/>
              </w:rPr>
              <w:t xml:space="preserve">zscore(oi_to_volume, 30d)</w:t>
            </w:r>
            <w:r/>
          </w:p>
        </w:tc>
        <w:tc>
          <w:tcPr>
            <w:tcBorders/>
            <w:tcMar>
              <w:left w:w="15" w:type="dxa"/>
              <w:top w:w="15" w:type="dxa"/>
              <w:right w:w="15" w:type="dxa"/>
              <w:bottom w:w="15" w:type="dxa"/>
            </w:tcMar>
            <w:tcW w:w="776" w:type="dxa"/>
            <w:vAlign w:val="center"/>
          </w:tcPr>
          <w:p w14:paraId="2FAE4D9A">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366" w:type="dxa"/>
            <w:vAlign w:val="center"/>
          </w:tcPr>
          <w:p w14:paraId="73CA73D6">
            <w:pPr>
              <w:pBdr/>
              <w:spacing w:after="0" w:before="0" w:line="240"/>
              <w:ind/>
              <w:rPr/>
            </w:pPr>
            <w:r/>
          </w:p>
        </w:tc>
      </w:tr>
      <w:tr>
        <w:trPr/>
        <w:tc>
          <w:tcPr>
            <w:tcBorders/>
            <w:tcMar>
              <w:left w:w="15" w:type="dxa"/>
              <w:top w:w="15" w:type="dxa"/>
              <w:right w:w="15" w:type="dxa"/>
              <w:bottom w:w="15" w:type="dxa"/>
            </w:tcMar>
            <w:tcW w:w="2062" w:type="dxa"/>
            <w:vAlign w:val="center"/>
          </w:tcPr>
          <w:p w14:paraId="40F18318">
            <w:pPr>
              <w:pBdr/>
              <w:spacing w:after="0" w:before="0" w:line="240"/>
              <w:ind/>
              <w:rPr/>
            </w:pPr>
            <w:r>
              <w:rPr>
                <w:rFonts w:ascii="Times New Roman" w:hAnsi="Times New Roman" w:eastAsia="Times New Roman" w:cs="Times New Roman"/>
                <w:color w:val="000000"/>
                <w:sz w:val="24"/>
              </w:rPr>
              <w:t xml:space="preserve">Liquidation-to-OI ratio</w:t>
            </w:r>
            <w:r/>
          </w:p>
        </w:tc>
        <w:tc>
          <w:tcPr>
            <w:tcBorders/>
            <w:tcMar>
              <w:left w:w="15" w:type="dxa"/>
              <w:top w:w="15" w:type="dxa"/>
              <w:right w:w="15" w:type="dxa"/>
              <w:bottom w:w="15" w:type="dxa"/>
            </w:tcMar>
            <w:tcW w:w="3150" w:type="dxa"/>
            <w:vAlign w:val="center"/>
          </w:tcPr>
          <w:p w14:paraId="744AD5A5">
            <w:pPr>
              <w:pBdr/>
              <w:spacing w:after="0" w:before="0" w:line="240"/>
              <w:ind/>
              <w:rPr/>
            </w:pPr>
            <w:r>
              <w:rPr>
                <w:rFonts w:ascii="Times New Roman" w:hAnsi="Times New Roman" w:eastAsia="Times New Roman" w:cs="Times New Roman"/>
                <w:color w:val="000000"/>
                <w:sz w:val="24"/>
              </w:rPr>
              <w:t xml:space="preserve">(long_liq + short_liq) / oi_usd</w:t>
            </w:r>
            <w:r/>
          </w:p>
        </w:tc>
        <w:tc>
          <w:tcPr>
            <w:tcBorders/>
            <w:tcMar>
              <w:left w:w="15" w:type="dxa"/>
              <w:top w:w="15" w:type="dxa"/>
              <w:right w:w="15" w:type="dxa"/>
              <w:bottom w:w="15" w:type="dxa"/>
            </w:tcMar>
            <w:tcW w:w="776" w:type="dxa"/>
            <w:vAlign w:val="center"/>
          </w:tcPr>
          <w:p w14:paraId="0EC175F0">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366" w:type="dxa"/>
            <w:vAlign w:val="center"/>
          </w:tcPr>
          <w:p w14:paraId="64813525">
            <w:pPr>
              <w:pBdr/>
              <w:spacing w:after="0" w:before="0" w:line="240"/>
              <w:ind/>
              <w:rPr/>
            </w:pPr>
            <w:r>
              <w:rPr>
                <w:rFonts w:ascii="Times New Roman" w:hAnsi="Times New Roman" w:eastAsia="Times New Roman" w:cs="Times New Roman"/>
                <w:color w:val="000000"/>
                <w:sz w:val="24"/>
              </w:rPr>
              <w:t xml:space="preserve">Leverage stress indicator</w:t>
            </w:r>
            <w:r/>
          </w:p>
        </w:tc>
      </w:tr>
      <w:tr>
        <w:trPr/>
        <w:tc>
          <w:tcPr>
            <w:tcBorders/>
            <w:tcMar>
              <w:left w:w="15" w:type="dxa"/>
              <w:top w:w="15" w:type="dxa"/>
              <w:right w:w="15" w:type="dxa"/>
              <w:bottom w:w="15" w:type="dxa"/>
            </w:tcMar>
            <w:tcW w:w="2062" w:type="dxa"/>
            <w:vAlign w:val="center"/>
          </w:tcPr>
          <w:p w14:paraId="087D3259">
            <w:pPr>
              <w:pBdr/>
              <w:spacing w:after="0" w:before="0" w:line="240"/>
              <w:ind/>
              <w:rPr/>
            </w:pPr>
            <w:r>
              <w:rPr>
                <w:rFonts w:ascii="Times New Roman" w:hAnsi="Times New Roman" w:eastAsia="Times New Roman" w:cs="Times New Roman"/>
                <w:color w:val="000000"/>
                <w:sz w:val="24"/>
              </w:rPr>
              <w:t xml:space="preserve">Flow-to-OI ratio</w:t>
            </w:r>
            <w:r/>
          </w:p>
        </w:tc>
        <w:tc>
          <w:tcPr>
            <w:tcBorders/>
            <w:tcMar>
              <w:left w:w="15" w:type="dxa"/>
              <w:top w:w="15" w:type="dxa"/>
              <w:right w:w="15" w:type="dxa"/>
              <w:bottom w:w="15" w:type="dxa"/>
            </w:tcMar>
            <w:tcW w:w="3150" w:type="dxa"/>
            <w:vAlign w:val="center"/>
          </w:tcPr>
          <w:p w14:paraId="57D439F9">
            <w:pPr>
              <w:pBdr/>
              <w:spacing w:after="0" w:before="0" w:line="240"/>
              <w:ind/>
              <w:rPr/>
            </w:pPr>
            <w:r>
              <w:rPr>
                <w:rFonts w:ascii="Times New Roman" w:hAnsi="Times New Roman" w:eastAsia="Times New Roman" w:cs="Times New Roman"/>
                <w:color w:val="000000"/>
                <w:sz w:val="24"/>
              </w:rPr>
              <w:t xml:space="preserve">exchange_net_flow_usd / oi_usd</w:t>
            </w:r>
            <w:r/>
          </w:p>
        </w:tc>
        <w:tc>
          <w:tcPr>
            <w:tcBorders/>
            <w:tcMar>
              <w:left w:w="15" w:type="dxa"/>
              <w:top w:w="15" w:type="dxa"/>
              <w:right w:w="15" w:type="dxa"/>
              <w:bottom w:w="15" w:type="dxa"/>
            </w:tcMar>
            <w:tcW w:w="776" w:type="dxa"/>
            <w:vAlign w:val="center"/>
          </w:tcPr>
          <w:p w14:paraId="3C9A1E3C">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3366" w:type="dxa"/>
            <w:vAlign w:val="center"/>
          </w:tcPr>
          <w:p w14:paraId="1FE3EB87">
            <w:pPr>
              <w:pBdr/>
              <w:spacing w:after="0" w:before="0" w:line="240"/>
              <w:ind/>
              <w:rPr/>
            </w:pPr>
            <w:r>
              <w:rPr>
                <w:rFonts w:ascii="Times New Roman" w:hAnsi="Times New Roman" w:eastAsia="Times New Roman" w:cs="Times New Roman"/>
                <w:color w:val="000000"/>
                <w:sz w:val="24"/>
              </w:rPr>
              <w:t xml:space="preserve">Capital movement vs. open positions</w:t>
            </w:r>
            <w:r/>
          </w:p>
        </w:tc>
      </w:tr>
      <w:tr>
        <w:trPr/>
        <w:tc>
          <w:tcPr>
            <w:tcBorders/>
            <w:tcMar>
              <w:left w:w="15" w:type="dxa"/>
              <w:top w:w="15" w:type="dxa"/>
              <w:right w:w="15" w:type="dxa"/>
              <w:bottom w:w="15" w:type="dxa"/>
            </w:tcMar>
            <w:tcW w:w="2062" w:type="dxa"/>
            <w:vAlign w:val="center"/>
          </w:tcPr>
          <w:p w14:paraId="1AD44C2E">
            <w:pPr>
              <w:pBdr/>
              <w:spacing w:after="0" w:before="0" w:line="240"/>
              <w:ind/>
              <w:rPr/>
            </w:pPr>
            <w:r>
              <w:rPr>
                <w:rFonts w:ascii="Times New Roman" w:hAnsi="Times New Roman" w:eastAsia="Times New Roman" w:cs="Times New Roman"/>
                <w:color w:val="000000"/>
                <w:sz w:val="24"/>
              </w:rPr>
              <w:t xml:space="preserve">Funding-to-basis spread</w:t>
            </w:r>
            <w:r/>
          </w:p>
        </w:tc>
        <w:tc>
          <w:tcPr>
            <w:tcBorders/>
            <w:tcMar>
              <w:left w:w="15" w:type="dxa"/>
              <w:top w:w="15" w:type="dxa"/>
              <w:right w:w="15" w:type="dxa"/>
              <w:bottom w:w="15" w:type="dxa"/>
            </w:tcMar>
            <w:tcW w:w="3150" w:type="dxa"/>
            <w:vAlign w:val="center"/>
          </w:tcPr>
          <w:p w14:paraId="05CC8AC7">
            <w:pPr>
              <w:pBdr/>
              <w:spacing w:after="0" w:before="0" w:line="240"/>
              <w:ind/>
              <w:rPr/>
            </w:pPr>
            <w:r>
              <w:rPr>
                <w:rFonts w:ascii="Times New Roman" w:hAnsi="Times New Roman" w:eastAsia="Times New Roman" w:cs="Times New Roman"/>
                <w:color w:val="000000"/>
                <w:sz w:val="24"/>
              </w:rPr>
              <w:t xml:space="preserve">funding_rate - perp_basis</w:t>
            </w:r>
            <w:r/>
          </w:p>
        </w:tc>
        <w:tc>
          <w:tcPr>
            <w:tcBorders/>
            <w:tcMar>
              <w:left w:w="15" w:type="dxa"/>
              <w:top w:w="15" w:type="dxa"/>
              <w:right w:w="15" w:type="dxa"/>
              <w:bottom w:w="15" w:type="dxa"/>
            </w:tcMar>
            <w:tcW w:w="776" w:type="dxa"/>
            <w:vAlign w:val="center"/>
          </w:tcPr>
          <w:p w14:paraId="0E839F7D">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3366" w:type="dxa"/>
            <w:vAlign w:val="center"/>
          </w:tcPr>
          <w:p w14:paraId="7351C3FE">
            <w:pPr>
              <w:pBdr/>
              <w:spacing w:after="0" w:before="0" w:line="240"/>
              <w:ind/>
              <w:rPr/>
            </w:pPr>
            <w:r>
              <w:rPr>
                <w:rFonts w:ascii="Times New Roman" w:hAnsi="Times New Roman" w:eastAsia="Times New Roman" w:cs="Times New Roman"/>
                <w:color w:val="000000"/>
                <w:sz w:val="24"/>
              </w:rPr>
              <w:t xml:space="preserve">Arbitrage pressure</w:t>
            </w:r>
            <w:r/>
          </w:p>
        </w:tc>
      </w:tr>
      <w:tr>
        <w:trPr/>
        <w:tc>
          <w:tcPr>
            <w:tcBorders/>
            <w:tcMar>
              <w:left w:w="15" w:type="dxa"/>
              <w:top w:w="15" w:type="dxa"/>
              <w:right w:w="15" w:type="dxa"/>
              <w:bottom w:w="15" w:type="dxa"/>
            </w:tcMar>
            <w:tcW w:w="2062" w:type="dxa"/>
            <w:vAlign w:val="center"/>
          </w:tcPr>
          <w:p w14:paraId="7590F41E">
            <w:pPr>
              <w:pBdr/>
              <w:spacing w:after="0" w:before="0" w:line="240"/>
              <w:ind/>
              <w:rPr/>
            </w:pPr>
            <w:r>
              <w:rPr>
                <w:rFonts w:ascii="Times New Roman" w:hAnsi="Times New Roman" w:eastAsia="Times New Roman" w:cs="Times New Roman"/>
                <w:color w:val="000000"/>
                <w:sz w:val="24"/>
              </w:rPr>
              <w:t xml:space="preserve">Stablecoin-to-DeFi ratio</w:t>
            </w:r>
            <w:r/>
          </w:p>
        </w:tc>
        <w:tc>
          <w:tcPr>
            <w:tcBorders/>
            <w:tcMar>
              <w:left w:w="15" w:type="dxa"/>
              <w:top w:w="15" w:type="dxa"/>
              <w:right w:w="15" w:type="dxa"/>
              <w:bottom w:w="15" w:type="dxa"/>
            </w:tcMar>
            <w:tcW w:w="3150" w:type="dxa"/>
            <w:vAlign w:val="center"/>
          </w:tcPr>
          <w:p w14:paraId="12EBE747">
            <w:pPr>
              <w:pBdr/>
              <w:spacing w:after="0" w:before="0" w:line="240"/>
              <w:ind/>
              <w:rPr/>
            </w:pPr>
            <w:r>
              <w:rPr>
                <w:rFonts w:ascii="Times New Roman" w:hAnsi="Times New Roman" w:eastAsia="Times New Roman" w:cs="Times New Roman"/>
                <w:color w:val="000000"/>
                <w:sz w:val="24"/>
              </w:rPr>
              <w:t xml:space="preserve">stablecoin_supply_usd / defi_tvl_usd</w:t>
            </w:r>
            <w:r/>
          </w:p>
        </w:tc>
        <w:tc>
          <w:tcPr>
            <w:tcBorders/>
            <w:tcMar>
              <w:left w:w="15" w:type="dxa"/>
              <w:top w:w="15" w:type="dxa"/>
              <w:right w:w="15" w:type="dxa"/>
              <w:bottom w:w="15" w:type="dxa"/>
            </w:tcMar>
            <w:tcW w:w="776" w:type="dxa"/>
            <w:vAlign w:val="center"/>
          </w:tcPr>
          <w:p w14:paraId="2867323E">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3366" w:type="dxa"/>
            <w:vAlign w:val="center"/>
          </w:tcPr>
          <w:p w14:paraId="41CB7CFB">
            <w:pPr>
              <w:pBdr/>
              <w:spacing w:after="0" w:before="0" w:line="240"/>
              <w:ind/>
              <w:rPr/>
            </w:pPr>
            <w:r>
              <w:rPr>
                <w:rFonts w:ascii="Times New Roman" w:hAnsi="Times New Roman" w:eastAsia="Times New Roman" w:cs="Times New Roman"/>
                <w:color w:val="000000"/>
                <w:sz w:val="24"/>
              </w:rPr>
              <w:t xml:space="preserve">Dry powder relative to deployed capital</w:t>
            </w:r>
            <w:r/>
          </w:p>
        </w:tc>
      </w:tr>
      <w:tr>
        <w:trPr/>
        <w:tc>
          <w:tcPr>
            <w:tcBorders/>
            <w:tcMar>
              <w:left w:w="15" w:type="dxa"/>
              <w:top w:w="15" w:type="dxa"/>
              <w:right w:w="15" w:type="dxa"/>
              <w:bottom w:w="15" w:type="dxa"/>
            </w:tcMar>
            <w:tcW w:w="2062" w:type="dxa"/>
            <w:vAlign w:val="center"/>
          </w:tcPr>
          <w:p w14:paraId="39258EDE">
            <w:pPr>
              <w:pBdr/>
              <w:spacing w:after="0" w:before="0" w:line="240"/>
              <w:ind/>
              <w:rPr/>
            </w:pPr>
            <w:r>
              <w:rPr>
                <w:rFonts w:ascii="Times New Roman" w:hAnsi="Times New Roman" w:eastAsia="Times New Roman" w:cs="Times New Roman"/>
                <w:color w:val="000000"/>
                <w:sz w:val="24"/>
              </w:rPr>
              <w:t xml:space="preserve">ETF flow-to-OI ratio</w:t>
            </w:r>
            <w:r/>
          </w:p>
        </w:tc>
        <w:tc>
          <w:tcPr>
            <w:tcBorders/>
            <w:tcMar>
              <w:left w:w="15" w:type="dxa"/>
              <w:top w:w="15" w:type="dxa"/>
              <w:right w:w="15" w:type="dxa"/>
              <w:bottom w:w="15" w:type="dxa"/>
            </w:tcMar>
            <w:tcW w:w="3150" w:type="dxa"/>
            <w:vAlign w:val="center"/>
          </w:tcPr>
          <w:p w14:paraId="1D48B502">
            <w:pPr>
              <w:pBdr/>
              <w:spacing w:after="0" w:before="0" w:line="240"/>
              <w:ind/>
              <w:rPr/>
            </w:pPr>
            <w:r>
              <w:rPr>
                <w:rFonts w:ascii="Times New Roman" w:hAnsi="Times New Roman" w:eastAsia="Times New Roman" w:cs="Times New Roman"/>
                <w:color w:val="000000"/>
                <w:sz w:val="24"/>
              </w:rPr>
              <w:t xml:space="preserve">etf_net_flow_usd / oi_usd</w:t>
            </w:r>
            <w:r/>
          </w:p>
        </w:tc>
        <w:tc>
          <w:tcPr>
            <w:tcBorders/>
            <w:tcMar>
              <w:left w:w="15" w:type="dxa"/>
              <w:top w:w="15" w:type="dxa"/>
              <w:right w:w="15" w:type="dxa"/>
              <w:bottom w:w="15" w:type="dxa"/>
            </w:tcMar>
            <w:tcW w:w="776" w:type="dxa"/>
            <w:vAlign w:val="center"/>
          </w:tcPr>
          <w:p w14:paraId="0A801447">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3366" w:type="dxa"/>
            <w:vAlign w:val="center"/>
          </w:tcPr>
          <w:p w14:paraId="60E28586">
            <w:pPr>
              <w:pBdr/>
              <w:spacing w:after="0" w:before="0" w:line="240"/>
              <w:ind/>
              <w:rPr/>
            </w:pPr>
            <w:r>
              <w:rPr>
                <w:rFonts w:ascii="Times New Roman" w:hAnsi="Times New Roman" w:eastAsia="Times New Roman" w:cs="Times New Roman"/>
                <w:color w:val="000000"/>
                <w:sz w:val="24"/>
              </w:rPr>
              <w:t xml:space="preserve">Institutional vs. derivatives demand</w:t>
            </w:r>
            <w:r/>
          </w:p>
        </w:tc>
      </w:tr>
    </w:tbl>
    <w:p w14:paraId="136EAAB5">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D: Regime and State Labels</w:t>
      </w:r>
      <w:r/>
    </w:p>
    <w:p w14:paraId="79FE84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Discrete state labels computed from continuous metrics. Used as features in ML models and as the basis for the regime classification output in Layer 5.</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62"/>
        <w:gridCol w:w="6503"/>
        <w:gridCol w:w="988"/>
        <w:gridCol w:w="601"/>
      </w:tblGrid>
      <w:tr>
        <w:trPr/>
        <w:tc>
          <w:tcPr>
            <w:tcBorders/>
            <w:tcMar>
              <w:left w:w="15" w:type="dxa"/>
              <w:top w:w="15" w:type="dxa"/>
              <w:right w:w="15" w:type="dxa"/>
              <w:bottom w:w="15" w:type="dxa"/>
            </w:tcMar>
            <w:tcW w:w="1262" w:type="dxa"/>
            <w:vAlign w:val="center"/>
          </w:tcPr>
          <w:p w14:paraId="270819F5">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6503" w:type="dxa"/>
            <w:vAlign w:val="center"/>
          </w:tcPr>
          <w:p w14:paraId="48CE0518">
            <w:pPr>
              <w:pBdr/>
              <w:spacing w:after="0" w:before="0" w:line="240"/>
              <w:ind/>
              <w:jc w:val="center"/>
              <w:rPr/>
            </w:pPr>
            <w:r>
              <w:rPr>
                <w:rFonts w:ascii="Times New Roman" w:hAnsi="Times New Roman" w:eastAsia="Times New Roman" w:cs="Times New Roman"/>
                <w:b/>
                <w:color w:val="000000"/>
                <w:sz w:val="24"/>
              </w:rPr>
              <w:t xml:space="preserve">Computation</w:t>
            </w:r>
            <w:r/>
          </w:p>
        </w:tc>
        <w:tc>
          <w:tcPr>
            <w:tcBorders/>
            <w:tcMar>
              <w:left w:w="15" w:type="dxa"/>
              <w:top w:w="15" w:type="dxa"/>
              <w:right w:w="15" w:type="dxa"/>
              <w:bottom w:w="15" w:type="dxa"/>
            </w:tcMar>
            <w:tcW w:w="988" w:type="dxa"/>
            <w:vAlign w:val="center"/>
          </w:tcPr>
          <w:p w14:paraId="7775EDA4">
            <w:pPr>
              <w:pBdr/>
              <w:spacing w:after="0" w:before="0" w:line="240"/>
              <w:ind/>
              <w:jc w:val="center"/>
              <w:rPr/>
            </w:pPr>
            <w:r>
              <w:rPr>
                <w:rFonts w:ascii="Times New Roman" w:hAnsi="Times New Roman" w:eastAsia="Times New Roman" w:cs="Times New Roman"/>
                <w:b/>
                <w:color w:val="000000"/>
                <w:sz w:val="24"/>
              </w:rPr>
              <w:t xml:space="preserve">Output type</w:t>
            </w:r>
            <w:r/>
          </w:p>
        </w:tc>
        <w:tc>
          <w:tcPr>
            <w:tcBorders/>
            <w:tcMar>
              <w:left w:w="15" w:type="dxa"/>
              <w:top w:w="15" w:type="dxa"/>
              <w:right w:w="15" w:type="dxa"/>
              <w:bottom w:w="15" w:type="dxa"/>
            </w:tcMar>
            <w:tcW w:w="601" w:type="dxa"/>
            <w:vAlign w:val="center"/>
          </w:tcPr>
          <w:p w14:paraId="668A37C1">
            <w:pPr>
              <w:pBdr/>
              <w:spacing w:after="0" w:before="0" w:line="240"/>
              <w:ind/>
              <w:jc w:val="center"/>
              <w:rPr/>
            </w:pPr>
            <w:r>
              <w:rPr>
                <w:rFonts w:ascii="Times New Roman" w:hAnsi="Times New Roman" w:eastAsia="Times New Roman" w:cs="Times New Roman"/>
                <w:b/>
                <w:color w:val="000000"/>
                <w:sz w:val="24"/>
              </w:rPr>
              <w:t xml:space="preserve">Cadence</w:t>
            </w:r>
            <w:r/>
          </w:p>
        </w:tc>
      </w:tr>
      <w:tr>
        <w:trPr/>
        <w:tc>
          <w:tcPr>
            <w:tcBorders/>
            <w:tcMar>
              <w:left w:w="15" w:type="dxa"/>
              <w:top w:w="15" w:type="dxa"/>
              <w:right w:w="15" w:type="dxa"/>
              <w:bottom w:w="15" w:type="dxa"/>
            </w:tcMar>
            <w:tcW w:w="1262" w:type="dxa"/>
            <w:vAlign w:val="center"/>
          </w:tcPr>
          <w:p w14:paraId="230CE30C">
            <w:pPr>
              <w:pBdr/>
              <w:spacing w:after="0" w:before="0" w:line="240"/>
              <w:ind/>
              <w:rPr/>
            </w:pPr>
            <w:r>
              <w:rPr>
                <w:rFonts w:ascii="Times New Roman" w:hAnsi="Times New Roman" w:eastAsia="Times New Roman" w:cs="Times New Roman"/>
                <w:color w:val="000000"/>
                <w:sz w:val="24"/>
              </w:rPr>
              <w:t xml:space="preserve">Funding regime</w:t>
            </w:r>
            <w:r/>
          </w:p>
        </w:tc>
        <w:tc>
          <w:tcPr>
            <w:tcBorders/>
            <w:tcMar>
              <w:left w:w="15" w:type="dxa"/>
              <w:top w:w="15" w:type="dxa"/>
              <w:right w:w="15" w:type="dxa"/>
              <w:bottom w:w="15" w:type="dxa"/>
            </w:tcMar>
            <w:tcW w:w="6503" w:type="dxa"/>
            <w:vAlign w:val="center"/>
          </w:tcPr>
          <w:p w14:paraId="6B9B62D7">
            <w:pPr>
              <w:pBdr/>
              <w:spacing w:after="0" w:before="0" w:line="240"/>
              <w:ind/>
              <w:rPr/>
            </w:pPr>
            <w:r>
              <w:rPr>
                <w:rFonts w:ascii="Times New Roman" w:hAnsi="Times New Roman" w:eastAsia="Times New Roman" w:cs="Times New Roman"/>
                <w:color w:val="000000"/>
                <w:sz w:val="24"/>
              </w:rPr>
              <w:t xml:space="preserve">Discretize funding_rate_zscore_30d: &gt;1.5 = ELEVATED, &lt;-1.5 = SUPPRESSED, else NEUTRAL</w:t>
            </w:r>
            <w:r/>
          </w:p>
        </w:tc>
        <w:tc>
          <w:tcPr>
            <w:tcBorders/>
            <w:tcMar>
              <w:left w:w="15" w:type="dxa"/>
              <w:top w:w="15" w:type="dxa"/>
              <w:right w:w="15" w:type="dxa"/>
              <w:bottom w:w="15" w:type="dxa"/>
            </w:tcMar>
            <w:tcW w:w="988" w:type="dxa"/>
            <w:vAlign w:val="center"/>
          </w:tcPr>
          <w:p w14:paraId="43378901">
            <w:pPr>
              <w:pBdr/>
              <w:spacing w:after="0" w:before="0" w:line="240"/>
              <w:ind/>
              <w:rPr/>
            </w:pPr>
            <w:r>
              <w:rPr>
                <w:rFonts w:ascii="Times New Roman" w:hAnsi="Times New Roman" w:eastAsia="Times New Roman" w:cs="Times New Roman"/>
                <w:color w:val="000000"/>
                <w:sz w:val="24"/>
              </w:rPr>
              <w:t xml:space="preserve">Categorical (3)</w:t>
            </w:r>
            <w:r/>
          </w:p>
        </w:tc>
        <w:tc>
          <w:tcPr>
            <w:tcBorders/>
            <w:tcMar>
              <w:left w:w="15" w:type="dxa"/>
              <w:top w:w="15" w:type="dxa"/>
              <w:right w:w="15" w:type="dxa"/>
              <w:bottom w:w="15" w:type="dxa"/>
            </w:tcMar>
            <w:tcW w:w="601" w:type="dxa"/>
            <w:vAlign w:val="center"/>
          </w:tcPr>
          <w:p w14:paraId="66D2C8A4">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1262" w:type="dxa"/>
            <w:vAlign w:val="center"/>
          </w:tcPr>
          <w:p w14:paraId="11D70BB7">
            <w:pPr>
              <w:pBdr/>
              <w:spacing w:after="0" w:before="0" w:line="240"/>
              <w:ind/>
              <w:rPr/>
            </w:pPr>
            <w:r>
              <w:rPr>
                <w:rFonts w:ascii="Times New Roman" w:hAnsi="Times New Roman" w:eastAsia="Times New Roman" w:cs="Times New Roman"/>
                <w:color w:val="000000"/>
                <w:sz w:val="24"/>
              </w:rPr>
              <w:t xml:space="preserve">OI regime</w:t>
            </w:r>
            <w:r/>
          </w:p>
        </w:tc>
        <w:tc>
          <w:tcPr>
            <w:tcBorders/>
            <w:tcMar>
              <w:left w:w="15" w:type="dxa"/>
              <w:top w:w="15" w:type="dxa"/>
              <w:right w:w="15" w:type="dxa"/>
              <w:bottom w:w="15" w:type="dxa"/>
            </w:tcMar>
            <w:tcW w:w="6503" w:type="dxa"/>
            <w:vAlign w:val="center"/>
          </w:tcPr>
          <w:p w14:paraId="1EB5BFD2">
            <w:pPr>
              <w:pBdr/>
              <w:spacing w:after="0" w:before="0" w:line="240"/>
              <w:ind/>
              <w:rPr/>
            </w:pPr>
            <w:r>
              <w:rPr>
                <w:rFonts w:ascii="Times New Roman" w:hAnsi="Times New Roman" w:eastAsia="Times New Roman" w:cs="Times New Roman"/>
                <w:color w:val="000000"/>
                <w:sz w:val="24"/>
              </w:rPr>
              <w:t xml:space="preserve">Discretize oi_zscore_30d: &gt;1.5 = HIGH, &lt;-1.5 = LOW, else NORMAL</w:t>
            </w:r>
            <w:r/>
          </w:p>
        </w:tc>
        <w:tc>
          <w:tcPr>
            <w:tcBorders/>
            <w:tcMar>
              <w:left w:w="15" w:type="dxa"/>
              <w:top w:w="15" w:type="dxa"/>
              <w:right w:w="15" w:type="dxa"/>
              <w:bottom w:w="15" w:type="dxa"/>
            </w:tcMar>
            <w:tcW w:w="988" w:type="dxa"/>
            <w:vAlign w:val="center"/>
          </w:tcPr>
          <w:p w14:paraId="76D276FA">
            <w:pPr>
              <w:pBdr/>
              <w:spacing w:after="0" w:before="0" w:line="240"/>
              <w:ind/>
              <w:rPr/>
            </w:pPr>
            <w:r>
              <w:rPr>
                <w:rFonts w:ascii="Times New Roman" w:hAnsi="Times New Roman" w:eastAsia="Times New Roman" w:cs="Times New Roman"/>
                <w:color w:val="000000"/>
                <w:sz w:val="24"/>
              </w:rPr>
              <w:t xml:space="preserve">Categorical (3)</w:t>
            </w:r>
            <w:r/>
          </w:p>
        </w:tc>
        <w:tc>
          <w:tcPr>
            <w:tcBorders/>
            <w:tcMar>
              <w:left w:w="15" w:type="dxa"/>
              <w:top w:w="15" w:type="dxa"/>
              <w:right w:w="15" w:type="dxa"/>
              <w:bottom w:w="15" w:type="dxa"/>
            </w:tcMar>
            <w:tcW w:w="601" w:type="dxa"/>
            <w:vAlign w:val="center"/>
          </w:tcPr>
          <w:p w14:paraId="14A12470">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1262" w:type="dxa"/>
            <w:vAlign w:val="center"/>
          </w:tcPr>
          <w:p w14:paraId="557A1B25">
            <w:pPr>
              <w:pBdr/>
              <w:spacing w:after="0" w:before="0" w:line="240"/>
              <w:ind/>
              <w:rPr/>
            </w:pPr>
            <w:r>
              <w:rPr>
                <w:rFonts w:ascii="Times New Roman" w:hAnsi="Times New Roman" w:eastAsia="Times New Roman" w:cs="Times New Roman"/>
                <w:color w:val="000000"/>
                <w:sz w:val="24"/>
              </w:rPr>
              <w:t xml:space="preserve">Macro regime</w:t>
            </w:r>
            <w:r/>
          </w:p>
        </w:tc>
        <w:tc>
          <w:tcPr>
            <w:tcBorders/>
            <w:tcMar>
              <w:left w:w="15" w:type="dxa"/>
              <w:top w:w="15" w:type="dxa"/>
              <w:right w:w="15" w:type="dxa"/>
              <w:bottom w:w="15" w:type="dxa"/>
            </w:tcMar>
            <w:tcW w:w="6503" w:type="dxa"/>
            <w:vAlign w:val="center"/>
          </w:tcPr>
          <w:p w14:paraId="559A1CA4">
            <w:pPr>
              <w:pBdr/>
              <w:spacing w:after="0" w:before="0" w:line="240"/>
              <w:ind/>
              <w:rPr/>
            </w:pPr>
            <w:r>
              <w:rPr>
                <w:rFonts w:ascii="Times New Roman" w:hAnsi="Times New Roman" w:eastAsia="Times New Roman" w:cs="Times New Roman"/>
                <w:color w:val="000000"/>
                <w:sz w:val="24"/>
              </w:rPr>
              <w:t xml:space="preserve">Classify from yield curve + credit spread + DXY composite</w:t>
            </w:r>
            <w:r/>
          </w:p>
        </w:tc>
        <w:tc>
          <w:tcPr>
            <w:tcBorders/>
            <w:tcMar>
              <w:left w:w="15" w:type="dxa"/>
              <w:top w:w="15" w:type="dxa"/>
              <w:right w:w="15" w:type="dxa"/>
              <w:bottom w:w="15" w:type="dxa"/>
            </w:tcMar>
            <w:tcW w:w="988" w:type="dxa"/>
            <w:vAlign w:val="center"/>
          </w:tcPr>
          <w:p w14:paraId="3E40450D">
            <w:pPr>
              <w:pBdr/>
              <w:spacing w:after="0" w:before="0" w:line="240"/>
              <w:ind/>
              <w:rPr/>
            </w:pPr>
            <w:r>
              <w:rPr>
                <w:rFonts w:ascii="Times New Roman" w:hAnsi="Times New Roman" w:eastAsia="Times New Roman" w:cs="Times New Roman"/>
                <w:color w:val="000000"/>
                <w:sz w:val="24"/>
              </w:rPr>
              <w:t xml:space="preserve">Categorical (3)</w:t>
            </w:r>
            <w:r/>
          </w:p>
        </w:tc>
        <w:tc>
          <w:tcPr>
            <w:tcBorders/>
            <w:tcMar>
              <w:left w:w="15" w:type="dxa"/>
              <w:top w:w="15" w:type="dxa"/>
              <w:right w:w="15" w:type="dxa"/>
              <w:bottom w:w="15" w:type="dxa"/>
            </w:tcMar>
            <w:tcW w:w="601" w:type="dxa"/>
            <w:vAlign w:val="center"/>
          </w:tcPr>
          <w:p w14:paraId="2266EED7">
            <w:pPr>
              <w:pBdr/>
              <w:spacing w:after="0" w:before="0" w:line="240"/>
              <w:ind/>
              <w:rPr/>
            </w:pPr>
            <w:r>
              <w:rPr>
                <w:rFonts w:ascii="Times New Roman" w:hAnsi="Times New Roman" w:eastAsia="Times New Roman" w:cs="Times New Roman"/>
                <w:color w:val="000000"/>
                <w:sz w:val="24"/>
              </w:rPr>
              <w:t xml:space="preserve">1d</w:t>
            </w:r>
            <w:r/>
          </w:p>
        </w:tc>
      </w:tr>
      <w:tr>
        <w:trPr/>
        <w:tc>
          <w:tcPr>
            <w:tcBorders/>
            <w:tcMar>
              <w:left w:w="15" w:type="dxa"/>
              <w:top w:w="15" w:type="dxa"/>
              <w:right w:w="15" w:type="dxa"/>
              <w:bottom w:w="15" w:type="dxa"/>
            </w:tcMar>
            <w:tcW w:w="1262" w:type="dxa"/>
            <w:vAlign w:val="center"/>
          </w:tcPr>
          <w:p w14:paraId="7DB475BB">
            <w:pPr>
              <w:pBdr/>
              <w:spacing w:after="0" w:before="0" w:line="240"/>
              <w:ind/>
              <w:rPr/>
            </w:pPr>
            <w:r>
              <w:rPr>
                <w:rFonts w:ascii="Times New Roman" w:hAnsi="Times New Roman" w:eastAsia="Times New Roman" w:cs="Times New Roman"/>
                <w:color w:val="000000"/>
                <w:sz w:val="24"/>
              </w:rPr>
              <w:t xml:space="preserve">Liquidation regime</w:t>
            </w:r>
            <w:r/>
          </w:p>
        </w:tc>
        <w:tc>
          <w:tcPr>
            <w:tcBorders/>
            <w:tcMar>
              <w:left w:w="15" w:type="dxa"/>
              <w:top w:w="15" w:type="dxa"/>
              <w:right w:w="15" w:type="dxa"/>
              <w:bottom w:w="15" w:type="dxa"/>
            </w:tcMar>
            <w:tcW w:w="6503" w:type="dxa"/>
            <w:vAlign w:val="center"/>
          </w:tcPr>
          <w:p w14:paraId="52C09780">
            <w:pPr>
              <w:pBdr/>
              <w:spacing w:after="0" w:before="0" w:line="240"/>
              <w:ind/>
              <w:rPr/>
            </w:pPr>
            <w:r>
              <w:rPr>
                <w:rFonts w:ascii="Times New Roman" w:hAnsi="Times New Roman" w:eastAsia="Times New Roman" w:cs="Times New Roman"/>
                <w:color w:val="000000"/>
                <w:sz w:val="24"/>
              </w:rPr>
              <w:t xml:space="preserve">Classify from liquidation_imbalance + liquidation_zscore</w:t>
            </w:r>
            <w:r/>
          </w:p>
        </w:tc>
        <w:tc>
          <w:tcPr>
            <w:tcBorders/>
            <w:tcMar>
              <w:left w:w="15" w:type="dxa"/>
              <w:top w:w="15" w:type="dxa"/>
              <w:right w:w="15" w:type="dxa"/>
              <w:bottom w:w="15" w:type="dxa"/>
            </w:tcMar>
            <w:tcW w:w="988" w:type="dxa"/>
            <w:vAlign w:val="center"/>
          </w:tcPr>
          <w:p w14:paraId="1D554181">
            <w:pPr>
              <w:pBdr/>
              <w:spacing w:after="0" w:before="0" w:line="240"/>
              <w:ind/>
              <w:rPr/>
            </w:pPr>
            <w:r>
              <w:rPr>
                <w:rFonts w:ascii="Times New Roman" w:hAnsi="Times New Roman" w:eastAsia="Times New Roman" w:cs="Times New Roman"/>
                <w:color w:val="000000"/>
                <w:sz w:val="24"/>
              </w:rPr>
              <w:t xml:space="preserve">Categorical (3)</w:t>
            </w:r>
            <w:r/>
          </w:p>
        </w:tc>
        <w:tc>
          <w:tcPr>
            <w:tcBorders/>
            <w:tcMar>
              <w:left w:w="15" w:type="dxa"/>
              <w:top w:w="15" w:type="dxa"/>
              <w:right w:w="15" w:type="dxa"/>
              <w:bottom w:w="15" w:type="dxa"/>
            </w:tcMar>
            <w:tcW w:w="601" w:type="dxa"/>
            <w:vAlign w:val="center"/>
          </w:tcPr>
          <w:p w14:paraId="0A7699E5">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1262" w:type="dxa"/>
            <w:vAlign w:val="center"/>
          </w:tcPr>
          <w:p w14:paraId="24916CA6">
            <w:pPr>
              <w:pBdr/>
              <w:spacing w:after="0" w:before="0" w:line="240"/>
              <w:ind/>
              <w:rPr/>
            </w:pPr>
            <w:r>
              <w:rPr>
                <w:rFonts w:ascii="Times New Roman" w:hAnsi="Times New Roman" w:eastAsia="Times New Roman" w:cs="Times New Roman"/>
                <w:color w:val="000000"/>
                <w:sz w:val="24"/>
              </w:rPr>
              <w:t xml:space="preserve">Market regime</w:t>
            </w:r>
            <w:r/>
          </w:p>
        </w:tc>
        <w:tc>
          <w:tcPr>
            <w:tcBorders/>
            <w:tcMar>
              <w:left w:w="15" w:type="dxa"/>
              <w:top w:w="15" w:type="dxa"/>
              <w:right w:w="15" w:type="dxa"/>
              <w:bottom w:w="15" w:type="dxa"/>
            </w:tcMar>
            <w:tcW w:w="6503" w:type="dxa"/>
            <w:vAlign w:val="center"/>
          </w:tcPr>
          <w:p w14:paraId="29B28D4D">
            <w:pPr>
              <w:pBdr/>
              <w:spacing w:after="0" w:before="0" w:line="240"/>
              <w:ind/>
              <w:rPr/>
            </w:pPr>
            <w:r>
              <w:rPr>
                <w:rFonts w:ascii="Times New Roman" w:hAnsi="Times New Roman" w:eastAsia="Times New Roman" w:cs="Times New Roman"/>
                <w:color w:val="000000"/>
                <w:sz w:val="24"/>
              </w:rPr>
              <w:t xml:space="preserve">RISK_ON / RISK_OFF / TRANSITION — the top-level regime output</w:t>
            </w:r>
            <w:r/>
          </w:p>
        </w:tc>
        <w:tc>
          <w:tcPr>
            <w:tcBorders/>
            <w:tcMar>
              <w:left w:w="15" w:type="dxa"/>
              <w:top w:w="15" w:type="dxa"/>
              <w:right w:w="15" w:type="dxa"/>
              <w:bottom w:w="15" w:type="dxa"/>
            </w:tcMar>
            <w:tcW w:w="988" w:type="dxa"/>
            <w:vAlign w:val="center"/>
          </w:tcPr>
          <w:p w14:paraId="072E1540">
            <w:pPr>
              <w:pBdr/>
              <w:spacing w:after="0" w:before="0" w:line="240"/>
              <w:ind/>
              <w:rPr/>
            </w:pPr>
            <w:r>
              <w:rPr>
                <w:rFonts w:ascii="Times New Roman" w:hAnsi="Times New Roman" w:eastAsia="Times New Roman" w:cs="Times New Roman"/>
                <w:color w:val="000000"/>
                <w:sz w:val="24"/>
              </w:rPr>
              <w:t xml:space="preserve">Categorical (3)</w:t>
            </w:r>
            <w:r/>
          </w:p>
        </w:tc>
        <w:tc>
          <w:tcPr>
            <w:tcBorders/>
            <w:tcMar>
              <w:left w:w="15" w:type="dxa"/>
              <w:top w:w="15" w:type="dxa"/>
              <w:right w:w="15" w:type="dxa"/>
              <w:bottom w:w="15" w:type="dxa"/>
            </w:tcMar>
            <w:tcW w:w="601" w:type="dxa"/>
            <w:vAlign w:val="center"/>
          </w:tcPr>
          <w:p w14:paraId="3DC6DE74">
            <w:pPr>
              <w:pBdr/>
              <w:spacing w:after="0" w:before="0" w:line="240"/>
              <w:ind/>
              <w:rPr/>
            </w:pPr>
            <w:r>
              <w:rPr>
                <w:rFonts w:ascii="Times New Roman" w:hAnsi="Times New Roman" w:eastAsia="Times New Roman" w:cs="Times New Roman"/>
                <w:color w:val="000000"/>
                <w:sz w:val="24"/>
              </w:rPr>
              <w:t xml:space="preserve">1d</w:t>
            </w:r>
            <w:r/>
          </w:p>
        </w:tc>
      </w:tr>
    </w:tbl>
    <w:p w14:paraId="43331B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Market regime computation:</w:t>
      </w:r>
      <w:r>
        <w:rPr>
          <w:rFonts w:ascii="Times New Roman" w:hAnsi="Times New Roman" w:eastAsia="Times New Roman" w:cs="Times New Roman"/>
          <w:color w:val="000000"/>
          <w:sz w:val="24"/>
        </w:rPr>
        <w:t xml:space="preserve"> A separate lightweight LightGBM classifier (specified in Thread 2) consumes macro features + breadth features and produces the market regime label. This classifier has its own training and graduation protocol. It is not derived from the per-instrument mod</w:t>
      </w:r>
      <w:r>
        <w:rPr>
          <w:rFonts w:ascii="Times New Roman" w:hAnsi="Times New Roman" w:eastAsia="Times New Roman" w:cs="Times New Roman"/>
          <w:color w:val="000000"/>
          <w:sz w:val="24"/>
        </w:rPr>
        <w:t xml:space="preserve">els.</w:t>
      </w:r>
      <w:r/>
    </w:p>
    <w:p w14:paraId="06CDFA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Regime label is market-level.</w:t>
      </w:r>
      <w:r>
        <w:rPr>
          <w:rFonts w:ascii="Times New Roman" w:hAnsi="Times New Roman" w:eastAsia="Times New Roman" w:cs="Times New Roman"/>
          <w:color w:val="000000"/>
          <w:sz w:val="24"/>
        </w:rPr>
        <w:t xml:space="preserve"> It is not per-instrument. Every instrument's signal output carries the same regime label at a given timestamp.</w:t>
      </w:r>
      <w:r/>
    </w:p>
    <w:p w14:paraId="48998F1A">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E: Calendar and Structural Features</w:t>
      </w:r>
      <w:r/>
    </w:p>
    <w:p w14:paraId="6DEFD3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Time-based features that capture systematic patterns. These are deterministic given a timestamp — no metric data required.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71"/>
        <w:gridCol w:w="3825"/>
        <w:gridCol w:w="3358"/>
      </w:tblGrid>
      <w:tr>
        <w:trPr/>
        <w:tc>
          <w:tcPr>
            <w:tcBorders/>
            <w:tcMar>
              <w:left w:w="15" w:type="dxa"/>
              <w:top w:w="15" w:type="dxa"/>
              <w:right w:w="15" w:type="dxa"/>
              <w:bottom w:w="15" w:type="dxa"/>
            </w:tcMar>
            <w:tcW w:w="2171" w:type="dxa"/>
            <w:vAlign w:val="center"/>
          </w:tcPr>
          <w:p w14:paraId="1546FC0A">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3825" w:type="dxa"/>
            <w:vAlign w:val="center"/>
          </w:tcPr>
          <w:p w14:paraId="67E204CB">
            <w:pPr>
              <w:pBdr/>
              <w:spacing w:after="0" w:before="0" w:line="240"/>
              <w:ind/>
              <w:jc w:val="center"/>
              <w:rPr/>
            </w:pPr>
            <w:r>
              <w:rPr>
                <w:rFonts w:ascii="Times New Roman" w:hAnsi="Times New Roman" w:eastAsia="Times New Roman" w:cs="Times New Roman"/>
                <w:b/>
                <w:color w:val="000000"/>
                <w:sz w:val="24"/>
              </w:rPr>
              <w:t xml:space="preserve">Computation</w:t>
            </w:r>
            <w:r/>
          </w:p>
        </w:tc>
        <w:tc>
          <w:tcPr>
            <w:tcBorders/>
            <w:tcMar>
              <w:left w:w="15" w:type="dxa"/>
              <w:top w:w="15" w:type="dxa"/>
              <w:right w:w="15" w:type="dxa"/>
              <w:bottom w:w="15" w:type="dxa"/>
            </w:tcMar>
            <w:tcW w:w="3358" w:type="dxa"/>
            <w:vAlign w:val="center"/>
          </w:tcPr>
          <w:p w14:paraId="1A305FC5">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171" w:type="dxa"/>
            <w:vAlign w:val="center"/>
          </w:tcPr>
          <w:p w14:paraId="0119830F">
            <w:pPr>
              <w:pBdr/>
              <w:spacing w:after="0" w:before="0" w:line="240"/>
              <w:ind/>
              <w:rPr/>
            </w:pPr>
            <w:r>
              <w:rPr>
                <w:rFonts w:ascii="Times New Roman" w:hAnsi="Times New Roman" w:eastAsia="Times New Roman" w:cs="Times New Roman"/>
                <w:color w:val="000000"/>
                <w:sz w:val="24"/>
              </w:rPr>
              <w:t xml:space="preserve">Day of week</w:t>
            </w:r>
            <w:r/>
          </w:p>
        </w:tc>
        <w:tc>
          <w:tcPr>
            <w:tcBorders/>
            <w:tcMar>
              <w:left w:w="15" w:type="dxa"/>
              <w:top w:w="15" w:type="dxa"/>
              <w:right w:w="15" w:type="dxa"/>
              <w:bottom w:w="15" w:type="dxa"/>
            </w:tcMar>
            <w:tcW w:w="3825" w:type="dxa"/>
            <w:vAlign w:val="center"/>
          </w:tcPr>
          <w:p w14:paraId="45026FB9">
            <w:pPr>
              <w:pBdr/>
              <w:spacing w:after="0" w:before="0" w:line="240"/>
              <w:ind/>
              <w:rPr/>
            </w:pPr>
            <w:r>
              <w:rPr>
                <w:rFonts w:ascii="Times New Roman" w:hAnsi="Times New Roman" w:eastAsia="Times New Roman" w:cs="Times New Roman"/>
                <w:color w:val="000000"/>
                <w:sz w:val="24"/>
              </w:rPr>
              <w:t xml:space="preserve">Integer 0–6</w:t>
            </w:r>
            <w:r/>
          </w:p>
        </w:tc>
        <w:tc>
          <w:tcPr>
            <w:tcBorders/>
            <w:tcMar>
              <w:left w:w="15" w:type="dxa"/>
              <w:top w:w="15" w:type="dxa"/>
              <w:right w:w="15" w:type="dxa"/>
              <w:bottom w:w="15" w:type="dxa"/>
            </w:tcMar>
            <w:tcW w:w="3358" w:type="dxa"/>
            <w:vAlign w:val="center"/>
          </w:tcPr>
          <w:p w14:paraId="2DB9BF43">
            <w:pPr>
              <w:pBdr/>
              <w:spacing w:after="0" w:before="0" w:line="240"/>
              <w:ind/>
              <w:rPr/>
            </w:pPr>
            <w:r>
              <w:rPr>
                <w:rFonts w:ascii="Times New Roman" w:hAnsi="Times New Roman" w:eastAsia="Times New Roman" w:cs="Times New Roman"/>
                <w:color w:val="000000"/>
                <w:sz w:val="24"/>
              </w:rPr>
              <w:t xml:space="preserve">Weekend vs. weekday liquidity patterns</w:t>
            </w:r>
            <w:r/>
          </w:p>
        </w:tc>
      </w:tr>
      <w:tr>
        <w:trPr/>
        <w:tc>
          <w:tcPr>
            <w:tcBorders/>
            <w:tcMar>
              <w:left w:w="15" w:type="dxa"/>
              <w:top w:w="15" w:type="dxa"/>
              <w:right w:w="15" w:type="dxa"/>
              <w:bottom w:w="15" w:type="dxa"/>
            </w:tcMar>
            <w:tcW w:w="2171" w:type="dxa"/>
            <w:vAlign w:val="center"/>
          </w:tcPr>
          <w:p w14:paraId="32E6956E">
            <w:pPr>
              <w:pBdr/>
              <w:spacing w:after="0" w:before="0" w:line="240"/>
              <w:ind/>
              <w:rPr/>
            </w:pPr>
            <w:r>
              <w:rPr>
                <w:rFonts w:ascii="Times New Roman" w:hAnsi="Times New Roman" w:eastAsia="Times New Roman" w:cs="Times New Roman"/>
                <w:color w:val="000000"/>
                <w:sz w:val="24"/>
              </w:rPr>
              <w:t xml:space="preserve">Day of month</w:t>
            </w:r>
            <w:r/>
          </w:p>
        </w:tc>
        <w:tc>
          <w:tcPr>
            <w:tcBorders/>
            <w:tcMar>
              <w:left w:w="15" w:type="dxa"/>
              <w:top w:w="15" w:type="dxa"/>
              <w:right w:w="15" w:type="dxa"/>
              <w:bottom w:w="15" w:type="dxa"/>
            </w:tcMar>
            <w:tcW w:w="3825" w:type="dxa"/>
            <w:vAlign w:val="center"/>
          </w:tcPr>
          <w:p w14:paraId="2630E89C">
            <w:pPr>
              <w:pBdr/>
              <w:spacing w:after="0" w:before="0" w:line="240"/>
              <w:ind/>
              <w:rPr/>
            </w:pPr>
            <w:r>
              <w:rPr>
                <w:rFonts w:ascii="Times New Roman" w:hAnsi="Times New Roman" w:eastAsia="Times New Roman" w:cs="Times New Roman"/>
                <w:color w:val="000000"/>
                <w:sz w:val="24"/>
              </w:rPr>
              <w:t xml:space="preserve">Integer 1–31</w:t>
            </w:r>
            <w:r/>
          </w:p>
        </w:tc>
        <w:tc>
          <w:tcPr>
            <w:tcBorders/>
            <w:tcMar>
              <w:left w:w="15" w:type="dxa"/>
              <w:top w:w="15" w:type="dxa"/>
              <w:right w:w="15" w:type="dxa"/>
              <w:bottom w:w="15" w:type="dxa"/>
            </w:tcMar>
            <w:tcW w:w="3358" w:type="dxa"/>
            <w:vAlign w:val="center"/>
          </w:tcPr>
          <w:p w14:paraId="20497D51">
            <w:pPr>
              <w:pBdr/>
              <w:spacing w:after="0" w:before="0" w:line="240"/>
              <w:ind/>
              <w:rPr/>
            </w:pPr>
            <w:r>
              <w:rPr>
                <w:rFonts w:ascii="Times New Roman" w:hAnsi="Times New Roman" w:eastAsia="Times New Roman" w:cs="Times New Roman"/>
                <w:color w:val="000000"/>
                <w:sz w:val="24"/>
              </w:rPr>
              <w:t xml:space="preserve">Month-end flows, options expiry clustering</w:t>
            </w:r>
            <w:r/>
          </w:p>
        </w:tc>
      </w:tr>
      <w:tr>
        <w:trPr/>
        <w:tc>
          <w:tcPr>
            <w:tcBorders/>
            <w:tcMar>
              <w:left w:w="15" w:type="dxa"/>
              <w:top w:w="15" w:type="dxa"/>
              <w:right w:w="15" w:type="dxa"/>
              <w:bottom w:w="15" w:type="dxa"/>
            </w:tcMar>
            <w:tcW w:w="2171" w:type="dxa"/>
            <w:vAlign w:val="center"/>
          </w:tcPr>
          <w:p w14:paraId="2CCB585C">
            <w:pPr>
              <w:pBdr/>
              <w:spacing w:after="0" w:before="0" w:line="240"/>
              <w:ind/>
              <w:rPr/>
            </w:pPr>
            <w:r>
              <w:rPr>
                <w:rFonts w:ascii="Times New Roman" w:hAnsi="Times New Roman" w:eastAsia="Times New Roman" w:cs="Times New Roman"/>
                <w:color w:val="000000"/>
                <w:sz w:val="24"/>
              </w:rPr>
              <w:t xml:space="preserve">Days to options expiry</w:t>
            </w:r>
            <w:r/>
          </w:p>
        </w:tc>
        <w:tc>
          <w:tcPr>
            <w:tcBorders/>
            <w:tcMar>
              <w:left w:w="15" w:type="dxa"/>
              <w:top w:w="15" w:type="dxa"/>
              <w:right w:w="15" w:type="dxa"/>
              <w:bottom w:w="15" w:type="dxa"/>
            </w:tcMar>
            <w:tcW w:w="3825" w:type="dxa"/>
            <w:vAlign w:val="center"/>
          </w:tcPr>
          <w:p w14:paraId="46BECE85">
            <w:pPr>
              <w:pBdr/>
              <w:spacing w:after="0" w:before="0" w:line="240"/>
              <w:ind/>
              <w:rPr/>
            </w:pPr>
            <w:r>
              <w:rPr>
                <w:rFonts w:ascii="Times New Roman" w:hAnsi="Times New Roman" w:eastAsia="Times New Roman" w:cs="Times New Roman"/>
                <w:color w:val="000000"/>
                <w:sz w:val="24"/>
              </w:rPr>
              <w:t xml:space="preserve">Calendar distance to next standard options expiry</w:t>
            </w:r>
            <w:r/>
          </w:p>
        </w:tc>
        <w:tc>
          <w:tcPr>
            <w:tcBorders/>
            <w:tcMar>
              <w:left w:w="15" w:type="dxa"/>
              <w:top w:w="15" w:type="dxa"/>
              <w:right w:w="15" w:type="dxa"/>
              <w:bottom w:w="15" w:type="dxa"/>
            </w:tcMar>
            <w:tcW w:w="3358" w:type="dxa"/>
            <w:vAlign w:val="center"/>
          </w:tcPr>
          <w:p w14:paraId="2169161F">
            <w:pPr>
              <w:pBdr/>
              <w:spacing w:after="0" w:before="0" w:line="240"/>
              <w:ind/>
              <w:rPr/>
            </w:pPr>
            <w:r>
              <w:rPr>
                <w:rFonts w:ascii="Times New Roman" w:hAnsi="Times New Roman" w:eastAsia="Times New Roman" w:cs="Times New Roman"/>
                <w:color w:val="000000"/>
                <w:sz w:val="24"/>
              </w:rPr>
              <w:t xml:space="preserve">Deribit monthly cycle</w:t>
            </w:r>
            <w:r/>
          </w:p>
        </w:tc>
      </w:tr>
      <w:tr>
        <w:trPr/>
        <w:tc>
          <w:tcPr>
            <w:tcBorders/>
            <w:tcMar>
              <w:left w:w="15" w:type="dxa"/>
              <w:top w:w="15" w:type="dxa"/>
              <w:right w:w="15" w:type="dxa"/>
              <w:bottom w:w="15" w:type="dxa"/>
            </w:tcMar>
            <w:tcW w:w="2171" w:type="dxa"/>
            <w:vAlign w:val="center"/>
          </w:tcPr>
          <w:p w14:paraId="5A763C0C">
            <w:pPr>
              <w:pBdr/>
              <w:spacing w:after="0" w:before="0" w:line="240"/>
              <w:ind/>
              <w:rPr/>
            </w:pPr>
            <w:r>
              <w:rPr>
                <w:rFonts w:ascii="Times New Roman" w:hAnsi="Times New Roman" w:eastAsia="Times New Roman" w:cs="Times New Roman"/>
                <w:color w:val="000000"/>
                <w:sz w:val="24"/>
              </w:rPr>
              <w:t xml:space="preserve">Days since last Fed meeting</w:t>
            </w:r>
            <w:r/>
          </w:p>
        </w:tc>
        <w:tc>
          <w:tcPr>
            <w:tcBorders/>
            <w:tcMar>
              <w:left w:w="15" w:type="dxa"/>
              <w:top w:w="15" w:type="dxa"/>
              <w:right w:w="15" w:type="dxa"/>
              <w:bottom w:w="15" w:type="dxa"/>
            </w:tcMar>
            <w:tcW w:w="3825" w:type="dxa"/>
            <w:vAlign w:val="center"/>
          </w:tcPr>
          <w:p w14:paraId="0AFF11C5">
            <w:pPr>
              <w:pBdr/>
              <w:spacing w:after="0" w:before="0" w:line="240"/>
              <w:ind/>
              <w:rPr/>
            </w:pPr>
            <w:r>
              <w:rPr>
                <w:rFonts w:ascii="Times New Roman" w:hAnsi="Times New Roman" w:eastAsia="Times New Roman" w:cs="Times New Roman"/>
                <w:color w:val="000000"/>
                <w:sz w:val="24"/>
              </w:rPr>
              <w:t xml:space="preserve">Calendar distance backward</w:t>
            </w:r>
            <w:r/>
          </w:p>
        </w:tc>
        <w:tc>
          <w:tcPr>
            <w:tcBorders/>
            <w:tcMar>
              <w:left w:w="15" w:type="dxa"/>
              <w:top w:w="15" w:type="dxa"/>
              <w:right w:w="15" w:type="dxa"/>
              <w:bottom w:w="15" w:type="dxa"/>
            </w:tcMar>
            <w:tcW w:w="3358" w:type="dxa"/>
            <w:vAlign w:val="center"/>
          </w:tcPr>
          <w:p w14:paraId="51FAD7BB">
            <w:pPr>
              <w:pBdr/>
              <w:spacing w:after="0" w:before="0" w:line="240"/>
              <w:ind/>
              <w:rPr/>
            </w:pPr>
            <w:r>
              <w:rPr>
                <w:rFonts w:ascii="Times New Roman" w:hAnsi="Times New Roman" w:eastAsia="Times New Roman" w:cs="Times New Roman"/>
                <w:color w:val="000000"/>
                <w:sz w:val="24"/>
              </w:rPr>
              <w:t xml:space="preserve">Macro regime context</w:t>
            </w:r>
            <w:r/>
          </w:p>
        </w:tc>
      </w:tr>
      <w:tr>
        <w:trPr/>
        <w:tc>
          <w:tcPr>
            <w:tcBorders/>
            <w:tcMar>
              <w:left w:w="15" w:type="dxa"/>
              <w:top w:w="15" w:type="dxa"/>
              <w:right w:w="15" w:type="dxa"/>
              <w:bottom w:w="15" w:type="dxa"/>
            </w:tcMar>
            <w:tcW w:w="2171" w:type="dxa"/>
            <w:vAlign w:val="center"/>
          </w:tcPr>
          <w:p w14:paraId="31CCF683">
            <w:pPr>
              <w:pBdr/>
              <w:spacing w:after="0" w:before="0" w:line="240"/>
              <w:ind/>
              <w:rPr/>
            </w:pPr>
            <w:r>
              <w:rPr>
                <w:rFonts w:ascii="Times New Roman" w:hAnsi="Times New Roman" w:eastAsia="Times New Roman" w:cs="Times New Roman"/>
                <w:color w:val="000000"/>
                <w:sz w:val="24"/>
              </w:rPr>
              <w:t xml:space="preserve">Days to next Fed meeting</w:t>
            </w:r>
            <w:r/>
          </w:p>
        </w:tc>
        <w:tc>
          <w:tcPr>
            <w:tcBorders/>
            <w:tcMar>
              <w:left w:w="15" w:type="dxa"/>
              <w:top w:w="15" w:type="dxa"/>
              <w:right w:w="15" w:type="dxa"/>
              <w:bottom w:w="15" w:type="dxa"/>
            </w:tcMar>
            <w:tcW w:w="3825" w:type="dxa"/>
            <w:vAlign w:val="center"/>
          </w:tcPr>
          <w:p w14:paraId="6A891CB8">
            <w:pPr>
              <w:pBdr/>
              <w:spacing w:after="0" w:before="0" w:line="240"/>
              <w:ind/>
              <w:rPr/>
            </w:pPr>
            <w:r>
              <w:rPr>
                <w:rFonts w:ascii="Times New Roman" w:hAnsi="Times New Roman" w:eastAsia="Times New Roman" w:cs="Times New Roman"/>
                <w:color w:val="000000"/>
                <w:sz w:val="24"/>
              </w:rPr>
              <w:t xml:space="preserve">Calendar distance forward</w:t>
            </w:r>
            <w:r/>
          </w:p>
        </w:tc>
        <w:tc>
          <w:tcPr>
            <w:tcBorders/>
            <w:tcMar>
              <w:left w:w="15" w:type="dxa"/>
              <w:top w:w="15" w:type="dxa"/>
              <w:right w:w="15" w:type="dxa"/>
              <w:bottom w:w="15" w:type="dxa"/>
            </w:tcMar>
            <w:tcW w:w="3358" w:type="dxa"/>
            <w:vAlign w:val="center"/>
          </w:tcPr>
          <w:p w14:paraId="0A17DCB1">
            <w:pPr>
              <w:pBdr/>
              <w:spacing w:after="0" w:before="0" w:line="240"/>
              <w:ind/>
              <w:rPr/>
            </w:pPr>
            <w:r/>
          </w:p>
        </w:tc>
      </w:tr>
      <w:tr>
        <w:trPr/>
        <w:tc>
          <w:tcPr>
            <w:tcBorders/>
            <w:tcMar>
              <w:left w:w="15" w:type="dxa"/>
              <w:top w:w="15" w:type="dxa"/>
              <w:right w:w="15" w:type="dxa"/>
              <w:bottom w:w="15" w:type="dxa"/>
            </w:tcMar>
            <w:tcW w:w="2171" w:type="dxa"/>
            <w:vAlign w:val="center"/>
          </w:tcPr>
          <w:p w14:paraId="2DD2449C">
            <w:pPr>
              <w:pBdr/>
              <w:spacing w:after="0" w:before="0" w:line="240"/>
              <w:ind/>
              <w:rPr/>
            </w:pPr>
            <w:r>
              <w:rPr>
                <w:rFonts w:ascii="Times New Roman" w:hAnsi="Times New Roman" w:eastAsia="Times New Roman" w:cs="Times New Roman"/>
                <w:color w:val="000000"/>
                <w:sz w:val="24"/>
              </w:rPr>
              <w:t xml:space="preserve">Funding period index</w:t>
            </w:r>
            <w:r/>
          </w:p>
        </w:tc>
        <w:tc>
          <w:tcPr>
            <w:tcBorders/>
            <w:tcMar>
              <w:left w:w="15" w:type="dxa"/>
              <w:top w:w="15" w:type="dxa"/>
              <w:right w:w="15" w:type="dxa"/>
              <w:bottom w:w="15" w:type="dxa"/>
            </w:tcMar>
            <w:tcW w:w="3825" w:type="dxa"/>
            <w:vAlign w:val="center"/>
          </w:tcPr>
          <w:p w14:paraId="490D46B4">
            <w:pPr>
              <w:pBdr/>
              <w:spacing w:after="0" w:before="0" w:line="240"/>
              <w:ind/>
              <w:rPr/>
            </w:pPr>
            <w:r>
              <w:rPr>
                <w:rFonts w:ascii="Times New Roman" w:hAnsi="Times New Roman" w:eastAsia="Times New Roman" w:cs="Times New Roman"/>
                <w:color w:val="000000"/>
                <w:sz w:val="24"/>
              </w:rPr>
              <w:t xml:space="preserve">Which 8h funding period (0, 1, 2)</w:t>
            </w:r>
            <w:r/>
          </w:p>
        </w:tc>
        <w:tc>
          <w:tcPr>
            <w:tcBorders/>
            <w:tcMar>
              <w:left w:w="15" w:type="dxa"/>
              <w:top w:w="15" w:type="dxa"/>
              <w:right w:w="15" w:type="dxa"/>
              <w:bottom w:w="15" w:type="dxa"/>
            </w:tcMar>
            <w:tcW w:w="3358" w:type="dxa"/>
            <w:vAlign w:val="center"/>
          </w:tcPr>
          <w:p w14:paraId="0A68892E">
            <w:pPr>
              <w:pBdr/>
              <w:spacing w:after="0" w:before="0" w:line="240"/>
              <w:ind/>
              <w:rPr/>
            </w:pPr>
            <w:r>
              <w:rPr>
                <w:rFonts w:ascii="Times New Roman" w:hAnsi="Times New Roman" w:eastAsia="Times New Roman" w:cs="Times New Roman"/>
                <w:color w:val="000000"/>
                <w:sz w:val="24"/>
              </w:rPr>
              <w:t xml:space="preserve">Intraday positioning patterns</w:t>
            </w:r>
            <w:r/>
          </w:p>
        </w:tc>
      </w:tr>
      <w:tr>
        <w:trPr/>
        <w:tc>
          <w:tcPr>
            <w:tcBorders/>
            <w:tcMar>
              <w:left w:w="15" w:type="dxa"/>
              <w:top w:w="15" w:type="dxa"/>
              <w:right w:w="15" w:type="dxa"/>
              <w:bottom w:w="15" w:type="dxa"/>
            </w:tcMar>
            <w:tcW w:w="2171" w:type="dxa"/>
            <w:vAlign w:val="center"/>
          </w:tcPr>
          <w:p w14:paraId="48B83B19">
            <w:pPr>
              <w:pBdr/>
              <w:spacing w:after="0" w:before="0" w:line="240"/>
              <w:ind/>
              <w:rPr/>
            </w:pPr>
            <w:r>
              <w:rPr>
                <w:rFonts w:ascii="Times New Roman" w:hAnsi="Times New Roman" w:eastAsia="Times New Roman" w:cs="Times New Roman"/>
                <w:color w:val="000000"/>
                <w:sz w:val="24"/>
              </w:rPr>
              <w:t xml:space="preserve">Quarter</w:t>
            </w:r>
            <w:r/>
          </w:p>
        </w:tc>
        <w:tc>
          <w:tcPr>
            <w:tcBorders/>
            <w:tcMar>
              <w:left w:w="15" w:type="dxa"/>
              <w:top w:w="15" w:type="dxa"/>
              <w:right w:w="15" w:type="dxa"/>
              <w:bottom w:w="15" w:type="dxa"/>
            </w:tcMar>
            <w:tcW w:w="3825" w:type="dxa"/>
            <w:vAlign w:val="center"/>
          </w:tcPr>
          <w:p w14:paraId="72F4E3EA">
            <w:pPr>
              <w:pBdr/>
              <w:spacing w:after="0" w:before="0" w:line="240"/>
              <w:ind/>
              <w:rPr/>
            </w:pPr>
            <w:r>
              <w:rPr>
                <w:rFonts w:ascii="Times New Roman" w:hAnsi="Times New Roman" w:eastAsia="Times New Roman" w:cs="Times New Roman"/>
                <w:color w:val="000000"/>
                <w:sz w:val="24"/>
              </w:rPr>
              <w:t xml:space="preserve">Integer 1–4</w:t>
            </w:r>
            <w:r/>
          </w:p>
        </w:tc>
        <w:tc>
          <w:tcPr>
            <w:tcBorders/>
            <w:tcMar>
              <w:left w:w="15" w:type="dxa"/>
              <w:top w:w="15" w:type="dxa"/>
              <w:right w:w="15" w:type="dxa"/>
              <w:bottom w:w="15" w:type="dxa"/>
            </w:tcMar>
            <w:tcW w:w="3358" w:type="dxa"/>
            <w:vAlign w:val="center"/>
          </w:tcPr>
          <w:p w14:paraId="01092975">
            <w:pPr>
              <w:pBdr/>
              <w:spacing w:after="0" w:before="0" w:line="240"/>
              <w:ind/>
              <w:rPr/>
            </w:pPr>
            <w:r>
              <w:rPr>
                <w:rFonts w:ascii="Times New Roman" w:hAnsi="Times New Roman" w:eastAsia="Times New Roman" w:cs="Times New Roman"/>
                <w:color w:val="000000"/>
                <w:sz w:val="24"/>
              </w:rPr>
              <w:t xml:space="preserve">Seasonal patterns</w:t>
            </w:r>
            <w:r/>
          </w:p>
        </w:tc>
      </w:tr>
    </w:tbl>
    <w:p w14:paraId="0A04CF84">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F: Breadth and Market Aggregation</w:t>
      </w:r>
      <w:r/>
    </w:p>
    <w:p w14:paraId="2ACDB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Per-instrument metrics aggregated to market-level summaries. These capture the collective state of the universe, not any single instrument.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27"/>
        <w:gridCol w:w="5394"/>
        <w:gridCol w:w="834"/>
      </w:tblGrid>
      <w:tr>
        <w:trPr/>
        <w:tc>
          <w:tcPr>
            <w:tcBorders/>
            <w:tcMar>
              <w:left w:w="15" w:type="dxa"/>
              <w:top w:w="15" w:type="dxa"/>
              <w:right w:w="15" w:type="dxa"/>
              <w:bottom w:w="15" w:type="dxa"/>
            </w:tcMar>
            <w:tcW w:w="3127" w:type="dxa"/>
            <w:vAlign w:val="center"/>
          </w:tcPr>
          <w:p w14:paraId="6FC0846E">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5394" w:type="dxa"/>
            <w:vAlign w:val="center"/>
          </w:tcPr>
          <w:p w14:paraId="1BA9C55C">
            <w:pPr>
              <w:pBdr/>
              <w:spacing w:after="0" w:before="0" w:line="240"/>
              <w:ind/>
              <w:jc w:val="center"/>
              <w:rPr/>
            </w:pPr>
            <w:r>
              <w:rPr>
                <w:rFonts w:ascii="Times New Roman" w:hAnsi="Times New Roman" w:eastAsia="Times New Roman" w:cs="Times New Roman"/>
                <w:b/>
                <w:color w:val="000000"/>
                <w:sz w:val="24"/>
              </w:rPr>
              <w:t xml:space="preserve">Computation</w:t>
            </w:r>
            <w:r/>
          </w:p>
        </w:tc>
        <w:tc>
          <w:tcPr>
            <w:tcBorders/>
            <w:tcMar>
              <w:left w:w="15" w:type="dxa"/>
              <w:top w:w="15" w:type="dxa"/>
              <w:right w:w="15" w:type="dxa"/>
              <w:bottom w:w="15" w:type="dxa"/>
            </w:tcMar>
            <w:tcW w:w="834" w:type="dxa"/>
            <w:vAlign w:val="center"/>
          </w:tcPr>
          <w:p w14:paraId="287F214E">
            <w:pPr>
              <w:pBdr/>
              <w:spacing w:after="0" w:before="0" w:line="240"/>
              <w:ind/>
              <w:jc w:val="center"/>
              <w:rPr/>
            </w:pPr>
            <w:r>
              <w:rPr>
                <w:rFonts w:ascii="Times New Roman" w:hAnsi="Times New Roman" w:eastAsia="Times New Roman" w:cs="Times New Roman"/>
                <w:b/>
                <w:color w:val="000000"/>
                <w:sz w:val="24"/>
              </w:rPr>
              <w:t xml:space="preserve">Cadence</w:t>
            </w:r>
            <w:r/>
          </w:p>
        </w:tc>
      </w:tr>
      <w:tr>
        <w:trPr/>
        <w:tc>
          <w:tcPr>
            <w:tcBorders/>
            <w:tcMar>
              <w:left w:w="15" w:type="dxa"/>
              <w:top w:w="15" w:type="dxa"/>
              <w:right w:w="15" w:type="dxa"/>
              <w:bottom w:w="15" w:type="dxa"/>
            </w:tcMar>
            <w:tcW w:w="3127" w:type="dxa"/>
            <w:vAlign w:val="center"/>
          </w:tcPr>
          <w:p w14:paraId="741DD648">
            <w:pPr>
              <w:pBdr/>
              <w:spacing w:after="0" w:before="0" w:line="240"/>
              <w:ind/>
              <w:rPr/>
            </w:pPr>
            <w:r>
              <w:rPr>
                <w:rFonts w:ascii="Times New Roman" w:hAnsi="Times New Roman" w:eastAsia="Times New Roman" w:cs="Times New Roman"/>
                <w:color w:val="000000"/>
                <w:sz w:val="24"/>
              </w:rPr>
              <w:t xml:space="preserve">Market funding rate median</w:t>
            </w:r>
            <w:r/>
          </w:p>
        </w:tc>
        <w:tc>
          <w:tcPr>
            <w:tcBorders/>
            <w:tcMar>
              <w:left w:w="15" w:type="dxa"/>
              <w:top w:w="15" w:type="dxa"/>
              <w:right w:w="15" w:type="dxa"/>
              <w:bottom w:w="15" w:type="dxa"/>
            </w:tcMar>
            <w:tcW w:w="5394" w:type="dxa"/>
            <w:vAlign w:val="center"/>
          </w:tcPr>
          <w:p w14:paraId="6B2A228A">
            <w:pPr>
              <w:pBdr/>
              <w:spacing w:after="0" w:before="0" w:line="240"/>
              <w:ind/>
              <w:rPr/>
            </w:pPr>
            <w:r>
              <w:rPr>
                <w:rFonts w:ascii="Times New Roman" w:hAnsi="Times New Roman" w:eastAsia="Times New Roman" w:cs="Times New Roman"/>
                <w:color w:val="000000"/>
                <w:sz w:val="24"/>
              </w:rPr>
              <w:t xml:space="preserve">Median(funding_rate) across all signal-eligible instruments</w:t>
            </w:r>
            <w:r/>
          </w:p>
        </w:tc>
        <w:tc>
          <w:tcPr>
            <w:tcBorders/>
            <w:tcMar>
              <w:left w:w="15" w:type="dxa"/>
              <w:top w:w="15" w:type="dxa"/>
              <w:right w:w="15" w:type="dxa"/>
              <w:bottom w:w="15" w:type="dxa"/>
            </w:tcMar>
            <w:tcW w:w="834" w:type="dxa"/>
            <w:vAlign w:val="center"/>
          </w:tcPr>
          <w:p w14:paraId="4EADDD67">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3127" w:type="dxa"/>
            <w:vAlign w:val="center"/>
          </w:tcPr>
          <w:p w14:paraId="254CAA57">
            <w:pPr>
              <w:pBdr/>
              <w:spacing w:after="0" w:before="0" w:line="240"/>
              <w:ind/>
              <w:rPr/>
            </w:pPr>
            <w:r>
              <w:rPr>
                <w:rFonts w:ascii="Times New Roman" w:hAnsi="Times New Roman" w:eastAsia="Times New Roman" w:cs="Times New Roman"/>
                <w:color w:val="000000"/>
                <w:sz w:val="24"/>
              </w:rPr>
              <w:t xml:space="preserve">Market funding rate 90th pct</w:t>
            </w:r>
            <w:r/>
          </w:p>
        </w:tc>
        <w:tc>
          <w:tcPr>
            <w:tcBorders/>
            <w:tcMar>
              <w:left w:w="15" w:type="dxa"/>
              <w:top w:w="15" w:type="dxa"/>
              <w:right w:w="15" w:type="dxa"/>
              <w:bottom w:w="15" w:type="dxa"/>
            </w:tcMar>
            <w:tcW w:w="5394" w:type="dxa"/>
            <w:vAlign w:val="center"/>
          </w:tcPr>
          <w:p w14:paraId="1BA83982">
            <w:pPr>
              <w:pBdr/>
              <w:spacing w:after="0" w:before="0" w:line="240"/>
              <w:ind/>
              <w:rPr/>
            </w:pPr>
            <w:r>
              <w:rPr>
                <w:rFonts w:ascii="Times New Roman" w:hAnsi="Times New Roman" w:eastAsia="Times New Roman" w:cs="Times New Roman"/>
                <w:color w:val="000000"/>
                <w:sz w:val="24"/>
              </w:rPr>
              <w:t xml:space="preserve">90th percentile of funding_rate across universe</w:t>
            </w:r>
            <w:r/>
          </w:p>
        </w:tc>
        <w:tc>
          <w:tcPr>
            <w:tcBorders/>
            <w:tcMar>
              <w:left w:w="15" w:type="dxa"/>
              <w:top w:w="15" w:type="dxa"/>
              <w:right w:w="15" w:type="dxa"/>
              <w:bottom w:w="15" w:type="dxa"/>
            </w:tcMar>
            <w:tcW w:w="834" w:type="dxa"/>
            <w:vAlign w:val="center"/>
          </w:tcPr>
          <w:p w14:paraId="5C91F3AD">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3127" w:type="dxa"/>
            <w:vAlign w:val="center"/>
          </w:tcPr>
          <w:p w14:paraId="5B8AC910">
            <w:pPr>
              <w:pBdr/>
              <w:spacing w:after="0" w:before="0" w:line="240"/>
              <w:ind/>
              <w:rPr/>
            </w:pPr>
            <w:r>
              <w:rPr>
                <w:rFonts w:ascii="Times New Roman" w:hAnsi="Times New Roman" w:eastAsia="Times New Roman" w:cs="Times New Roman"/>
                <w:color w:val="000000"/>
                <w:sz w:val="24"/>
              </w:rPr>
              <w:t xml:space="preserve">% instruments funding elevated</w:t>
            </w:r>
            <w:r/>
          </w:p>
        </w:tc>
        <w:tc>
          <w:tcPr>
            <w:tcBorders/>
            <w:tcMar>
              <w:left w:w="15" w:type="dxa"/>
              <w:top w:w="15" w:type="dxa"/>
              <w:right w:w="15" w:type="dxa"/>
              <w:bottom w:w="15" w:type="dxa"/>
            </w:tcMar>
            <w:tcW w:w="5394" w:type="dxa"/>
            <w:vAlign w:val="center"/>
          </w:tcPr>
          <w:p w14:paraId="7C98C313">
            <w:pPr>
              <w:pBdr/>
              <w:spacing w:after="0" w:before="0" w:line="240"/>
              <w:ind/>
              <w:rPr/>
            </w:pPr>
            <w:r>
              <w:rPr>
                <w:rFonts w:ascii="Times New Roman" w:hAnsi="Times New Roman" w:eastAsia="Times New Roman" w:cs="Times New Roman"/>
                <w:color w:val="000000"/>
                <w:sz w:val="24"/>
              </w:rPr>
              <w:t xml:space="preserve">% where funding_rate_zscore_30d &gt; 1.5</w:t>
            </w:r>
            <w:r/>
          </w:p>
        </w:tc>
        <w:tc>
          <w:tcPr>
            <w:tcBorders/>
            <w:tcMar>
              <w:left w:w="15" w:type="dxa"/>
              <w:top w:w="15" w:type="dxa"/>
              <w:right w:w="15" w:type="dxa"/>
              <w:bottom w:w="15" w:type="dxa"/>
            </w:tcMar>
            <w:tcW w:w="834" w:type="dxa"/>
            <w:vAlign w:val="center"/>
          </w:tcPr>
          <w:p w14:paraId="0DC1E6FC">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3127" w:type="dxa"/>
            <w:vAlign w:val="center"/>
          </w:tcPr>
          <w:p w14:paraId="612AE5D7">
            <w:pPr>
              <w:pBdr/>
              <w:spacing w:after="0" w:before="0" w:line="240"/>
              <w:ind/>
              <w:rPr/>
            </w:pPr>
            <w:r>
              <w:rPr>
                <w:rFonts w:ascii="Times New Roman" w:hAnsi="Times New Roman" w:eastAsia="Times New Roman" w:cs="Times New Roman"/>
                <w:color w:val="000000"/>
                <w:sz w:val="24"/>
              </w:rPr>
              <w:t xml:space="preserve">% instruments funding suppressed</w:t>
            </w:r>
            <w:r/>
          </w:p>
        </w:tc>
        <w:tc>
          <w:tcPr>
            <w:tcBorders/>
            <w:tcMar>
              <w:left w:w="15" w:type="dxa"/>
              <w:top w:w="15" w:type="dxa"/>
              <w:right w:w="15" w:type="dxa"/>
              <w:bottom w:w="15" w:type="dxa"/>
            </w:tcMar>
            <w:tcW w:w="5394" w:type="dxa"/>
            <w:vAlign w:val="center"/>
          </w:tcPr>
          <w:p w14:paraId="282822B0">
            <w:pPr>
              <w:pBdr/>
              <w:spacing w:after="0" w:before="0" w:line="240"/>
              <w:ind/>
              <w:rPr/>
            </w:pPr>
            <w:r>
              <w:rPr>
                <w:rFonts w:ascii="Times New Roman" w:hAnsi="Times New Roman" w:eastAsia="Times New Roman" w:cs="Times New Roman"/>
                <w:color w:val="000000"/>
                <w:sz w:val="24"/>
              </w:rPr>
              <w:t xml:space="preserve">% where funding_rate_zscore_30d &lt; -1.5</w:t>
            </w:r>
            <w:r/>
          </w:p>
        </w:tc>
        <w:tc>
          <w:tcPr>
            <w:tcBorders/>
            <w:tcMar>
              <w:left w:w="15" w:type="dxa"/>
              <w:top w:w="15" w:type="dxa"/>
              <w:right w:w="15" w:type="dxa"/>
              <w:bottom w:w="15" w:type="dxa"/>
            </w:tcMar>
            <w:tcW w:w="834" w:type="dxa"/>
            <w:vAlign w:val="center"/>
          </w:tcPr>
          <w:p w14:paraId="0A3C05C7">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3127" w:type="dxa"/>
            <w:vAlign w:val="center"/>
          </w:tcPr>
          <w:p w14:paraId="1F02EED9">
            <w:pPr>
              <w:pBdr/>
              <w:spacing w:after="0" w:before="0" w:line="240"/>
              <w:ind/>
              <w:rPr/>
            </w:pPr>
            <w:r>
              <w:rPr>
                <w:rFonts w:ascii="Times New Roman" w:hAnsi="Times New Roman" w:eastAsia="Times New Roman" w:cs="Times New Roman"/>
                <w:color w:val="000000"/>
                <w:sz w:val="24"/>
              </w:rPr>
              <w:t xml:space="preserve">% instruments OI increasing</w:t>
            </w:r>
            <w:r/>
          </w:p>
        </w:tc>
        <w:tc>
          <w:tcPr>
            <w:tcBorders/>
            <w:tcMar>
              <w:left w:w="15" w:type="dxa"/>
              <w:top w:w="15" w:type="dxa"/>
              <w:right w:w="15" w:type="dxa"/>
              <w:bottom w:w="15" w:type="dxa"/>
            </w:tcMar>
            <w:tcW w:w="5394" w:type="dxa"/>
            <w:vAlign w:val="center"/>
          </w:tcPr>
          <w:p w14:paraId="181035C3">
            <w:pPr>
              <w:pBdr/>
              <w:spacing w:after="0" w:before="0" w:line="240"/>
              <w:ind/>
              <w:rPr/>
            </w:pPr>
            <w:r>
              <w:rPr>
                <w:rFonts w:ascii="Times New Roman" w:hAnsi="Times New Roman" w:eastAsia="Times New Roman" w:cs="Times New Roman"/>
                <w:color w:val="000000"/>
                <w:sz w:val="24"/>
              </w:rPr>
              <w:t xml:space="preserve">% where oi_change_pct_1d &gt; 0</w:t>
            </w:r>
            <w:r/>
          </w:p>
        </w:tc>
        <w:tc>
          <w:tcPr>
            <w:tcBorders/>
            <w:tcMar>
              <w:left w:w="15" w:type="dxa"/>
              <w:top w:w="15" w:type="dxa"/>
              <w:right w:w="15" w:type="dxa"/>
              <w:bottom w:w="15" w:type="dxa"/>
            </w:tcMar>
            <w:tcW w:w="834" w:type="dxa"/>
            <w:vAlign w:val="center"/>
          </w:tcPr>
          <w:p w14:paraId="328C06AE">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3127" w:type="dxa"/>
            <w:vAlign w:val="center"/>
          </w:tcPr>
          <w:p w14:paraId="5607F75A">
            <w:pPr>
              <w:pBdr/>
              <w:spacing w:after="0" w:before="0" w:line="240"/>
              <w:ind/>
              <w:rPr/>
            </w:pPr>
            <w:r>
              <w:rPr>
                <w:rFonts w:ascii="Times New Roman" w:hAnsi="Times New Roman" w:eastAsia="Times New Roman" w:cs="Times New Roman"/>
                <w:color w:val="000000"/>
                <w:sz w:val="24"/>
              </w:rPr>
              <w:t xml:space="preserve">% instruments net outflow</w:t>
            </w:r>
            <w:r/>
          </w:p>
        </w:tc>
        <w:tc>
          <w:tcPr>
            <w:tcBorders/>
            <w:tcMar>
              <w:left w:w="15" w:type="dxa"/>
              <w:top w:w="15" w:type="dxa"/>
              <w:right w:w="15" w:type="dxa"/>
              <w:bottom w:w="15" w:type="dxa"/>
            </w:tcMar>
            <w:tcW w:w="5394" w:type="dxa"/>
            <w:vAlign w:val="center"/>
          </w:tcPr>
          <w:p w14:paraId="31F8DA84">
            <w:pPr>
              <w:pBdr/>
              <w:spacing w:after="0" w:before="0" w:line="240"/>
              <w:ind/>
              <w:rPr/>
            </w:pPr>
            <w:r>
              <w:rPr>
                <w:rFonts w:ascii="Times New Roman" w:hAnsi="Times New Roman" w:eastAsia="Times New Roman" w:cs="Times New Roman"/>
                <w:color w:val="000000"/>
                <w:sz w:val="24"/>
              </w:rPr>
              <w:t xml:space="preserve">% where exchange_net_flow_usd &lt; 0</w:t>
            </w:r>
            <w:r/>
          </w:p>
        </w:tc>
        <w:tc>
          <w:tcPr>
            <w:tcBorders/>
            <w:tcMar>
              <w:left w:w="15" w:type="dxa"/>
              <w:top w:w="15" w:type="dxa"/>
              <w:right w:w="15" w:type="dxa"/>
              <w:bottom w:w="15" w:type="dxa"/>
            </w:tcMar>
            <w:tcW w:w="834" w:type="dxa"/>
            <w:vAlign w:val="center"/>
          </w:tcPr>
          <w:p w14:paraId="067CCCE5">
            <w:pPr>
              <w:pBdr/>
              <w:spacing w:after="0" w:before="0" w:line="240"/>
              <w:ind/>
              <w:rPr/>
            </w:pPr>
            <w:r>
              <w:rPr>
                <w:rFonts w:ascii="Times New Roman" w:hAnsi="Times New Roman" w:eastAsia="Times New Roman" w:cs="Times New Roman"/>
                <w:color w:val="000000"/>
                <w:sz w:val="24"/>
              </w:rPr>
              <w:t xml:space="preserve">1d</w:t>
            </w:r>
            <w:r/>
          </w:p>
        </w:tc>
      </w:tr>
      <w:tr>
        <w:trPr/>
        <w:tc>
          <w:tcPr>
            <w:tcBorders/>
            <w:tcMar>
              <w:left w:w="15" w:type="dxa"/>
              <w:top w:w="15" w:type="dxa"/>
              <w:right w:w="15" w:type="dxa"/>
              <w:bottom w:w="15" w:type="dxa"/>
            </w:tcMar>
            <w:tcW w:w="3127" w:type="dxa"/>
            <w:vAlign w:val="center"/>
          </w:tcPr>
          <w:p w14:paraId="07BAE615">
            <w:pPr>
              <w:pBdr/>
              <w:spacing w:after="0" w:before="0" w:line="240"/>
              <w:ind/>
              <w:rPr/>
            </w:pPr>
            <w:r>
              <w:rPr>
                <w:rFonts w:ascii="Times New Roman" w:hAnsi="Times New Roman" w:eastAsia="Times New Roman" w:cs="Times New Roman"/>
                <w:color w:val="000000"/>
                <w:sz w:val="24"/>
              </w:rPr>
              <w:t xml:space="preserve">Market liquidation imbalance</w:t>
            </w:r>
            <w:r/>
          </w:p>
        </w:tc>
        <w:tc>
          <w:tcPr>
            <w:tcBorders/>
            <w:tcMar>
              <w:left w:w="15" w:type="dxa"/>
              <w:top w:w="15" w:type="dxa"/>
              <w:right w:w="15" w:type="dxa"/>
              <w:bottom w:w="15" w:type="dxa"/>
            </w:tcMar>
            <w:tcW w:w="5394" w:type="dxa"/>
            <w:vAlign w:val="center"/>
          </w:tcPr>
          <w:p w14:paraId="671A2259">
            <w:pPr>
              <w:pBdr/>
              <w:spacing w:after="0" w:before="0" w:line="240"/>
              <w:ind/>
              <w:rPr/>
            </w:pPr>
            <w:r>
              <w:rPr>
                <w:rFonts w:ascii="Times New Roman" w:hAnsi="Times New Roman" w:eastAsia="Times New Roman" w:cs="Times New Roman"/>
                <w:color w:val="000000"/>
                <w:sz w:val="24"/>
              </w:rPr>
              <w:t xml:space="preserve">Sum(long_liq - short_liq) across universe, normalized</w:t>
            </w:r>
            <w:r/>
          </w:p>
        </w:tc>
        <w:tc>
          <w:tcPr>
            <w:tcBorders/>
            <w:tcMar>
              <w:left w:w="15" w:type="dxa"/>
              <w:top w:w="15" w:type="dxa"/>
              <w:right w:w="15" w:type="dxa"/>
              <w:bottom w:w="15" w:type="dxa"/>
            </w:tcMar>
            <w:tcW w:w="834" w:type="dxa"/>
            <w:vAlign w:val="center"/>
          </w:tcPr>
          <w:p w14:paraId="3A5950F2">
            <w:pPr>
              <w:pBdr/>
              <w:spacing w:after="0" w:before="0" w:line="240"/>
              <w:ind/>
              <w:rPr/>
            </w:pPr>
            <w:r>
              <w:rPr>
                <w:rFonts w:ascii="Times New Roman" w:hAnsi="Times New Roman" w:eastAsia="Times New Roman" w:cs="Times New Roman"/>
                <w:color w:val="000000"/>
                <w:sz w:val="24"/>
              </w:rPr>
              <w:t xml:space="preserve">8h</w:t>
            </w:r>
            <w:r/>
          </w:p>
        </w:tc>
      </w:tr>
      <w:tr>
        <w:trPr/>
        <w:tc>
          <w:tcPr>
            <w:tcBorders/>
            <w:tcMar>
              <w:left w:w="15" w:type="dxa"/>
              <w:top w:w="15" w:type="dxa"/>
              <w:right w:w="15" w:type="dxa"/>
              <w:bottom w:w="15" w:type="dxa"/>
            </w:tcMar>
            <w:tcW w:w="3127" w:type="dxa"/>
            <w:vAlign w:val="center"/>
          </w:tcPr>
          <w:p w14:paraId="7B685817">
            <w:pPr>
              <w:pBdr/>
              <w:spacing w:after="0" w:before="0" w:line="240"/>
              <w:ind/>
              <w:rPr/>
            </w:pPr>
            <w:r>
              <w:rPr>
                <w:rFonts w:ascii="Times New Roman" w:hAnsi="Times New Roman" w:eastAsia="Times New Roman" w:cs="Times New Roman"/>
                <w:color w:val="000000"/>
                <w:sz w:val="24"/>
              </w:rPr>
              <w:t xml:space="preserve">Breadth score</w:t>
            </w:r>
            <w:r/>
          </w:p>
        </w:tc>
        <w:tc>
          <w:tcPr>
            <w:tcBorders/>
            <w:tcMar>
              <w:left w:w="15" w:type="dxa"/>
              <w:top w:w="15" w:type="dxa"/>
              <w:right w:w="15" w:type="dxa"/>
              <w:bottom w:w="15" w:type="dxa"/>
            </w:tcMar>
            <w:tcW w:w="5394" w:type="dxa"/>
            <w:vAlign w:val="center"/>
          </w:tcPr>
          <w:p w14:paraId="4BE474BE">
            <w:pPr>
              <w:pBdr/>
              <w:spacing w:after="0" w:before="0" w:line="240"/>
              <w:ind/>
              <w:rPr/>
            </w:pPr>
            <w:r>
              <w:rPr>
                <w:rFonts w:ascii="Times New Roman" w:hAnsi="Times New Roman" w:eastAsia="Times New Roman" w:cs="Times New Roman"/>
                <w:color w:val="000000"/>
                <w:sz w:val="24"/>
              </w:rPr>
              <w:t xml:space="preserve">Composite of the above — single continuous 0–1 value</w:t>
            </w:r>
            <w:r/>
          </w:p>
        </w:tc>
        <w:tc>
          <w:tcPr>
            <w:tcBorders/>
            <w:tcMar>
              <w:left w:w="15" w:type="dxa"/>
              <w:top w:w="15" w:type="dxa"/>
              <w:right w:w="15" w:type="dxa"/>
              <w:bottom w:w="15" w:type="dxa"/>
            </w:tcMar>
            <w:tcW w:w="834" w:type="dxa"/>
            <w:vAlign w:val="center"/>
          </w:tcPr>
          <w:p w14:paraId="65FD8790">
            <w:pPr>
              <w:pBdr/>
              <w:spacing w:after="0" w:before="0" w:line="240"/>
              <w:ind/>
              <w:rPr/>
            </w:pPr>
            <w:r>
              <w:rPr>
                <w:rFonts w:ascii="Times New Roman" w:hAnsi="Times New Roman" w:eastAsia="Times New Roman" w:cs="Times New Roman"/>
                <w:color w:val="000000"/>
                <w:sz w:val="24"/>
              </w:rPr>
              <w:t xml:space="preserve">8h</w:t>
            </w:r>
            <w:r/>
          </w:p>
        </w:tc>
      </w:tr>
    </w:tbl>
    <w:p w14:paraId="4306A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Breadth score formula:</w:t>
      </w:r>
      <w:r/>
    </w:p>
    <w:p w14:paraId="1A953C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breadth_score = (</w:t>
      </w:r>
      <w:r/>
    </w:p>
    <w:p w14:paraId="749C0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pct_funding_elevated × 0.30 +</w:t>
      </w:r>
      <w:r/>
    </w:p>
    <w:p w14:paraId="4A7E7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pct_oi_increasing    × 0.30 +</w:t>
      </w:r>
      <w:r/>
    </w:p>
    <w:p w14:paraId="621970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(1 - pct_net_outflow) × 0.25 +</w:t>
      </w:r>
      <w:r/>
    </w:p>
    <w:p w14:paraId="55BF6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liq_imbalance_normalized × 0.15</w:t>
      </w:r>
      <w:r/>
    </w:p>
    <w:p w14:paraId="4F572A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19C9E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deterministic formula. Weights are fixed in the feature catalog, not learned. The ML synthesis model consumes this as an input, but the formula itself is not trained.</w:t>
      </w:r>
      <w:r/>
    </w:p>
    <w:p w14:paraId="1288FC88">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Category G: Cross-Asset Features</w:t>
      </w:r>
      <w:r/>
    </w:p>
    <w:p w14:paraId="343CB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Relationships between different instruments or asset classes that carry signal across the universe.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51"/>
        <w:gridCol w:w="4285"/>
        <w:gridCol w:w="729"/>
        <w:gridCol w:w="1789"/>
      </w:tblGrid>
      <w:tr>
        <w:trPr/>
        <w:tc>
          <w:tcPr>
            <w:tcBorders/>
            <w:tcMar>
              <w:left w:w="15" w:type="dxa"/>
              <w:top w:w="15" w:type="dxa"/>
              <w:right w:w="15" w:type="dxa"/>
              <w:bottom w:w="15" w:type="dxa"/>
            </w:tcMar>
            <w:tcW w:w="2551" w:type="dxa"/>
            <w:vAlign w:val="center"/>
          </w:tcPr>
          <w:p w14:paraId="6CFDD08D">
            <w:pPr>
              <w:pBdr/>
              <w:spacing w:after="0" w:before="0" w:line="240"/>
              <w:ind/>
              <w:jc w:val="center"/>
              <w:rPr/>
            </w:pPr>
            <w:r>
              <w:rPr>
                <w:rFonts w:ascii="Times New Roman" w:hAnsi="Times New Roman" w:eastAsia="Times New Roman" w:cs="Times New Roman"/>
                <w:b/>
                <w:color w:val="000000"/>
                <w:sz w:val="24"/>
              </w:rPr>
              <w:t xml:space="preserve">Feature Concept</w:t>
            </w:r>
            <w:r/>
          </w:p>
        </w:tc>
        <w:tc>
          <w:tcPr>
            <w:tcBorders/>
            <w:tcMar>
              <w:left w:w="15" w:type="dxa"/>
              <w:top w:w="15" w:type="dxa"/>
              <w:right w:w="15" w:type="dxa"/>
              <w:bottom w:w="15" w:type="dxa"/>
            </w:tcMar>
            <w:tcW w:w="4285" w:type="dxa"/>
            <w:vAlign w:val="center"/>
          </w:tcPr>
          <w:p w14:paraId="7B09DD4B">
            <w:pPr>
              <w:pBdr/>
              <w:spacing w:after="0" w:before="0" w:line="240"/>
              <w:ind/>
              <w:jc w:val="center"/>
              <w:rPr/>
            </w:pPr>
            <w:r>
              <w:rPr>
                <w:rFonts w:ascii="Times New Roman" w:hAnsi="Times New Roman" w:eastAsia="Times New Roman" w:cs="Times New Roman"/>
                <w:b/>
                <w:color w:val="000000"/>
                <w:sz w:val="24"/>
              </w:rPr>
              <w:t xml:space="preserve">Computation</w:t>
            </w:r>
            <w:r/>
          </w:p>
        </w:tc>
        <w:tc>
          <w:tcPr>
            <w:tcBorders/>
            <w:tcMar>
              <w:left w:w="15" w:type="dxa"/>
              <w:top w:w="15" w:type="dxa"/>
              <w:right w:w="15" w:type="dxa"/>
              <w:bottom w:w="15" w:type="dxa"/>
            </w:tcMar>
            <w:tcW w:w="729" w:type="dxa"/>
            <w:vAlign w:val="center"/>
          </w:tcPr>
          <w:p w14:paraId="4525DBB1">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789" w:type="dxa"/>
            <w:vAlign w:val="center"/>
          </w:tcPr>
          <w:p w14:paraId="5D96EA62">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2551" w:type="dxa"/>
            <w:vAlign w:val="center"/>
          </w:tcPr>
          <w:p w14:paraId="3346400D">
            <w:pPr>
              <w:pBdr/>
              <w:spacing w:after="0" w:before="0" w:line="240"/>
              <w:ind/>
              <w:rPr/>
            </w:pPr>
            <w:r>
              <w:rPr>
                <w:rFonts w:ascii="Times New Roman" w:hAnsi="Times New Roman" w:eastAsia="Times New Roman" w:cs="Times New Roman"/>
                <w:color w:val="000000"/>
                <w:sz w:val="24"/>
              </w:rPr>
              <w:t xml:space="preserve">BTC dominance</w:t>
            </w:r>
            <w:r/>
          </w:p>
        </w:tc>
        <w:tc>
          <w:tcPr>
            <w:tcBorders/>
            <w:tcMar>
              <w:left w:w="15" w:type="dxa"/>
              <w:top w:w="15" w:type="dxa"/>
              <w:right w:w="15" w:type="dxa"/>
              <w:bottom w:w="15" w:type="dxa"/>
            </w:tcMar>
            <w:tcW w:w="4285" w:type="dxa"/>
            <w:vAlign w:val="center"/>
          </w:tcPr>
          <w:p w14:paraId="671EAB80">
            <w:pPr>
              <w:pBdr/>
              <w:spacing w:after="0" w:before="0" w:line="240"/>
              <w:ind/>
              <w:rPr/>
            </w:pPr>
            <w:r>
              <w:rPr>
                <w:rFonts w:ascii="Times New Roman" w:hAnsi="Times New Roman" w:eastAsia="Times New Roman" w:cs="Times New Roman"/>
                <w:color w:val="000000"/>
                <w:sz w:val="24"/>
              </w:rPr>
              <w:t xml:space="preserve">BTC_market_cap / total_crypto_market_cap</w:t>
            </w:r>
            <w:r/>
          </w:p>
        </w:tc>
        <w:tc>
          <w:tcPr>
            <w:tcBorders/>
            <w:tcMar>
              <w:left w:w="15" w:type="dxa"/>
              <w:top w:w="15" w:type="dxa"/>
              <w:right w:w="15" w:type="dxa"/>
              <w:bottom w:w="15" w:type="dxa"/>
            </w:tcMar>
            <w:tcW w:w="729" w:type="dxa"/>
            <w:vAlign w:val="center"/>
          </w:tcPr>
          <w:p w14:paraId="4207AE47">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89" w:type="dxa"/>
            <w:vAlign w:val="center"/>
          </w:tcPr>
          <w:p w14:paraId="2855608A">
            <w:pPr>
              <w:pBdr/>
              <w:spacing w:after="0" w:before="0" w:line="240"/>
              <w:ind/>
              <w:rPr/>
            </w:pPr>
            <w:r>
              <w:rPr>
                <w:rFonts w:ascii="Times New Roman" w:hAnsi="Times New Roman" w:eastAsia="Times New Roman" w:cs="Times New Roman"/>
                <w:color w:val="000000"/>
                <w:sz w:val="24"/>
              </w:rPr>
              <w:t xml:space="preserve">Risk rotation indicator</w:t>
            </w:r>
            <w:r/>
          </w:p>
        </w:tc>
      </w:tr>
      <w:tr>
        <w:trPr/>
        <w:tc>
          <w:tcPr>
            <w:tcBorders/>
            <w:tcMar>
              <w:left w:w="15" w:type="dxa"/>
              <w:top w:w="15" w:type="dxa"/>
              <w:right w:w="15" w:type="dxa"/>
              <w:bottom w:w="15" w:type="dxa"/>
            </w:tcMar>
            <w:tcW w:w="2551" w:type="dxa"/>
            <w:vAlign w:val="center"/>
          </w:tcPr>
          <w:p w14:paraId="53183424">
            <w:pPr>
              <w:pBdr/>
              <w:spacing w:after="0" w:before="0" w:line="240"/>
              <w:ind/>
              <w:rPr/>
            </w:pPr>
            <w:r>
              <w:rPr>
                <w:rFonts w:ascii="Times New Roman" w:hAnsi="Times New Roman" w:eastAsia="Times New Roman" w:cs="Times New Roman"/>
                <w:color w:val="000000"/>
                <w:sz w:val="24"/>
              </w:rPr>
              <w:t xml:space="preserve">BTC-ETH correlation</w:t>
            </w:r>
            <w:r/>
          </w:p>
        </w:tc>
        <w:tc>
          <w:tcPr>
            <w:tcBorders/>
            <w:tcMar>
              <w:left w:w="15" w:type="dxa"/>
              <w:top w:w="15" w:type="dxa"/>
              <w:right w:w="15" w:type="dxa"/>
              <w:bottom w:w="15" w:type="dxa"/>
            </w:tcMar>
            <w:tcW w:w="4285" w:type="dxa"/>
            <w:vAlign w:val="center"/>
          </w:tcPr>
          <w:p w14:paraId="012322BC">
            <w:pPr>
              <w:pBdr/>
              <w:spacing w:after="0" w:before="0" w:line="240"/>
              <w:ind/>
              <w:rPr/>
            </w:pPr>
            <w:r>
              <w:rPr>
                <w:rFonts w:ascii="Times New Roman" w:hAnsi="Times New Roman" w:eastAsia="Times New Roman" w:cs="Times New Roman"/>
                <w:color w:val="000000"/>
                <w:sz w:val="24"/>
              </w:rPr>
              <w:t xml:space="preserve">Rolling 30d return correlation</w:t>
            </w:r>
            <w:r/>
          </w:p>
        </w:tc>
        <w:tc>
          <w:tcPr>
            <w:tcBorders/>
            <w:tcMar>
              <w:left w:w="15" w:type="dxa"/>
              <w:top w:w="15" w:type="dxa"/>
              <w:right w:w="15" w:type="dxa"/>
              <w:bottom w:w="15" w:type="dxa"/>
            </w:tcMar>
            <w:tcW w:w="729" w:type="dxa"/>
            <w:vAlign w:val="center"/>
          </w:tcPr>
          <w:p w14:paraId="57E132EB">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89" w:type="dxa"/>
            <w:vAlign w:val="center"/>
          </w:tcPr>
          <w:p w14:paraId="20A349C8">
            <w:pPr>
              <w:pBdr/>
              <w:spacing w:after="0" w:before="0" w:line="240"/>
              <w:ind/>
              <w:rPr/>
            </w:pPr>
            <w:r>
              <w:rPr>
                <w:rFonts w:ascii="Times New Roman" w:hAnsi="Times New Roman" w:eastAsia="Times New Roman" w:cs="Times New Roman"/>
                <w:color w:val="000000"/>
                <w:sz w:val="24"/>
              </w:rPr>
              <w:t xml:space="preserve">Regime coherence</w:t>
            </w:r>
            <w:r/>
          </w:p>
        </w:tc>
      </w:tr>
      <w:tr>
        <w:trPr/>
        <w:tc>
          <w:tcPr>
            <w:tcBorders/>
            <w:tcMar>
              <w:left w:w="15" w:type="dxa"/>
              <w:top w:w="15" w:type="dxa"/>
              <w:right w:w="15" w:type="dxa"/>
              <w:bottom w:w="15" w:type="dxa"/>
            </w:tcMar>
            <w:tcW w:w="2551" w:type="dxa"/>
            <w:vAlign w:val="center"/>
          </w:tcPr>
          <w:p w14:paraId="39426395">
            <w:pPr>
              <w:pBdr/>
              <w:spacing w:after="0" w:before="0" w:line="240"/>
              <w:ind/>
              <w:rPr/>
            </w:pPr>
            <w:r>
              <w:rPr>
                <w:rFonts w:ascii="Times New Roman" w:hAnsi="Times New Roman" w:eastAsia="Times New Roman" w:cs="Times New Roman"/>
                <w:color w:val="000000"/>
                <w:sz w:val="24"/>
              </w:rPr>
              <w:t xml:space="preserve">Altcoin funding relative to BTC</w:t>
            </w:r>
            <w:r/>
          </w:p>
        </w:tc>
        <w:tc>
          <w:tcPr>
            <w:tcBorders/>
            <w:tcMar>
              <w:left w:w="15" w:type="dxa"/>
              <w:top w:w="15" w:type="dxa"/>
              <w:right w:w="15" w:type="dxa"/>
              <w:bottom w:w="15" w:type="dxa"/>
            </w:tcMar>
            <w:tcW w:w="4285" w:type="dxa"/>
            <w:vAlign w:val="center"/>
          </w:tcPr>
          <w:p w14:paraId="3CEBD847">
            <w:pPr>
              <w:pBdr/>
              <w:spacing w:after="0" w:before="0" w:line="240"/>
              <w:ind/>
              <w:rPr/>
            </w:pPr>
            <w:r>
              <w:rPr>
                <w:rFonts w:ascii="Times New Roman" w:hAnsi="Times New Roman" w:eastAsia="Times New Roman" w:cs="Times New Roman"/>
                <w:color w:val="000000"/>
                <w:sz w:val="24"/>
              </w:rPr>
              <w:t xml:space="preserve">instrument_funding / BTC_funding</w:t>
            </w:r>
            <w:r/>
          </w:p>
        </w:tc>
        <w:tc>
          <w:tcPr>
            <w:tcBorders/>
            <w:tcMar>
              <w:left w:w="15" w:type="dxa"/>
              <w:top w:w="15" w:type="dxa"/>
              <w:right w:w="15" w:type="dxa"/>
              <w:bottom w:w="15" w:type="dxa"/>
            </w:tcMar>
            <w:tcW w:w="729" w:type="dxa"/>
            <w:vAlign w:val="center"/>
          </w:tcPr>
          <w:p w14:paraId="6F76A2C3">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1789" w:type="dxa"/>
            <w:vAlign w:val="center"/>
          </w:tcPr>
          <w:p w14:paraId="1EC900B1">
            <w:pPr>
              <w:pBdr/>
              <w:spacing w:after="0" w:before="0" w:line="240"/>
              <w:ind/>
              <w:rPr/>
            </w:pPr>
            <w:r>
              <w:rPr>
                <w:rFonts w:ascii="Times New Roman" w:hAnsi="Times New Roman" w:eastAsia="Times New Roman" w:cs="Times New Roman"/>
                <w:color w:val="000000"/>
                <w:sz w:val="24"/>
              </w:rPr>
              <w:t xml:space="preserve">Relative speculation</w:t>
            </w:r>
            <w:r/>
          </w:p>
        </w:tc>
      </w:tr>
      <w:tr>
        <w:trPr/>
        <w:tc>
          <w:tcPr>
            <w:tcBorders/>
            <w:tcMar>
              <w:left w:w="15" w:type="dxa"/>
              <w:top w:w="15" w:type="dxa"/>
              <w:right w:w="15" w:type="dxa"/>
              <w:bottom w:w="15" w:type="dxa"/>
            </w:tcMar>
            <w:tcW w:w="2551" w:type="dxa"/>
            <w:vAlign w:val="center"/>
          </w:tcPr>
          <w:p w14:paraId="4D851F4C">
            <w:pPr>
              <w:pBdr/>
              <w:spacing w:after="0" w:before="0" w:line="240"/>
              <w:ind/>
              <w:rPr/>
            </w:pPr>
            <w:r>
              <w:rPr>
                <w:rFonts w:ascii="Times New Roman" w:hAnsi="Times New Roman" w:eastAsia="Times New Roman" w:cs="Times New Roman"/>
                <w:color w:val="000000"/>
                <w:sz w:val="24"/>
              </w:rPr>
              <w:t xml:space="preserve">Altcoin OI relative to BTC OI</w:t>
            </w:r>
            <w:r/>
          </w:p>
        </w:tc>
        <w:tc>
          <w:tcPr>
            <w:tcBorders/>
            <w:tcMar>
              <w:left w:w="15" w:type="dxa"/>
              <w:top w:w="15" w:type="dxa"/>
              <w:right w:w="15" w:type="dxa"/>
              <w:bottom w:w="15" w:type="dxa"/>
            </w:tcMar>
            <w:tcW w:w="4285" w:type="dxa"/>
            <w:vAlign w:val="center"/>
          </w:tcPr>
          <w:p w14:paraId="27D4B1B1">
            <w:pPr>
              <w:pBdr/>
              <w:spacing w:after="0" w:before="0" w:line="240"/>
              <w:ind/>
              <w:rPr/>
            </w:pPr>
            <w:r>
              <w:rPr>
                <w:rFonts w:ascii="Times New Roman" w:hAnsi="Times New Roman" w:eastAsia="Times New Roman" w:cs="Times New Roman"/>
                <w:color w:val="000000"/>
                <w:sz w:val="24"/>
              </w:rPr>
              <w:t xml:space="preserve">instrument_oi / BTC_oi</w:t>
            </w:r>
            <w:r/>
          </w:p>
        </w:tc>
        <w:tc>
          <w:tcPr>
            <w:tcBorders/>
            <w:tcMar>
              <w:left w:w="15" w:type="dxa"/>
              <w:top w:w="15" w:type="dxa"/>
              <w:right w:w="15" w:type="dxa"/>
              <w:bottom w:w="15" w:type="dxa"/>
            </w:tcMar>
            <w:tcW w:w="729" w:type="dxa"/>
            <w:vAlign w:val="center"/>
          </w:tcPr>
          <w:p w14:paraId="09230B48">
            <w:pPr>
              <w:pBdr/>
              <w:spacing w:after="0" w:before="0" w:line="240"/>
              <w:ind/>
              <w:rPr/>
            </w:pPr>
            <w:r>
              <w:rPr>
                <w:rFonts w:ascii="Times New Roman" w:hAnsi="Times New Roman" w:eastAsia="Times New Roman" w:cs="Times New Roman"/>
                <w:color w:val="000000"/>
                <w:sz w:val="24"/>
              </w:rPr>
              <w:t xml:space="preserve">8h</w:t>
            </w:r>
            <w:r/>
          </w:p>
        </w:tc>
        <w:tc>
          <w:tcPr>
            <w:tcBorders/>
            <w:tcMar>
              <w:left w:w="15" w:type="dxa"/>
              <w:top w:w="15" w:type="dxa"/>
              <w:right w:w="15" w:type="dxa"/>
              <w:bottom w:w="15" w:type="dxa"/>
            </w:tcMar>
            <w:tcW w:w="1789" w:type="dxa"/>
            <w:vAlign w:val="center"/>
          </w:tcPr>
          <w:p w14:paraId="23DB2289">
            <w:pPr>
              <w:pBdr/>
              <w:spacing w:after="0" w:before="0" w:line="240"/>
              <w:ind/>
              <w:rPr/>
            </w:pPr>
            <w:r>
              <w:rPr>
                <w:rFonts w:ascii="Times New Roman" w:hAnsi="Times New Roman" w:eastAsia="Times New Roman" w:cs="Times New Roman"/>
                <w:color w:val="000000"/>
                <w:sz w:val="24"/>
              </w:rPr>
              <w:t xml:space="preserve">Relative leverage</w:t>
            </w:r>
            <w:r/>
          </w:p>
        </w:tc>
      </w:tr>
      <w:tr>
        <w:trPr/>
        <w:tc>
          <w:tcPr>
            <w:tcBorders/>
            <w:tcMar>
              <w:left w:w="15" w:type="dxa"/>
              <w:top w:w="15" w:type="dxa"/>
              <w:right w:w="15" w:type="dxa"/>
              <w:bottom w:w="15" w:type="dxa"/>
            </w:tcMar>
            <w:tcW w:w="2551" w:type="dxa"/>
            <w:vAlign w:val="center"/>
          </w:tcPr>
          <w:p w14:paraId="486A6201">
            <w:pPr>
              <w:pBdr/>
              <w:spacing w:after="0" w:before="0" w:line="240"/>
              <w:ind/>
              <w:rPr/>
            </w:pPr>
            <w:r>
              <w:rPr>
                <w:rFonts w:ascii="Times New Roman" w:hAnsi="Times New Roman" w:eastAsia="Times New Roman" w:cs="Times New Roman"/>
                <w:color w:val="000000"/>
                <w:sz w:val="24"/>
              </w:rPr>
              <w:t xml:space="preserve">BTC beta</w:t>
            </w:r>
            <w:r/>
          </w:p>
        </w:tc>
        <w:tc>
          <w:tcPr>
            <w:tcBorders/>
            <w:tcMar>
              <w:left w:w="15" w:type="dxa"/>
              <w:top w:w="15" w:type="dxa"/>
              <w:right w:w="15" w:type="dxa"/>
              <w:bottom w:w="15" w:type="dxa"/>
            </w:tcMar>
            <w:tcW w:w="4285" w:type="dxa"/>
            <w:vAlign w:val="center"/>
          </w:tcPr>
          <w:p w14:paraId="6FC2FBC2">
            <w:pPr>
              <w:pBdr/>
              <w:spacing w:after="0" w:before="0" w:line="240"/>
              <w:ind/>
              <w:rPr/>
            </w:pPr>
            <w:r>
              <w:rPr>
                <w:rFonts w:ascii="Times New Roman" w:hAnsi="Times New Roman" w:eastAsia="Times New Roman" w:cs="Times New Roman"/>
                <w:color w:val="000000"/>
                <w:sz w:val="24"/>
              </w:rPr>
              <w:t xml:space="preserve">Rolling 30d beta of instrument returns to BTC returns</w:t>
            </w:r>
            <w:r/>
          </w:p>
        </w:tc>
        <w:tc>
          <w:tcPr>
            <w:tcBorders/>
            <w:tcMar>
              <w:left w:w="15" w:type="dxa"/>
              <w:top w:w="15" w:type="dxa"/>
              <w:right w:w="15" w:type="dxa"/>
              <w:bottom w:w="15" w:type="dxa"/>
            </w:tcMar>
            <w:tcW w:w="729" w:type="dxa"/>
            <w:vAlign w:val="center"/>
          </w:tcPr>
          <w:p w14:paraId="294BE795">
            <w:pPr>
              <w:pBdr/>
              <w:spacing w:after="0" w:before="0" w:line="240"/>
              <w:ind/>
              <w:rPr/>
            </w:pPr>
            <w:r>
              <w:rPr>
                <w:rFonts w:ascii="Times New Roman" w:hAnsi="Times New Roman" w:eastAsia="Times New Roman" w:cs="Times New Roman"/>
                <w:color w:val="000000"/>
                <w:sz w:val="24"/>
              </w:rPr>
              <w:t xml:space="preserve">1d</w:t>
            </w:r>
            <w:r/>
          </w:p>
        </w:tc>
        <w:tc>
          <w:tcPr>
            <w:tcBorders/>
            <w:tcMar>
              <w:left w:w="15" w:type="dxa"/>
              <w:top w:w="15" w:type="dxa"/>
              <w:right w:w="15" w:type="dxa"/>
              <w:bottom w:w="15" w:type="dxa"/>
            </w:tcMar>
            <w:tcW w:w="1789" w:type="dxa"/>
            <w:vAlign w:val="center"/>
          </w:tcPr>
          <w:p w14:paraId="63BC7FFB">
            <w:pPr>
              <w:pBdr/>
              <w:spacing w:after="0" w:before="0" w:line="240"/>
              <w:ind/>
              <w:rPr/>
            </w:pPr>
            <w:r>
              <w:rPr>
                <w:rFonts w:ascii="Times New Roman" w:hAnsi="Times New Roman" w:eastAsia="Times New Roman" w:cs="Times New Roman"/>
                <w:color w:val="000000"/>
                <w:sz w:val="24"/>
              </w:rPr>
              <w:t xml:space="preserve">Market sensitivity</w:t>
            </w:r>
            <w:r/>
          </w:p>
        </w:tc>
      </w:tr>
    </w:tbl>
    <w:p w14:paraId="6BCEE27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 Computation Architecture</w:t>
      </w:r>
      <w:r/>
    </w:p>
    <w:p w14:paraId="6CFF4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Trigger model:</w:t>
      </w:r>
      <w:r>
        <w:rPr>
          <w:rFonts w:ascii="Times New Roman" w:hAnsi="Times New Roman" w:eastAsia="Times New Roman" w:cs="Times New Roman"/>
          <w:color w:val="000000"/>
          <w:sz w:val="24"/>
        </w:rPr>
        <w:t xml:space="preserve"> Features are computed on a scheduled cadence triggered by the arrival of new metric data in the Data Universe, not by a wall-clock schedule. When the 8h derivatives batch is ingested and validated, the 8h features are recomputed for all affected instrumen</w:t>
      </w:r>
      <w:r>
        <w:rPr>
          <w:rFonts w:ascii="Times New Roman" w:hAnsi="Times New Roman" w:eastAsia="Times New Roman" w:cs="Times New Roman"/>
          <w:color w:val="000000"/>
          <w:sz w:val="24"/>
        </w:rPr>
        <w:t xml:space="preserve">ts. When the daily macro observation lands, the daily features are recomputed.</w:t>
      </w:r>
      <w:r/>
    </w:p>
    <w:p w14:paraId="133F2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matters because: wall-clock schedules create false staleness (feature computed but metric not yet arrived). Event-triggered computation ensures features are current relative to the data that exists, not relative to a clock.</w:t>
      </w:r>
      <w:r/>
    </w:p>
    <w:p w14:paraId="3ABDA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Computation order within a cadence trigger:</w:t>
      </w:r>
      <w:r/>
    </w:p>
    <w:p w14:paraId="1EE1016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A features (rolling transforms) — no dependencies between instruments</w:t>
      </w:r>
      <w:r/>
    </w:p>
    <w:p w14:paraId="32AD962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C features (ratios) — depends on Category A being current</w:t>
      </w:r>
      <w:r/>
    </w:p>
    <w:p w14:paraId="135AB73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B features (cross-sectional ranks) — requires all instruments' Category A values at current timestamp</w:t>
      </w:r>
      <w:r/>
    </w:p>
    <w:p w14:paraId="0AF97E5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F features (breadth) — requires all instruments' Category A and B values</w:t>
      </w:r>
      <w:r/>
    </w:p>
    <w:p w14:paraId="179BA51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G features (cross-asset) — requires specific instruments' values</w:t>
      </w:r>
      <w:r/>
    </w:p>
    <w:p w14:paraId="765DB9D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D labels (regime states) — requires Categories A–C current</w:t>
      </w:r>
      <w:r/>
    </w:p>
    <w:p w14:paraId="23D55A8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E features (calendar) — independent, always current</w:t>
      </w:r>
      <w:r/>
    </w:p>
    <w:p w14:paraId="23925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Recomputation scope:</w:t>
      </w:r>
      <w:r>
        <w:rPr>
          <w:rFonts w:ascii="Times New Roman" w:hAnsi="Times New Roman" w:eastAsia="Times New Roman" w:cs="Times New Roman"/>
          <w:color w:val="000000"/>
          <w:sz w:val="24"/>
        </w:rPr>
        <w:t xml:space="preserve"> When a historical metric observation is revised (PIT correction in Layer 3), features derived from that observation are flagged stale and requeued for recomputation. Recomputation propagates forward from the revision point to the present. This is bounded </w:t>
      </w:r>
      <w:r>
        <w:rPr>
          <w:rFonts w:ascii="Times New Roman" w:hAnsi="Times New Roman" w:eastAsia="Times New Roman" w:cs="Times New Roman"/>
          <w:color w:val="000000"/>
          <w:sz w:val="24"/>
        </w:rPr>
        <w:t xml:space="preserve">by instrument + metric + timestamp, not a full recompute of all history.</w:t>
      </w:r>
      <w:r/>
    </w:p>
    <w:p w14:paraId="443ABF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Idempotency:</w:t>
      </w:r>
      <w:r>
        <w:rPr>
          <w:rFonts w:ascii="Times New Roman" w:hAnsi="Times New Roman" w:eastAsia="Times New Roman" w:cs="Times New Roman"/>
          <w:color w:val="000000"/>
          <w:sz w:val="24"/>
        </w:rPr>
        <w:t xml:space="preserve"> Feature computation is idempotent. Running the computation twice with the same inputs produces the same output. This is a hard requirement — it makes backfill, recomputation, and debugging tractable.</w:t>
      </w:r>
      <w:r/>
    </w:p>
    <w:p w14:paraId="36EE08A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 Catalog Structure</w:t>
      </w:r>
      <w:r/>
    </w:p>
    <w:p w14:paraId="0B20BD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feature has a catalog entry before it is computed. Entries are immutable once locked. A feature change requires a new version entry.</w:t>
      </w:r>
      <w:r/>
    </w:p>
    <w:p w14:paraId="6D39F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yaml</w:t>
      </w:r>
      <w:r/>
    </w:p>
    <w:p w14:paraId="2137B8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feature</w:t>
      </w:r>
      <w:r>
        <w:rPr>
          <w:rFonts w:ascii="Times New Roman" w:hAnsi="Times New Roman" w:eastAsia="Times New Roman" w:cs="Times New Roman"/>
          <w:color w:val="d3d7de"/>
          <w:sz w:val="24"/>
        </w:rPr>
        <w:t xml:space="preserve">:</w:t>
      </w:r>
      <w:r/>
    </w:p>
    <w:p w14:paraId="266B8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name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"funding_rate_zscore_30d"</w:t>
      </w:r>
      <w:r/>
    </w:p>
    <w:p w14:paraId="0DA59D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version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"v1"</w:t>
      </w:r>
      <w:r/>
    </w:p>
    <w:p w14:paraId="5C277E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category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"A"</w:t>
      </w:r>
      <w:r/>
    </w:p>
    <w:p w14:paraId="31D6B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description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"Z-score of funding rate against its trailing 30-day distribution"</w:t>
      </w:r>
      <w:r/>
    </w:p>
    <w:p w14:paraId="05AA9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input_metric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"derivatives.funding_rate"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canonical name assigned in Thread 4</w:t>
      </w:r>
      <w:r/>
    </w:p>
    <w:p w14:paraId="34D13F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formula</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"(value - rolling_mean(30d)) / rolling_std(30d)"</w:t>
      </w:r>
      <w:r/>
    </w:p>
    <w:p w14:paraId="53202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window_days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30</w:t>
      </w:r>
      <w:r/>
    </w:p>
    <w:p w14:paraId="4C877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min_observations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20</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require at least 20 obs in window before computing</w:t>
      </w:r>
      <w:r/>
    </w:p>
    <w:p w14:paraId="60C8A2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cadence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"8h"</w:t>
      </w:r>
      <w:r/>
    </w:p>
    <w:p w14:paraId="5D6F13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granularity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"per_instrument"</w:t>
      </w:r>
      <w:r/>
    </w:p>
    <w:p w14:paraId="11131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output_type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"continuous"</w:t>
      </w:r>
      <w:r/>
    </w:p>
    <w:p w14:paraId="1C31C9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output_range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5eeded"/>
          <w:sz w:val="24"/>
        </w:rPr>
        <w:t xml:space="preserve">-5.0</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5.0</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values outside this range are flagged anomalous</w:t>
      </w:r>
      <w:r/>
    </w:p>
    <w:p w14:paraId="1252EB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null_states</w:t>
      </w:r>
      <w:r>
        <w:rPr>
          <w:rFonts w:ascii="Times New Roman" w:hAnsi="Times New Roman" w:eastAsia="Times New Roman" w:cs="Times New Roman"/>
          <w:color w:val="d3d7de"/>
          <w:sz w:val="24"/>
        </w:rPr>
        <w:t xml:space="preserve">:</w:t>
      </w:r>
      <w:r/>
    </w:p>
    <w:p w14:paraId="2FC002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INSUFFICIENT_HISTORY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"fewer than 20 observations in 30d window"</w:t>
      </w:r>
      <w:r/>
    </w:p>
    <w:p w14:paraId="7B3A46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SOURCE_STALE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"most recent observation older than 16h"</w:t>
      </w:r>
      <w:r/>
    </w:p>
    <w:p w14:paraId="3E3493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METRIC_UNAVAILABLE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"metric not tracked for this instrument"</w:t>
      </w:r>
      <w:r/>
    </w:p>
    <w:p w14:paraId="26175D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pit_constraint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"uses only observations with valid_from &lt;= computation_timestamp"</w:t>
      </w:r>
      <w:r/>
    </w:p>
    <w:p w14:paraId="1FD73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consuming_models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"M-Derivatives"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"EDSx-Derivatives"</w:t>
      </w:r>
      <w:r>
        <w:rPr>
          <w:rFonts w:ascii="Times New Roman" w:hAnsi="Times New Roman" w:eastAsia="Times New Roman" w:cs="Times New Roman"/>
          <w:color w:val="d3d7de"/>
          <w:sz w:val="24"/>
        </w:rPr>
        <w:t xml:space="preserve">]</w:t>
      </w:r>
      <w:r/>
    </w:p>
    <w:p w14:paraId="251D45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"active"</w:t>
      </w:r>
      <w:r/>
    </w:p>
    <w:p w14:paraId="1D4A94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created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"2026-03-04"</w:t>
      </w:r>
      <w:r/>
    </w:p>
    <w:p w14:paraId="111709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deprecated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b/>
          <w:color w:val="f47b85"/>
          <w:sz w:val="24"/>
        </w:rPr>
        <w:t xml:space="preserve">null</w:t>
      </w:r>
      <w:r/>
    </w:p>
    <w:p w14:paraId="7D214BE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 Requirements Handed to Thread 4</w:t>
      </w:r>
      <w:r/>
    </w:p>
    <w:p w14:paraId="77E52C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Thread 3 → Thread 4 contract. The Data Universe must provide the following metric concepts. Thread 4 will assign canonical names, define storage schema, and lock validation rules for each.</w:t>
      </w:r>
      <w:r/>
    </w:p>
    <w:p w14:paraId="48458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Derivatives domain, per instrument, 8h cadence:</w:t>
      </w:r>
      <w:r/>
    </w:p>
    <w:p w14:paraId="4FA9D10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Perpetual funding rate (signed float, rate per 8h period)</w:t>
      </w:r>
      <w:r/>
    </w:p>
    <w:p w14:paraId="64161AD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interest in USD (positive float)</w:t>
      </w:r>
      <w:r/>
    </w:p>
    <w:p w14:paraId="086A735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 liquidation volume in USD (positive float)</w:t>
      </w:r>
      <w:r/>
    </w:p>
    <w:p w14:paraId="26978A9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Short liquidation volume in USD (positive float)</w:t>
      </w:r>
      <w:r/>
    </w:p>
    <w:p w14:paraId="0B2DFB4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Perpetual price (for basis calculation against spot)</w:t>
      </w:r>
      <w:r/>
    </w:p>
    <w:p w14:paraId="577A98F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Options 25-delta skew (signed float, nullable — options markets only)</w:t>
      </w:r>
      <w:r/>
    </w:p>
    <w:p w14:paraId="1E70DC8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Options implied volatility by tenor: 1w, 1m (positive float, nullable)</w:t>
      </w:r>
      <w:r/>
    </w:p>
    <w:p w14:paraId="6CA3A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Spot/price domain, per instrument, minimum 1d cadence:</w:t>
      </w:r>
      <w:r/>
    </w:p>
    <w:p w14:paraId="447E476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Spot price in USD</w:t>
      </w:r>
      <w:r/>
    </w:p>
    <w:p w14:paraId="6B64268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Spot trading volume in USD</w:t>
      </w:r>
      <w:r/>
    </w:p>
    <w:p w14:paraId="43C3FAD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capitalization in USD</w:t>
      </w:r>
      <w:r/>
    </w:p>
    <w:p w14:paraId="083EA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Capital flows domain, per instrument, 1d cadence:</w:t>
      </w:r>
      <w:r/>
    </w:p>
    <w:p w14:paraId="07819E9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Exchange inflow volume in USD</w:t>
      </w:r>
      <w:r/>
    </w:p>
    <w:p w14:paraId="4712C29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Exchange outflow volume in USD</w:t>
      </w:r>
      <w:r/>
    </w:p>
    <w:p w14:paraId="4B7F221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On-chain transfer volume in USD</w:t>
      </w:r>
      <w:r/>
    </w:p>
    <w:p w14:paraId="41C9C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Stablecoin domain, market-level, 1d cadence:</w:t>
      </w:r>
      <w:r/>
    </w:p>
    <w:p w14:paraId="4D671E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stablecoin supply in USD (aggregate across major stablecoins)</w:t>
      </w:r>
      <w:r/>
    </w:p>
    <w:p w14:paraId="6B7B77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Per-stablecoin supply in USD (top 5 by market cap minimum)</w:t>
      </w:r>
      <w:r/>
    </w:p>
    <w:p w14:paraId="165B976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Peg price per stablecoin (for deviation calculation)</w:t>
      </w:r>
      <w:r/>
    </w:p>
    <w:p w14:paraId="0C73E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ETF domain, per product, 1d cadence:</w:t>
      </w:r>
      <w:r/>
    </w:p>
    <w:p w14:paraId="6D6B71E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Daily net flow in USD</w:t>
      </w:r>
      <w:r/>
    </w:p>
    <w:p w14:paraId="162013E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AUM in USD</w:t>
      </w:r>
      <w:r/>
    </w:p>
    <w:p w14:paraId="1CA844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Covered instruments: BTC, ETH, SOL minimum</w:t>
      </w:r>
      <w:r/>
    </w:p>
    <w:p w14:paraId="2C84EC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DeFi domain, market-level and per-protocol, 1d cadence:</w:t>
      </w:r>
      <w:r/>
    </w:p>
    <w:p w14:paraId="4BB46FF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DeFi TVL in USD</w:t>
      </w:r>
      <w:r/>
    </w:p>
    <w:p w14:paraId="00A810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Per-protocol TVL in USD (top 20 protocols minimum)</w:t>
      </w:r>
      <w:r/>
    </w:p>
    <w:p w14:paraId="17850AB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DEX volume in USD (1d)</w:t>
      </w:r>
      <w:r/>
    </w:p>
    <w:p w14:paraId="1B8DF91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Per-protocol lending utilization rate (float 0–1)</w:t>
      </w:r>
      <w:r/>
    </w:p>
    <w:p w14:paraId="7C2F12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Macro domain, market-level, 1d cadence:</w:t>
      </w:r>
      <w:r/>
    </w:p>
    <w:p w14:paraId="606FB00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 10-year treasury yield</w:t>
      </w:r>
      <w:r/>
    </w:p>
    <w:p w14:paraId="3D5D604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 2-year treasury yield</w:t>
      </w:r>
      <w:r/>
    </w:p>
    <w:p w14:paraId="1740089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 Dollar Index (DXY)</w:t>
      </w:r>
      <w:r/>
    </w:p>
    <w:p w14:paraId="16FDB9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 yield corporate bond OAS (option-adjusted spread)</w:t>
      </w:r>
      <w:r/>
    </w:p>
    <w:p w14:paraId="20FEF14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Effective federal funds rate</w:t>
      </w:r>
      <w:r/>
    </w:p>
    <w:p w14:paraId="193E4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Derived market metrics, computed in Layer 3 or Layer 4:</w:t>
      </w:r>
      <w:r/>
    </w:p>
    <w:p w14:paraId="510981D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crypto market capitalization in USD</w:t>
      </w:r>
      <w:r/>
    </w:p>
    <w:p w14:paraId="2D250FC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 market cap dominance percentage</w:t>
      </w:r>
      <w:r/>
    </w:p>
    <w:p w14:paraId="77835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History depth requirements:</w:t>
      </w:r>
      <w:r/>
    </w:p>
    <w:p w14:paraId="2F417A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Derivatives metrics: minimum 3 years for ML training</w:t>
      </w:r>
      <w:r/>
    </w:p>
    <w:p w14:paraId="453F22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Macro metrics: minimum 10 years (regime classification requires long context)</w:t>
      </w:r>
      <w:r/>
    </w:p>
    <w:p w14:paraId="15A252F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On-chain / flows: minimum 3 years</w:t>
      </w:r>
      <w:r/>
    </w:p>
    <w:p w14:paraId="1A4FE49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 metrics: minimum 2 years (DeFi history is inherently shallower)</w:t>
      </w:r>
      <w:r/>
    </w:p>
    <w:p w14:paraId="48A3E08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ETF metrics: from product inception (2024 for most spot ETFs)</w:t>
      </w:r>
      <w:r/>
    </w:p>
    <w:p w14:paraId="02032BA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Decisions Locked by Thread 3</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88"/>
        <w:gridCol w:w="7566"/>
      </w:tblGrid>
      <w:tr>
        <w:trPr/>
        <w:tc>
          <w:tcPr>
            <w:tcBorders/>
            <w:tcMar>
              <w:left w:w="15" w:type="dxa"/>
              <w:top w:w="15" w:type="dxa"/>
              <w:right w:w="15" w:type="dxa"/>
              <w:bottom w:w="15" w:type="dxa"/>
            </w:tcMar>
            <w:tcW w:w="1788" w:type="dxa"/>
            <w:vAlign w:val="center"/>
          </w:tcPr>
          <w:p w14:paraId="52B7BA38">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7566" w:type="dxa"/>
            <w:vAlign w:val="center"/>
          </w:tcPr>
          <w:p w14:paraId="20EFB12E">
            <w:pPr>
              <w:pBdr/>
              <w:spacing w:after="0" w:before="0" w:line="240"/>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1788" w:type="dxa"/>
            <w:vAlign w:val="center"/>
          </w:tcPr>
          <w:p w14:paraId="10404C36">
            <w:pPr>
              <w:pBdr/>
              <w:spacing w:after="0" w:before="0" w:line="240"/>
              <w:ind/>
              <w:rPr/>
            </w:pPr>
            <w:r>
              <w:rPr>
                <w:rFonts w:ascii="Times New Roman" w:hAnsi="Times New Roman" w:eastAsia="Times New Roman" w:cs="Times New Roman"/>
                <w:color w:val="000000"/>
                <w:sz w:val="24"/>
              </w:rPr>
              <w:t xml:space="preserve">Feature versioning</w:t>
            </w:r>
            <w:r/>
          </w:p>
        </w:tc>
        <w:tc>
          <w:tcPr>
            <w:tcBorders/>
            <w:tcMar>
              <w:left w:w="15" w:type="dxa"/>
              <w:top w:w="15" w:type="dxa"/>
              <w:right w:w="15" w:type="dxa"/>
              <w:bottom w:w="15" w:type="dxa"/>
            </w:tcMar>
            <w:tcW w:w="7566" w:type="dxa"/>
            <w:vAlign w:val="center"/>
          </w:tcPr>
          <w:p w14:paraId="430274DE">
            <w:pPr>
              <w:pBdr/>
              <w:spacing w:after="0" w:before="0" w:line="240"/>
              <w:ind/>
              <w:rPr/>
            </w:pPr>
            <w:r>
              <w:rPr>
                <w:rFonts w:ascii="Times New Roman" w:hAnsi="Times New Roman" w:eastAsia="Times New Roman" w:cs="Times New Roman"/>
                <w:color w:val="000000"/>
                <w:sz w:val="24"/>
              </w:rPr>
              <w:t xml:space="preserve">Every feature has a versioned catalog entry. Formula changes create new versions.</w:t>
            </w:r>
            <w:r/>
          </w:p>
        </w:tc>
      </w:tr>
      <w:tr>
        <w:trPr/>
        <w:tc>
          <w:tcPr>
            <w:tcBorders/>
            <w:tcMar>
              <w:left w:w="15" w:type="dxa"/>
              <w:top w:w="15" w:type="dxa"/>
              <w:right w:w="15" w:type="dxa"/>
              <w:bottom w:w="15" w:type="dxa"/>
            </w:tcMar>
            <w:tcW w:w="1788" w:type="dxa"/>
            <w:vAlign w:val="center"/>
          </w:tcPr>
          <w:p w14:paraId="1034623D">
            <w:pPr>
              <w:pBdr/>
              <w:spacing w:after="0" w:before="0" w:line="240"/>
              <w:ind/>
              <w:rPr/>
            </w:pPr>
            <w:r>
              <w:rPr>
                <w:rFonts w:ascii="Times New Roman" w:hAnsi="Times New Roman" w:eastAsia="Times New Roman" w:cs="Times New Roman"/>
                <w:color w:val="000000"/>
                <w:sz w:val="24"/>
              </w:rPr>
              <w:t xml:space="preserve">Null typing</w:t>
            </w:r>
            <w:r/>
          </w:p>
        </w:tc>
        <w:tc>
          <w:tcPr>
            <w:tcBorders/>
            <w:tcMar>
              <w:left w:w="15" w:type="dxa"/>
              <w:top w:w="15" w:type="dxa"/>
              <w:right w:w="15" w:type="dxa"/>
              <w:bottom w:w="15" w:type="dxa"/>
            </w:tcMar>
            <w:tcW w:w="7566" w:type="dxa"/>
            <w:vAlign w:val="center"/>
          </w:tcPr>
          <w:p w14:paraId="0574E431">
            <w:pPr>
              <w:pBdr/>
              <w:spacing w:after="0" w:before="0" w:line="240"/>
              <w:ind/>
              <w:rPr/>
            </w:pPr>
            <w:r>
              <w:rPr>
                <w:rFonts w:ascii="Times New Roman" w:hAnsi="Times New Roman" w:eastAsia="Times New Roman" w:cs="Times New Roman"/>
                <w:color w:val="000000"/>
                <w:sz w:val="24"/>
              </w:rPr>
              <w:t xml:space="preserve">Three distinct null states: INSUFFICIENT_HISTORY, SOURCE_STALE, METRIC_UNAVAILABLE</w:t>
            </w:r>
            <w:r/>
          </w:p>
        </w:tc>
      </w:tr>
      <w:tr>
        <w:trPr/>
        <w:tc>
          <w:tcPr>
            <w:tcBorders/>
            <w:tcMar>
              <w:left w:w="15" w:type="dxa"/>
              <w:top w:w="15" w:type="dxa"/>
              <w:right w:w="15" w:type="dxa"/>
              <w:bottom w:w="15" w:type="dxa"/>
            </w:tcMar>
            <w:tcW w:w="1788" w:type="dxa"/>
            <w:vAlign w:val="center"/>
          </w:tcPr>
          <w:p w14:paraId="68C12545">
            <w:pPr>
              <w:pBdr/>
              <w:spacing w:after="0" w:before="0" w:line="240"/>
              <w:ind/>
              <w:rPr/>
            </w:pPr>
            <w:r>
              <w:rPr>
                <w:rFonts w:ascii="Times New Roman" w:hAnsi="Times New Roman" w:eastAsia="Times New Roman" w:cs="Times New Roman"/>
                <w:color w:val="000000"/>
                <w:sz w:val="24"/>
              </w:rPr>
              <w:t xml:space="preserve">PIT constraint</w:t>
            </w:r>
            <w:r/>
          </w:p>
        </w:tc>
        <w:tc>
          <w:tcPr>
            <w:tcBorders/>
            <w:tcMar>
              <w:left w:w="15" w:type="dxa"/>
              <w:top w:w="15" w:type="dxa"/>
              <w:right w:w="15" w:type="dxa"/>
              <w:bottom w:w="15" w:type="dxa"/>
            </w:tcMar>
            <w:tcW w:w="7566" w:type="dxa"/>
            <w:vAlign w:val="center"/>
          </w:tcPr>
          <w:p w14:paraId="6C1F806A">
            <w:pPr>
              <w:pBdr/>
              <w:spacing w:after="0" w:before="0" w:line="240"/>
              <w:ind/>
              <w:rPr/>
            </w:pPr>
            <w:r>
              <w:rPr>
                <w:rFonts w:ascii="Times New Roman" w:hAnsi="Times New Roman" w:eastAsia="Times New Roman" w:cs="Times New Roman"/>
                <w:color w:val="000000"/>
                <w:sz w:val="24"/>
              </w:rPr>
              <w:t xml:space="preserve">Absolute. No feature uses data with valid_from &gt; computation_timestamp.</w:t>
            </w:r>
            <w:r/>
          </w:p>
        </w:tc>
      </w:tr>
      <w:tr>
        <w:trPr/>
        <w:tc>
          <w:tcPr>
            <w:tcBorders/>
            <w:tcMar>
              <w:left w:w="15" w:type="dxa"/>
              <w:top w:w="15" w:type="dxa"/>
              <w:right w:w="15" w:type="dxa"/>
              <w:bottom w:w="15" w:type="dxa"/>
            </w:tcMar>
            <w:tcW w:w="1788" w:type="dxa"/>
            <w:vAlign w:val="center"/>
          </w:tcPr>
          <w:p w14:paraId="140ECC3F">
            <w:pPr>
              <w:pBdr/>
              <w:spacing w:after="0" w:before="0" w:line="240"/>
              <w:ind/>
              <w:rPr/>
            </w:pPr>
            <w:r>
              <w:rPr>
                <w:rFonts w:ascii="Times New Roman" w:hAnsi="Times New Roman" w:eastAsia="Times New Roman" w:cs="Times New Roman"/>
                <w:color w:val="000000"/>
                <w:sz w:val="24"/>
              </w:rPr>
              <w:t xml:space="preserve">Computation trigger</w:t>
            </w:r>
            <w:r/>
          </w:p>
        </w:tc>
        <w:tc>
          <w:tcPr>
            <w:tcBorders/>
            <w:tcMar>
              <w:left w:w="15" w:type="dxa"/>
              <w:top w:w="15" w:type="dxa"/>
              <w:right w:w="15" w:type="dxa"/>
              <w:bottom w:w="15" w:type="dxa"/>
            </w:tcMar>
            <w:tcW w:w="7566" w:type="dxa"/>
            <w:vAlign w:val="center"/>
          </w:tcPr>
          <w:p w14:paraId="475ACFA3">
            <w:pPr>
              <w:pBdr/>
              <w:spacing w:after="0" w:before="0" w:line="240"/>
              <w:ind/>
              <w:rPr/>
            </w:pPr>
            <w:r>
              <w:rPr>
                <w:rFonts w:ascii="Times New Roman" w:hAnsi="Times New Roman" w:eastAsia="Times New Roman" w:cs="Times New Roman"/>
                <w:color w:val="000000"/>
                <w:sz w:val="24"/>
              </w:rPr>
              <w:t xml:space="preserve">Event-driven on metric ingestion, not wall-clock</w:t>
            </w:r>
            <w:r/>
          </w:p>
        </w:tc>
      </w:tr>
      <w:tr>
        <w:trPr/>
        <w:tc>
          <w:tcPr>
            <w:tcBorders/>
            <w:tcMar>
              <w:left w:w="15" w:type="dxa"/>
              <w:top w:w="15" w:type="dxa"/>
              <w:right w:w="15" w:type="dxa"/>
              <w:bottom w:w="15" w:type="dxa"/>
            </w:tcMar>
            <w:tcW w:w="1788" w:type="dxa"/>
            <w:vAlign w:val="center"/>
          </w:tcPr>
          <w:p w14:paraId="3AE67241">
            <w:pPr>
              <w:pBdr/>
              <w:spacing w:after="0" w:before="0" w:line="240"/>
              <w:ind/>
              <w:rPr/>
            </w:pPr>
            <w:r>
              <w:rPr>
                <w:rFonts w:ascii="Times New Roman" w:hAnsi="Times New Roman" w:eastAsia="Times New Roman" w:cs="Times New Roman"/>
                <w:color w:val="000000"/>
                <w:sz w:val="24"/>
              </w:rPr>
              <w:t xml:space="preserve">Computation order</w:t>
            </w:r>
            <w:r/>
          </w:p>
        </w:tc>
        <w:tc>
          <w:tcPr>
            <w:tcBorders/>
            <w:tcMar>
              <w:left w:w="15" w:type="dxa"/>
              <w:top w:w="15" w:type="dxa"/>
              <w:right w:w="15" w:type="dxa"/>
              <w:bottom w:w="15" w:type="dxa"/>
            </w:tcMar>
            <w:tcW w:w="7566" w:type="dxa"/>
            <w:vAlign w:val="center"/>
          </w:tcPr>
          <w:p w14:paraId="00C00F43">
            <w:pPr>
              <w:pBdr/>
              <w:spacing w:after="0" w:before="0" w:line="240"/>
              <w:ind/>
              <w:rPr/>
            </w:pPr>
            <w:r>
              <w:rPr>
                <w:rFonts w:ascii="Times New Roman" w:hAnsi="Times New Roman" w:eastAsia="Times New Roman" w:cs="Times New Roman"/>
                <w:color w:val="000000"/>
                <w:sz w:val="24"/>
              </w:rPr>
              <w:t xml:space="preserve">A → C → B → F → G → D → E within each cadence trigger</w:t>
            </w:r>
            <w:r/>
          </w:p>
        </w:tc>
      </w:tr>
      <w:tr>
        <w:trPr/>
        <w:tc>
          <w:tcPr>
            <w:tcBorders/>
            <w:tcMar>
              <w:left w:w="15" w:type="dxa"/>
              <w:top w:w="15" w:type="dxa"/>
              <w:right w:w="15" w:type="dxa"/>
              <w:bottom w:w="15" w:type="dxa"/>
            </w:tcMar>
            <w:tcW w:w="1788" w:type="dxa"/>
            <w:vAlign w:val="center"/>
          </w:tcPr>
          <w:p w14:paraId="4628E721">
            <w:pPr>
              <w:pBdr/>
              <w:spacing w:after="0" w:before="0" w:line="240"/>
              <w:ind/>
              <w:rPr/>
            </w:pPr>
            <w:r>
              <w:rPr>
                <w:rFonts w:ascii="Times New Roman" w:hAnsi="Times New Roman" w:eastAsia="Times New Roman" w:cs="Times New Roman"/>
                <w:color w:val="000000"/>
                <w:sz w:val="24"/>
              </w:rPr>
              <w:t xml:space="preserve">Idempotency</w:t>
            </w:r>
            <w:r/>
          </w:p>
        </w:tc>
        <w:tc>
          <w:tcPr>
            <w:tcBorders/>
            <w:tcMar>
              <w:left w:w="15" w:type="dxa"/>
              <w:top w:w="15" w:type="dxa"/>
              <w:right w:w="15" w:type="dxa"/>
              <w:bottom w:w="15" w:type="dxa"/>
            </w:tcMar>
            <w:tcW w:w="7566" w:type="dxa"/>
            <w:vAlign w:val="center"/>
          </w:tcPr>
          <w:p w14:paraId="3CACA908">
            <w:pPr>
              <w:pBdr/>
              <w:spacing w:after="0" w:before="0" w:line="240"/>
              <w:ind/>
              <w:rPr/>
            </w:pPr>
            <w:r>
              <w:rPr>
                <w:rFonts w:ascii="Times New Roman" w:hAnsi="Times New Roman" w:eastAsia="Times New Roman" w:cs="Times New Roman"/>
                <w:color w:val="000000"/>
                <w:sz w:val="24"/>
              </w:rPr>
              <w:t xml:space="preserve">Hard requirement. Same inputs always produce same outputs.</w:t>
            </w:r>
            <w:r/>
          </w:p>
        </w:tc>
      </w:tr>
      <w:tr>
        <w:trPr/>
        <w:tc>
          <w:tcPr>
            <w:tcBorders/>
            <w:tcMar>
              <w:left w:w="15" w:type="dxa"/>
              <w:top w:w="15" w:type="dxa"/>
              <w:right w:w="15" w:type="dxa"/>
              <w:bottom w:w="15" w:type="dxa"/>
            </w:tcMar>
            <w:tcW w:w="1788" w:type="dxa"/>
            <w:vAlign w:val="center"/>
          </w:tcPr>
          <w:p w14:paraId="3BF06901">
            <w:pPr>
              <w:pBdr/>
              <w:spacing w:after="0" w:before="0" w:line="240"/>
              <w:ind/>
              <w:rPr/>
            </w:pPr>
            <w:r>
              <w:rPr>
                <w:rFonts w:ascii="Times New Roman" w:hAnsi="Times New Roman" w:eastAsia="Times New Roman" w:cs="Times New Roman"/>
                <w:color w:val="000000"/>
                <w:sz w:val="24"/>
              </w:rPr>
              <w:t xml:space="preserve">Cross-sectional ranks</w:t>
            </w:r>
            <w:r/>
          </w:p>
        </w:tc>
        <w:tc>
          <w:tcPr>
            <w:tcBorders/>
            <w:tcMar>
              <w:left w:w="15" w:type="dxa"/>
              <w:top w:w="15" w:type="dxa"/>
              <w:right w:w="15" w:type="dxa"/>
              <w:bottom w:w="15" w:type="dxa"/>
            </w:tcMar>
            <w:tcW w:w="7566" w:type="dxa"/>
            <w:vAlign w:val="center"/>
          </w:tcPr>
          <w:p w14:paraId="36B5CFC8">
            <w:pPr>
              <w:pBdr/>
              <w:spacing w:after="0" w:before="0" w:line="240"/>
              <w:ind/>
              <w:rPr/>
            </w:pPr>
            <w:r>
              <w:rPr>
                <w:rFonts w:ascii="Times New Roman" w:hAnsi="Times New Roman" w:eastAsia="Times New Roman" w:cs="Times New Roman"/>
                <w:color w:val="000000"/>
                <w:sz w:val="24"/>
              </w:rPr>
              <w:t xml:space="preserve">Computed across signal-eligible universe at T. Historically stable.</w:t>
            </w:r>
            <w:r/>
          </w:p>
        </w:tc>
      </w:tr>
      <w:tr>
        <w:trPr/>
        <w:tc>
          <w:tcPr>
            <w:tcBorders/>
            <w:tcMar>
              <w:left w:w="15" w:type="dxa"/>
              <w:top w:w="15" w:type="dxa"/>
              <w:right w:w="15" w:type="dxa"/>
              <w:bottom w:w="15" w:type="dxa"/>
            </w:tcMar>
            <w:tcW w:w="1788" w:type="dxa"/>
            <w:vAlign w:val="center"/>
          </w:tcPr>
          <w:p w14:paraId="6D38512D">
            <w:pPr>
              <w:pBdr/>
              <w:spacing w:after="0" w:before="0" w:line="240"/>
              <w:ind/>
              <w:rPr/>
            </w:pPr>
            <w:r>
              <w:rPr>
                <w:rFonts w:ascii="Times New Roman" w:hAnsi="Times New Roman" w:eastAsia="Times New Roman" w:cs="Times New Roman"/>
                <w:color w:val="000000"/>
                <w:sz w:val="24"/>
              </w:rPr>
              <w:t xml:space="preserve">Breadth score</w:t>
            </w:r>
            <w:r/>
          </w:p>
        </w:tc>
        <w:tc>
          <w:tcPr>
            <w:tcBorders/>
            <w:tcMar>
              <w:left w:w="15" w:type="dxa"/>
              <w:top w:w="15" w:type="dxa"/>
              <w:right w:w="15" w:type="dxa"/>
              <w:bottom w:w="15" w:type="dxa"/>
            </w:tcMar>
            <w:tcW w:w="7566" w:type="dxa"/>
            <w:vAlign w:val="center"/>
          </w:tcPr>
          <w:p w14:paraId="28A561D0">
            <w:pPr>
              <w:pBdr/>
              <w:spacing w:after="0" w:before="0" w:line="240"/>
              <w:ind/>
              <w:rPr/>
            </w:pPr>
            <w:r>
              <w:rPr>
                <w:rFonts w:ascii="Times New Roman" w:hAnsi="Times New Roman" w:eastAsia="Times New Roman" w:cs="Times New Roman"/>
                <w:color w:val="000000"/>
                <w:sz w:val="24"/>
              </w:rPr>
              <w:t xml:space="preserve">Deterministic formula, fixed weights, not learned.</w:t>
            </w:r>
            <w:r/>
          </w:p>
        </w:tc>
      </w:tr>
      <w:tr>
        <w:trPr/>
        <w:tc>
          <w:tcPr>
            <w:tcBorders/>
            <w:tcMar>
              <w:left w:w="15" w:type="dxa"/>
              <w:top w:w="15" w:type="dxa"/>
              <w:right w:w="15" w:type="dxa"/>
              <w:bottom w:w="15" w:type="dxa"/>
            </w:tcMar>
            <w:tcW w:w="1788" w:type="dxa"/>
            <w:vAlign w:val="center"/>
          </w:tcPr>
          <w:p w14:paraId="503CAF8F">
            <w:pPr>
              <w:pBdr/>
              <w:spacing w:after="0" w:before="0" w:line="240"/>
              <w:ind/>
              <w:rPr/>
            </w:pPr>
            <w:r>
              <w:rPr>
                <w:rFonts w:ascii="Times New Roman" w:hAnsi="Times New Roman" w:eastAsia="Times New Roman" w:cs="Times New Roman"/>
                <w:color w:val="000000"/>
                <w:sz w:val="24"/>
              </w:rPr>
              <w:t xml:space="preserve">Regime labels</w:t>
            </w:r>
            <w:r/>
          </w:p>
        </w:tc>
        <w:tc>
          <w:tcPr>
            <w:tcBorders/>
            <w:tcMar>
              <w:left w:w="15" w:type="dxa"/>
              <w:top w:w="15" w:type="dxa"/>
              <w:right w:w="15" w:type="dxa"/>
              <w:bottom w:w="15" w:type="dxa"/>
            </w:tcMar>
            <w:tcW w:w="7566" w:type="dxa"/>
            <w:vAlign w:val="center"/>
          </w:tcPr>
          <w:p w14:paraId="31A5E6C8">
            <w:pPr>
              <w:pBdr/>
              <w:spacing w:after="0" w:before="0" w:line="240"/>
              <w:ind/>
              <w:rPr/>
            </w:pPr>
            <w:r>
              <w:rPr>
                <w:rFonts w:ascii="Times New Roman" w:hAnsi="Times New Roman" w:eastAsia="Times New Roman" w:cs="Times New Roman"/>
                <w:color w:val="000000"/>
                <w:sz w:val="24"/>
              </w:rPr>
              <w:t xml:space="preserve">Discretized from continuous features at fixed thresholds, specified in catalog</w:t>
            </w:r>
            <w:r/>
          </w:p>
        </w:tc>
      </w:tr>
      <w:tr>
        <w:trPr/>
        <w:tc>
          <w:tcPr>
            <w:tcBorders/>
            <w:tcMar>
              <w:left w:w="15" w:type="dxa"/>
              <w:top w:w="15" w:type="dxa"/>
              <w:right w:w="15" w:type="dxa"/>
              <w:bottom w:w="15" w:type="dxa"/>
            </w:tcMar>
            <w:tcW w:w="1788" w:type="dxa"/>
            <w:vAlign w:val="center"/>
          </w:tcPr>
          <w:p w14:paraId="33131331">
            <w:pPr>
              <w:pBdr/>
              <w:spacing w:after="0" w:before="0" w:line="240"/>
              <w:ind/>
              <w:rPr/>
            </w:pPr>
            <w:r>
              <w:rPr>
                <w:rFonts w:ascii="Times New Roman" w:hAnsi="Times New Roman" w:eastAsia="Times New Roman" w:cs="Times New Roman"/>
                <w:color w:val="000000"/>
                <w:sz w:val="24"/>
              </w:rPr>
              <w:t xml:space="preserve">Market regime classifier</w:t>
            </w:r>
            <w:r/>
          </w:p>
        </w:tc>
        <w:tc>
          <w:tcPr>
            <w:tcBorders/>
            <w:tcMar>
              <w:left w:w="15" w:type="dxa"/>
              <w:top w:w="15" w:type="dxa"/>
              <w:right w:w="15" w:type="dxa"/>
              <w:bottom w:w="15" w:type="dxa"/>
            </w:tcMar>
            <w:tcW w:w="7566" w:type="dxa"/>
            <w:vAlign w:val="center"/>
          </w:tcPr>
          <w:p w14:paraId="3D1BFC3B">
            <w:pPr>
              <w:pBdr/>
              <w:spacing w:after="0" w:before="0" w:line="240"/>
              <w:ind/>
              <w:rPr/>
            </w:pPr>
            <w:r>
              <w:rPr>
                <w:rFonts w:ascii="Times New Roman" w:hAnsi="Times New Roman" w:eastAsia="Times New Roman" w:cs="Times New Roman"/>
                <w:color w:val="000000"/>
                <w:sz w:val="24"/>
              </w:rPr>
              <w:t xml:space="preserve">Separate model. Feeds Category D. Does not feed per-instrument domain models.</w:t>
            </w:r>
            <w:r/>
          </w:p>
        </w:tc>
      </w:tr>
      <w:tr>
        <w:trPr/>
        <w:tc>
          <w:tcPr>
            <w:tcBorders/>
            <w:tcMar>
              <w:left w:w="15" w:type="dxa"/>
              <w:top w:w="15" w:type="dxa"/>
              <w:right w:w="15" w:type="dxa"/>
              <w:bottom w:w="15" w:type="dxa"/>
            </w:tcMar>
            <w:tcW w:w="1788" w:type="dxa"/>
            <w:vAlign w:val="center"/>
          </w:tcPr>
          <w:p w14:paraId="1C3D0FCF">
            <w:pPr>
              <w:pBdr/>
              <w:spacing w:after="0" w:before="0" w:line="240"/>
              <w:ind/>
              <w:rPr/>
            </w:pPr>
            <w:r>
              <w:rPr>
                <w:rFonts w:ascii="Times New Roman" w:hAnsi="Times New Roman" w:eastAsia="Times New Roman" w:cs="Times New Roman"/>
                <w:color w:val="000000"/>
                <w:sz w:val="24"/>
              </w:rPr>
              <w:t xml:space="preserve">Feature catalog</w:t>
            </w:r>
            <w:r/>
          </w:p>
        </w:tc>
        <w:tc>
          <w:tcPr>
            <w:tcBorders/>
            <w:tcMar>
              <w:left w:w="15" w:type="dxa"/>
              <w:top w:w="15" w:type="dxa"/>
              <w:right w:w="15" w:type="dxa"/>
              <w:bottom w:w="15" w:type="dxa"/>
            </w:tcMar>
            <w:tcW w:w="7566" w:type="dxa"/>
            <w:vAlign w:val="center"/>
          </w:tcPr>
          <w:p w14:paraId="3C3367EB">
            <w:pPr>
              <w:pBdr/>
              <w:spacing w:after="0" w:before="0" w:line="240"/>
              <w:ind/>
              <w:rPr/>
            </w:pPr>
            <w:r>
              <w:rPr>
                <w:rFonts w:ascii="Times New Roman" w:hAnsi="Times New Roman" w:eastAsia="Times New Roman" w:cs="Times New Roman"/>
                <w:color w:val="000000"/>
                <w:sz w:val="24"/>
              </w:rPr>
              <w:t xml:space="preserve">Required before any feature is computed. Immutable once locked.</w:t>
            </w:r>
            <w:r/>
          </w:p>
        </w:tc>
      </w:tr>
      <w:tr>
        <w:trPr/>
        <w:tc>
          <w:tcPr>
            <w:tcBorders/>
            <w:tcMar>
              <w:left w:w="15" w:type="dxa"/>
              <w:top w:w="15" w:type="dxa"/>
              <w:right w:w="15" w:type="dxa"/>
              <w:bottom w:w="15" w:type="dxa"/>
            </w:tcMar>
            <w:tcW w:w="1788" w:type="dxa"/>
            <w:vAlign w:val="center"/>
          </w:tcPr>
          <w:p w14:paraId="085FEAFA">
            <w:pPr>
              <w:pBdr/>
              <w:spacing w:after="0" w:before="0" w:line="240"/>
              <w:ind/>
              <w:rPr/>
            </w:pPr>
            <w:r>
              <w:rPr>
                <w:rFonts w:ascii="Times New Roman" w:hAnsi="Times New Roman" w:eastAsia="Times New Roman" w:cs="Times New Roman"/>
                <w:color w:val="000000"/>
                <w:sz w:val="24"/>
              </w:rPr>
              <w:t xml:space="preserve">Recomputation scope</w:t>
            </w:r>
            <w:r/>
          </w:p>
        </w:tc>
        <w:tc>
          <w:tcPr>
            <w:tcBorders/>
            <w:tcMar>
              <w:left w:w="15" w:type="dxa"/>
              <w:top w:w="15" w:type="dxa"/>
              <w:right w:w="15" w:type="dxa"/>
              <w:bottom w:w="15" w:type="dxa"/>
            </w:tcMar>
            <w:tcW w:w="7566" w:type="dxa"/>
            <w:vAlign w:val="center"/>
          </w:tcPr>
          <w:p w14:paraId="0FC6660F">
            <w:pPr>
              <w:pBdr/>
              <w:spacing w:after="0" w:before="0" w:line="240"/>
              <w:ind/>
              <w:rPr/>
            </w:pPr>
            <w:r>
              <w:rPr>
                <w:rFonts w:ascii="Times New Roman" w:hAnsi="Times New Roman" w:eastAsia="Times New Roman" w:cs="Times New Roman"/>
                <w:color w:val="000000"/>
                <w:sz w:val="24"/>
              </w:rPr>
              <w:t xml:space="preserve">Bounded to affected instrument + metric + revision point forward.</w:t>
            </w:r>
            <w:r/>
          </w:p>
        </w:tc>
      </w:tr>
    </w:tbl>
    <w:p w14:paraId="64C896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4 has a precise input: the complete list of metric concepts above, with cadences, granularities, value types, and history depth requirements. Thread 4 assigns canonical names, locks the schema, defines PIT strategy, and designs the storage model tha</w:t>
      </w:r>
      <w:r>
        <w:rPr>
          <w:rFonts w:ascii="Times New Roman" w:hAnsi="Times New Roman" w:eastAsia="Times New Roman" w:cs="Times New Roman"/>
          <w:color w:val="000000"/>
          <w:sz w:val="24"/>
        </w:rPr>
        <w:t xml:space="preserve">t everything above will read from.</w:t>
      </w:r>
      <w:r/>
    </w:p>
    <w:p w14:paraId="3BC471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Ready to proceed to Thread 4?</w:t>
      </w:r>
      <w:r/>
    </w:p>
    <w:p w14:paraId="67B71B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Proceed</w:t>
      </w:r>
      <w:r/>
    </w:p>
    <w:p w14:paraId="22B13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12:15 PM</w:t>
      </w:r>
      <w:r/>
    </w:p>
    <w:p w14:paraId="279D09C5">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Architected canonical database schema with hybrid observation model</w:t>
      </w:r>
      <w:r/>
    </w:p>
    <w:p w14:paraId="54364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Architected canonical database schema with hybrid observation model</w:t>
      </w:r>
      <w:r/>
    </w:p>
    <w:p w14:paraId="1B1FA2D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Thread 4: Data Universe (Layer 3)</w:t>
      </w:r>
      <w:r/>
    </w:p>
    <w:p w14:paraId="04692F9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Gate</w:t>
      </w:r>
      <w:r/>
    </w:p>
    <w:p w14:paraId="3E3E2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thread produces the canonical schema. Nothing gets built until this output is approved. The schema locks here — not approximately, not subject to revision during implementation. If a requirement surfaces after this thread that wasn't captured in Threa</w:t>
      </w:r>
      <w:r>
        <w:rPr>
          <w:rFonts w:ascii="Times New Roman" w:hAnsi="Times New Roman" w:eastAsia="Times New Roman" w:cs="Times New Roman"/>
          <w:color w:val="000000"/>
          <w:sz w:val="24"/>
        </w:rPr>
        <w:t xml:space="preserve">ds 1–3, the correct response is to re-enter the design process, not to alter the schema during build.</w:t>
      </w:r>
      <w:r/>
    </w:p>
    <w:p w14:paraId="2444E0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deliverables are:</w:t>
      </w:r>
      <w:r/>
    </w:p>
    <w:p w14:paraId="59E4538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Schema model decision with justification</w:t>
      </w:r>
      <w:r/>
    </w:p>
    <w:p w14:paraId="3E18865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Complete DDL</w:t>
      </w:r>
      <w:r/>
    </w:p>
    <w:p w14:paraId="51E8EF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Metric catalog structure and seed entries</w:t>
      </w:r>
      <w:r/>
    </w:p>
    <w:p w14:paraId="6A2C3B0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PIT strategy</w:t>
      </w:r>
      <w:r/>
    </w:p>
    <w:p w14:paraId="146B6A5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 pattern verification</w:t>
      </w:r>
      <w:r/>
    </w:p>
    <w:p w14:paraId="26DD19B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Asset-class extensibility proof</w:t>
      </w:r>
      <w:r/>
    </w:p>
    <w:p w14:paraId="69B5B2B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engine recommendation</w:t>
      </w:r>
      <w:r/>
    </w:p>
    <w:p w14:paraId="77403F7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Schema Model Decision</w:t>
      </w:r>
      <w:r/>
    </w:p>
    <w:p w14:paraId="6C638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Three candidates were identified in the design document. Each is evaluated against the actual query patterns this system must serve.</w:t>
      </w:r>
      <w:r/>
    </w:p>
    <w:p w14:paraId="434DFD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Query patterns this system must serve: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65"/>
        <w:gridCol w:w="1949"/>
        <w:gridCol w:w="2441"/>
      </w:tblGrid>
      <w:tr>
        <w:trPr/>
        <w:tc>
          <w:tcPr>
            <w:tcBorders/>
            <w:tcMar>
              <w:left w:w="15" w:type="dxa"/>
              <w:top w:w="15" w:type="dxa"/>
              <w:right w:w="15" w:type="dxa"/>
              <w:bottom w:w="15" w:type="dxa"/>
            </w:tcMar>
            <w:tcW w:w="4965" w:type="dxa"/>
            <w:vAlign w:val="center"/>
          </w:tcPr>
          <w:p w14:paraId="5BCA2644">
            <w:pPr>
              <w:pBdr/>
              <w:spacing w:after="0" w:before="0" w:line="240"/>
              <w:ind/>
              <w:jc w:val="center"/>
              <w:rPr/>
            </w:pPr>
            <w:r>
              <w:rPr>
                <w:rFonts w:ascii="Times New Roman" w:hAnsi="Times New Roman" w:eastAsia="Times New Roman" w:cs="Times New Roman"/>
                <w:b/>
                <w:color w:val="000000"/>
                <w:sz w:val="24"/>
              </w:rPr>
              <w:t xml:space="preserve">Query type</w:t>
            </w:r>
            <w:r/>
          </w:p>
        </w:tc>
        <w:tc>
          <w:tcPr>
            <w:tcBorders/>
            <w:tcMar>
              <w:left w:w="15" w:type="dxa"/>
              <w:top w:w="15" w:type="dxa"/>
              <w:right w:w="15" w:type="dxa"/>
              <w:bottom w:w="15" w:type="dxa"/>
            </w:tcMar>
            <w:tcW w:w="1949" w:type="dxa"/>
            <w:vAlign w:val="center"/>
          </w:tcPr>
          <w:p w14:paraId="0E8C134D">
            <w:pPr>
              <w:pBdr/>
              <w:spacing w:after="0" w:before="0" w:line="240"/>
              <w:ind/>
              <w:jc w:val="center"/>
              <w:rPr/>
            </w:pPr>
            <w:r>
              <w:rPr>
                <w:rFonts w:ascii="Times New Roman" w:hAnsi="Times New Roman" w:eastAsia="Times New Roman" w:cs="Times New Roman"/>
                <w:b/>
                <w:color w:val="000000"/>
                <w:sz w:val="24"/>
              </w:rPr>
              <w:t xml:space="preserve">Consumer</w:t>
            </w:r>
            <w:r/>
          </w:p>
        </w:tc>
        <w:tc>
          <w:tcPr>
            <w:tcBorders/>
            <w:tcMar>
              <w:left w:w="15" w:type="dxa"/>
              <w:top w:w="15" w:type="dxa"/>
              <w:right w:w="15" w:type="dxa"/>
              <w:bottom w:w="15" w:type="dxa"/>
            </w:tcMar>
            <w:tcW w:w="2441" w:type="dxa"/>
            <w:vAlign w:val="center"/>
          </w:tcPr>
          <w:p w14:paraId="41D13F4F">
            <w:pPr>
              <w:pBdr/>
              <w:spacing w:after="0" w:before="0" w:line="240"/>
              <w:ind/>
              <w:jc w:val="center"/>
              <w:rPr/>
            </w:pPr>
            <w:r>
              <w:rPr>
                <w:rFonts w:ascii="Times New Roman" w:hAnsi="Times New Roman" w:eastAsia="Times New Roman" w:cs="Times New Roman"/>
                <w:b/>
                <w:color w:val="000000"/>
                <w:sz w:val="24"/>
              </w:rPr>
              <w:t xml:space="preserve">Pattern</w:t>
            </w:r>
            <w:r/>
          </w:p>
        </w:tc>
      </w:tr>
      <w:tr>
        <w:trPr/>
        <w:tc>
          <w:tcPr>
            <w:tcBorders/>
            <w:tcMar>
              <w:left w:w="15" w:type="dxa"/>
              <w:top w:w="15" w:type="dxa"/>
              <w:right w:w="15" w:type="dxa"/>
              <w:bottom w:w="15" w:type="dxa"/>
            </w:tcMar>
            <w:tcW w:w="4965" w:type="dxa"/>
            <w:vAlign w:val="center"/>
          </w:tcPr>
          <w:p w14:paraId="2DA0643C">
            <w:pPr>
              <w:pBdr/>
              <w:spacing w:after="0" w:before="0" w:line="240"/>
              <w:ind/>
              <w:rPr/>
            </w:pPr>
            <w:r>
              <w:rPr>
                <w:rFonts w:ascii="Times New Roman" w:hAnsi="Times New Roman" w:eastAsia="Times New Roman" w:cs="Times New Roman"/>
                <w:color w:val="000000"/>
                <w:sz w:val="24"/>
              </w:rPr>
              <w:t xml:space="preserve">Time-series read, single metric, single instrument, date range</w:t>
            </w:r>
            <w:r/>
          </w:p>
        </w:tc>
        <w:tc>
          <w:tcPr>
            <w:tcBorders/>
            <w:tcMar>
              <w:left w:w="15" w:type="dxa"/>
              <w:top w:w="15" w:type="dxa"/>
              <w:right w:w="15" w:type="dxa"/>
              <w:bottom w:w="15" w:type="dxa"/>
            </w:tcMar>
            <w:tcW w:w="1949" w:type="dxa"/>
            <w:vAlign w:val="center"/>
          </w:tcPr>
          <w:p w14:paraId="408CFA3F">
            <w:pPr>
              <w:pBdr/>
              <w:spacing w:after="0" w:before="0" w:line="240"/>
              <w:ind/>
              <w:rPr/>
            </w:pPr>
            <w:r>
              <w:rPr>
                <w:rFonts w:ascii="Times New Roman" w:hAnsi="Times New Roman" w:eastAsia="Times New Roman" w:cs="Times New Roman"/>
                <w:color w:val="000000"/>
                <w:sz w:val="24"/>
              </w:rPr>
              <w:t xml:space="preserve">Feature Engineering</w:t>
            </w:r>
            <w:r/>
          </w:p>
        </w:tc>
        <w:tc>
          <w:tcPr>
            <w:tcBorders/>
            <w:tcMar>
              <w:left w:w="15" w:type="dxa"/>
              <w:top w:w="15" w:type="dxa"/>
              <w:right w:w="15" w:type="dxa"/>
              <w:bottom w:w="15" w:type="dxa"/>
            </w:tcMar>
            <w:tcW w:w="2441" w:type="dxa"/>
            <w:vAlign w:val="center"/>
          </w:tcPr>
          <w:p w14:paraId="4563D4EE">
            <w:pPr>
              <w:pBdr/>
              <w:spacing w:after="0" w:before="0" w:line="240"/>
              <w:ind/>
              <w:rPr/>
            </w:pPr>
            <w:r>
              <w:rPr>
                <w:rFonts w:ascii="Times New Roman" w:hAnsi="Times New Roman" w:eastAsia="Times New Roman" w:cs="Times New Roman"/>
                <w:color w:val="000000"/>
                <w:sz w:val="24"/>
              </w:rPr>
              <w:t xml:space="preserve">High frequency, must be fast</w:t>
            </w:r>
            <w:r/>
          </w:p>
        </w:tc>
      </w:tr>
      <w:tr>
        <w:trPr/>
        <w:tc>
          <w:tcPr>
            <w:tcBorders/>
            <w:tcMar>
              <w:left w:w="15" w:type="dxa"/>
              <w:top w:w="15" w:type="dxa"/>
              <w:right w:w="15" w:type="dxa"/>
              <w:bottom w:w="15" w:type="dxa"/>
            </w:tcMar>
            <w:tcW w:w="4965" w:type="dxa"/>
            <w:vAlign w:val="center"/>
          </w:tcPr>
          <w:p w14:paraId="502AE64A">
            <w:pPr>
              <w:pBdr/>
              <w:spacing w:after="0" w:before="0" w:line="240"/>
              <w:ind/>
              <w:rPr/>
            </w:pPr>
            <w:r>
              <w:rPr>
                <w:rFonts w:ascii="Times New Roman" w:hAnsi="Times New Roman" w:eastAsia="Times New Roman" w:cs="Times New Roman"/>
                <w:color w:val="000000"/>
                <w:sz w:val="24"/>
              </w:rPr>
              <w:t xml:space="preserve">Latest value, all metrics, single instrument</w:t>
            </w:r>
            <w:r/>
          </w:p>
        </w:tc>
        <w:tc>
          <w:tcPr>
            <w:tcBorders/>
            <w:tcMar>
              <w:left w:w="15" w:type="dxa"/>
              <w:top w:w="15" w:type="dxa"/>
              <w:right w:w="15" w:type="dxa"/>
              <w:bottom w:w="15" w:type="dxa"/>
            </w:tcMar>
            <w:tcW w:w="1949" w:type="dxa"/>
            <w:vAlign w:val="center"/>
          </w:tcPr>
          <w:p w14:paraId="0A60D91B">
            <w:pPr>
              <w:pBdr/>
              <w:spacing w:after="0" w:before="0" w:line="240"/>
              <w:ind/>
              <w:rPr/>
            </w:pPr>
            <w:r>
              <w:rPr>
                <w:rFonts w:ascii="Times New Roman" w:hAnsi="Times New Roman" w:eastAsia="Times New Roman" w:cs="Times New Roman"/>
                <w:color w:val="000000"/>
                <w:sz w:val="24"/>
              </w:rPr>
              <w:t xml:space="preserve">Signal Generation</w:t>
            </w:r>
            <w:r/>
          </w:p>
        </w:tc>
        <w:tc>
          <w:tcPr>
            <w:tcBorders/>
            <w:tcMar>
              <w:left w:w="15" w:type="dxa"/>
              <w:top w:w="15" w:type="dxa"/>
              <w:right w:w="15" w:type="dxa"/>
              <w:bottom w:w="15" w:type="dxa"/>
            </w:tcMar>
            <w:tcW w:w="2441" w:type="dxa"/>
            <w:vAlign w:val="center"/>
          </w:tcPr>
          <w:p w14:paraId="40AB15EA">
            <w:pPr>
              <w:pBdr/>
              <w:spacing w:after="0" w:before="0" w:line="240"/>
              <w:ind/>
              <w:rPr/>
            </w:pPr>
            <w:r>
              <w:rPr>
                <w:rFonts w:ascii="Times New Roman" w:hAnsi="Times New Roman" w:eastAsia="Times New Roman" w:cs="Times New Roman"/>
                <w:color w:val="000000"/>
                <w:sz w:val="24"/>
              </w:rPr>
              <w:t xml:space="preserve">Per compute cycle</w:t>
            </w:r>
            <w:r/>
          </w:p>
        </w:tc>
      </w:tr>
      <w:tr>
        <w:trPr/>
        <w:tc>
          <w:tcPr>
            <w:tcBorders/>
            <w:tcMar>
              <w:left w:w="15" w:type="dxa"/>
              <w:top w:w="15" w:type="dxa"/>
              <w:right w:w="15" w:type="dxa"/>
              <w:bottom w:w="15" w:type="dxa"/>
            </w:tcMar>
            <w:tcW w:w="4965" w:type="dxa"/>
            <w:vAlign w:val="center"/>
          </w:tcPr>
          <w:p w14:paraId="7CBBF75B">
            <w:pPr>
              <w:pBdr/>
              <w:spacing w:after="0" w:before="0" w:line="240"/>
              <w:ind/>
              <w:rPr/>
            </w:pPr>
            <w:r>
              <w:rPr>
                <w:rFonts w:ascii="Times New Roman" w:hAnsi="Times New Roman" w:eastAsia="Times New Roman" w:cs="Times New Roman"/>
                <w:color w:val="000000"/>
                <w:sz w:val="24"/>
              </w:rPr>
              <w:t xml:space="preserve">All metrics, all instruments, single timestamp</w:t>
            </w:r>
            <w:r/>
          </w:p>
        </w:tc>
        <w:tc>
          <w:tcPr>
            <w:tcBorders/>
            <w:tcMar>
              <w:left w:w="15" w:type="dxa"/>
              <w:top w:w="15" w:type="dxa"/>
              <w:right w:w="15" w:type="dxa"/>
              <w:bottom w:w="15" w:type="dxa"/>
            </w:tcMar>
            <w:tcW w:w="1949" w:type="dxa"/>
            <w:vAlign w:val="center"/>
          </w:tcPr>
          <w:p w14:paraId="1A44BD21">
            <w:pPr>
              <w:pBdr/>
              <w:spacing w:after="0" w:before="0" w:line="240"/>
              <w:ind/>
              <w:rPr/>
            </w:pPr>
            <w:r>
              <w:rPr>
                <w:rFonts w:ascii="Times New Roman" w:hAnsi="Times New Roman" w:eastAsia="Times New Roman" w:cs="Times New Roman"/>
                <w:color w:val="000000"/>
                <w:sz w:val="24"/>
              </w:rPr>
              <w:t xml:space="preserve">Cross-sectional features</w:t>
            </w:r>
            <w:r/>
          </w:p>
        </w:tc>
        <w:tc>
          <w:tcPr>
            <w:tcBorders/>
            <w:tcMar>
              <w:left w:w="15" w:type="dxa"/>
              <w:top w:w="15" w:type="dxa"/>
              <w:right w:w="15" w:type="dxa"/>
              <w:bottom w:w="15" w:type="dxa"/>
            </w:tcMar>
            <w:tcW w:w="2441" w:type="dxa"/>
            <w:vAlign w:val="center"/>
          </w:tcPr>
          <w:p w14:paraId="57A3FF5B">
            <w:pPr>
              <w:pBdr/>
              <w:spacing w:after="0" w:before="0" w:line="240"/>
              <w:ind/>
              <w:rPr/>
            </w:pPr>
            <w:r>
              <w:rPr>
                <w:rFonts w:ascii="Times New Roman" w:hAnsi="Times New Roman" w:eastAsia="Times New Roman" w:cs="Times New Roman"/>
                <w:color w:val="000000"/>
                <w:sz w:val="24"/>
              </w:rPr>
              <w:t xml:space="preserve">Per compute cycle</w:t>
            </w:r>
            <w:r/>
          </w:p>
        </w:tc>
      </w:tr>
      <w:tr>
        <w:trPr/>
        <w:tc>
          <w:tcPr>
            <w:tcBorders/>
            <w:tcMar>
              <w:left w:w="15" w:type="dxa"/>
              <w:top w:w="15" w:type="dxa"/>
              <w:right w:w="15" w:type="dxa"/>
              <w:bottom w:w="15" w:type="dxa"/>
            </w:tcMar>
            <w:tcW w:w="4965" w:type="dxa"/>
            <w:vAlign w:val="center"/>
          </w:tcPr>
          <w:p w14:paraId="6F09BCCE">
            <w:pPr>
              <w:pBdr/>
              <w:spacing w:after="0" w:before="0" w:line="240"/>
              <w:ind/>
              <w:rPr/>
            </w:pPr>
            <w:r>
              <w:rPr>
                <w:rFonts w:ascii="Times New Roman" w:hAnsi="Times New Roman" w:eastAsia="Times New Roman" w:cs="Times New Roman"/>
                <w:color w:val="000000"/>
                <w:sz w:val="24"/>
              </w:rPr>
              <w:t xml:space="preserve">Arbitrary metric × instrument × time range</w:t>
            </w:r>
            <w:r/>
          </w:p>
        </w:tc>
        <w:tc>
          <w:tcPr>
            <w:tcBorders/>
            <w:tcMar>
              <w:left w:w="15" w:type="dxa"/>
              <w:top w:w="15" w:type="dxa"/>
              <w:right w:w="15" w:type="dxa"/>
              <w:bottom w:w="15" w:type="dxa"/>
            </w:tcMar>
            <w:tcW w:w="1949" w:type="dxa"/>
            <w:vAlign w:val="center"/>
          </w:tcPr>
          <w:p w14:paraId="6D2E691E">
            <w:pPr>
              <w:pBdr/>
              <w:spacing w:after="0" w:before="0" w:line="240"/>
              <w:ind/>
              <w:rPr/>
            </w:pPr>
            <w:r>
              <w:rPr>
                <w:rFonts w:ascii="Times New Roman" w:hAnsi="Times New Roman" w:eastAsia="Times New Roman" w:cs="Times New Roman"/>
                <w:color w:val="000000"/>
                <w:sz w:val="24"/>
              </w:rPr>
              <w:t xml:space="preserve">Data API</w:t>
            </w:r>
            <w:r/>
          </w:p>
        </w:tc>
        <w:tc>
          <w:tcPr>
            <w:tcBorders/>
            <w:tcMar>
              <w:left w:w="15" w:type="dxa"/>
              <w:top w:w="15" w:type="dxa"/>
              <w:right w:w="15" w:type="dxa"/>
              <w:bottom w:w="15" w:type="dxa"/>
            </w:tcMar>
            <w:tcW w:w="2441" w:type="dxa"/>
            <w:vAlign w:val="center"/>
          </w:tcPr>
          <w:p w14:paraId="49317410">
            <w:pPr>
              <w:pBdr/>
              <w:spacing w:after="0" w:before="0" w:line="240"/>
              <w:ind/>
              <w:rPr/>
            </w:pPr>
            <w:r>
              <w:rPr>
                <w:rFonts w:ascii="Times New Roman" w:hAnsi="Times New Roman" w:eastAsia="Times New Roman" w:cs="Times New Roman"/>
                <w:color w:val="000000"/>
                <w:sz w:val="24"/>
              </w:rPr>
              <w:t xml:space="preserve">Customer-facing</w:t>
            </w:r>
            <w:r/>
          </w:p>
        </w:tc>
      </w:tr>
      <w:tr>
        <w:trPr/>
        <w:tc>
          <w:tcPr>
            <w:tcBorders/>
            <w:tcMar>
              <w:left w:w="15" w:type="dxa"/>
              <w:top w:w="15" w:type="dxa"/>
              <w:right w:w="15" w:type="dxa"/>
              <w:bottom w:w="15" w:type="dxa"/>
            </w:tcMar>
            <w:tcW w:w="4965" w:type="dxa"/>
            <w:vAlign w:val="center"/>
          </w:tcPr>
          <w:p w14:paraId="45530A8E">
            <w:pPr>
              <w:pBdr/>
              <w:spacing w:after="0" w:before="0" w:line="240"/>
              <w:ind/>
              <w:rPr/>
            </w:pPr>
            <w:r>
              <w:rPr>
                <w:rFonts w:ascii="Times New Roman" w:hAnsi="Times New Roman" w:eastAsia="Times New Roman" w:cs="Times New Roman"/>
                <w:color w:val="000000"/>
                <w:sz w:val="24"/>
              </w:rPr>
              <w:t xml:space="preserve">Full provenance trace: given output value, find source</w:t>
            </w:r>
            <w:r/>
          </w:p>
        </w:tc>
        <w:tc>
          <w:tcPr>
            <w:tcBorders/>
            <w:tcMar>
              <w:left w:w="15" w:type="dxa"/>
              <w:top w:w="15" w:type="dxa"/>
              <w:right w:w="15" w:type="dxa"/>
              <w:bottom w:w="15" w:type="dxa"/>
            </w:tcMar>
            <w:tcW w:w="1949" w:type="dxa"/>
            <w:vAlign w:val="center"/>
          </w:tcPr>
          <w:p w14:paraId="44ED7578">
            <w:pPr>
              <w:pBdr/>
              <w:spacing w:after="0" w:before="0" w:line="240"/>
              <w:ind/>
              <w:rPr/>
            </w:pPr>
            <w:r>
              <w:rPr>
                <w:rFonts w:ascii="Times New Roman" w:hAnsi="Times New Roman" w:eastAsia="Times New Roman" w:cs="Times New Roman"/>
                <w:color w:val="000000"/>
                <w:sz w:val="24"/>
              </w:rPr>
              <w:t xml:space="preserve">Audit</w:t>
            </w:r>
            <w:r/>
          </w:p>
        </w:tc>
        <w:tc>
          <w:tcPr>
            <w:tcBorders/>
            <w:tcMar>
              <w:left w:w="15" w:type="dxa"/>
              <w:top w:w="15" w:type="dxa"/>
              <w:right w:w="15" w:type="dxa"/>
              <w:bottom w:w="15" w:type="dxa"/>
            </w:tcMar>
            <w:tcW w:w="2441" w:type="dxa"/>
            <w:vAlign w:val="center"/>
          </w:tcPr>
          <w:p w14:paraId="64AF0BB0">
            <w:pPr>
              <w:pBdr/>
              <w:spacing w:after="0" w:before="0" w:line="240"/>
              <w:ind/>
              <w:rPr/>
            </w:pPr>
            <w:r>
              <w:rPr>
                <w:rFonts w:ascii="Times New Roman" w:hAnsi="Times New Roman" w:eastAsia="Times New Roman" w:cs="Times New Roman"/>
                <w:color w:val="000000"/>
                <w:sz w:val="24"/>
              </w:rPr>
              <w:t xml:space="preserve">Occasional, must be complete</w:t>
            </w:r>
            <w:r/>
          </w:p>
        </w:tc>
      </w:tr>
      <w:tr>
        <w:trPr/>
        <w:tc>
          <w:tcPr>
            <w:tcBorders/>
            <w:tcMar>
              <w:left w:w="15" w:type="dxa"/>
              <w:top w:w="15" w:type="dxa"/>
              <w:right w:w="15" w:type="dxa"/>
              <w:bottom w:w="15" w:type="dxa"/>
            </w:tcMar>
            <w:tcW w:w="4965" w:type="dxa"/>
            <w:vAlign w:val="center"/>
          </w:tcPr>
          <w:p w14:paraId="069EC79A">
            <w:pPr>
              <w:pBdr/>
              <w:spacing w:after="0" w:before="0" w:line="240"/>
              <w:ind/>
              <w:rPr/>
            </w:pPr>
            <w:r>
              <w:rPr>
                <w:rFonts w:ascii="Times New Roman" w:hAnsi="Times New Roman" w:eastAsia="Times New Roman" w:cs="Times New Roman"/>
                <w:color w:val="000000"/>
                <w:sz w:val="24"/>
              </w:rPr>
              <w:t xml:space="preserve">Historical revision query: value as known at time T</w:t>
            </w:r>
            <w:r/>
          </w:p>
        </w:tc>
        <w:tc>
          <w:tcPr>
            <w:tcBorders/>
            <w:tcMar>
              <w:left w:w="15" w:type="dxa"/>
              <w:top w:w="15" w:type="dxa"/>
              <w:right w:w="15" w:type="dxa"/>
              <w:bottom w:w="15" w:type="dxa"/>
            </w:tcMar>
            <w:tcW w:w="1949" w:type="dxa"/>
            <w:vAlign w:val="center"/>
          </w:tcPr>
          <w:p w14:paraId="34653E60">
            <w:pPr>
              <w:pBdr/>
              <w:spacing w:after="0" w:before="0" w:line="240"/>
              <w:ind/>
              <w:rPr/>
            </w:pPr>
            <w:r>
              <w:rPr>
                <w:rFonts w:ascii="Times New Roman" w:hAnsi="Times New Roman" w:eastAsia="Times New Roman" w:cs="Times New Roman"/>
                <w:color w:val="000000"/>
                <w:sz w:val="24"/>
              </w:rPr>
              <w:t xml:space="preserve">PIT backtesting</w:t>
            </w:r>
            <w:r/>
          </w:p>
        </w:tc>
        <w:tc>
          <w:tcPr>
            <w:tcBorders/>
            <w:tcMar>
              <w:left w:w="15" w:type="dxa"/>
              <w:top w:w="15" w:type="dxa"/>
              <w:right w:w="15" w:type="dxa"/>
              <w:bottom w:w="15" w:type="dxa"/>
            </w:tcMar>
            <w:tcW w:w="2441" w:type="dxa"/>
            <w:vAlign w:val="center"/>
          </w:tcPr>
          <w:p w14:paraId="006FF0AA">
            <w:pPr>
              <w:pBdr/>
              <w:spacing w:after="0" w:before="0" w:line="240"/>
              <w:ind/>
              <w:rPr/>
            </w:pPr>
            <w:r>
              <w:rPr>
                <w:rFonts w:ascii="Times New Roman" w:hAnsi="Times New Roman" w:eastAsia="Times New Roman" w:cs="Times New Roman"/>
                <w:color w:val="000000"/>
                <w:sz w:val="24"/>
              </w:rPr>
              <w:t xml:space="preserve">Batch, correctness over speed</w:t>
            </w:r>
            <w:r/>
          </w:p>
        </w:tc>
      </w:tr>
      <w:tr>
        <w:trPr/>
        <w:tc>
          <w:tcPr>
            <w:tcBorders/>
            <w:tcMar>
              <w:left w:w="15" w:type="dxa"/>
              <w:top w:w="15" w:type="dxa"/>
              <w:right w:w="15" w:type="dxa"/>
              <w:bottom w:w="15" w:type="dxa"/>
            </w:tcMar>
            <w:tcW w:w="4965" w:type="dxa"/>
            <w:vAlign w:val="center"/>
          </w:tcPr>
          <w:p w14:paraId="5FA9E918">
            <w:pPr>
              <w:pBdr/>
              <w:spacing w:after="0" w:before="0" w:line="240"/>
              <w:ind/>
              <w:rPr/>
            </w:pPr>
            <w:r>
              <w:rPr>
                <w:rFonts w:ascii="Times New Roman" w:hAnsi="Times New Roman" w:eastAsia="Times New Roman" w:cs="Times New Roman"/>
                <w:color w:val="000000"/>
                <w:sz w:val="24"/>
              </w:rPr>
              <w:t xml:space="preserve">Completeness check: expected observations vs. actual</w:t>
            </w:r>
            <w:r/>
          </w:p>
        </w:tc>
        <w:tc>
          <w:tcPr>
            <w:tcBorders/>
            <w:tcMar>
              <w:left w:w="15" w:type="dxa"/>
              <w:top w:w="15" w:type="dxa"/>
              <w:right w:w="15" w:type="dxa"/>
              <w:bottom w:w="15" w:type="dxa"/>
            </w:tcMar>
            <w:tcW w:w="1949" w:type="dxa"/>
            <w:vAlign w:val="center"/>
          </w:tcPr>
          <w:p w14:paraId="69BC50AD">
            <w:pPr>
              <w:pBdr/>
              <w:spacing w:after="0" w:before="0" w:line="240"/>
              <w:ind/>
              <w:rPr/>
            </w:pPr>
            <w:r>
              <w:rPr>
                <w:rFonts w:ascii="Times New Roman" w:hAnsi="Times New Roman" w:eastAsia="Times New Roman" w:cs="Times New Roman"/>
                <w:color w:val="000000"/>
                <w:sz w:val="24"/>
              </w:rPr>
              <w:t xml:space="preserve">Health monitoring</w:t>
            </w:r>
            <w:r/>
          </w:p>
        </w:tc>
        <w:tc>
          <w:tcPr>
            <w:tcBorders/>
            <w:tcMar>
              <w:left w:w="15" w:type="dxa"/>
              <w:top w:w="15" w:type="dxa"/>
              <w:right w:w="15" w:type="dxa"/>
              <w:bottom w:w="15" w:type="dxa"/>
            </w:tcMar>
            <w:tcW w:w="2441" w:type="dxa"/>
            <w:vAlign w:val="center"/>
          </w:tcPr>
          <w:p w14:paraId="56745668">
            <w:pPr>
              <w:pBdr/>
              <w:spacing w:after="0" w:before="0" w:line="240"/>
              <w:ind/>
              <w:rPr/>
            </w:pPr>
            <w:r>
              <w:rPr>
                <w:rFonts w:ascii="Times New Roman" w:hAnsi="Times New Roman" w:eastAsia="Times New Roman" w:cs="Times New Roman"/>
                <w:color w:val="000000"/>
                <w:sz w:val="24"/>
              </w:rPr>
              <w:t xml:space="preserve">Scheduled</w:t>
            </w:r>
            <w:r/>
          </w:p>
        </w:tc>
      </w:tr>
    </w:tbl>
    <w:p w14:paraId="772C36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Wide tables</w:t>
      </w:r>
      <w:r>
        <w:rPr>
          <w:rFonts w:ascii="Times New Roman" w:hAnsi="Times New Roman" w:eastAsia="Times New Roman" w:cs="Times New Roman"/>
          <w:color w:val="000000"/>
          <w:sz w:val="24"/>
        </w:rPr>
        <w:t xml:space="preserve"> fail immediately. Adding a metric adds a column. Querying across 200 metrics requires 200-column row scans. Cross-asset extensibility breaks the schema. Eliminated.</w:t>
      </w:r>
      <w:r/>
    </w:p>
    <w:p w14:paraId="19E0EC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Pure EAV</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(entity, metric, timestamp, value)</w:t>
      </w:r>
      <w:r>
        <w:rPr>
          <w:rFonts w:ascii="Times New Roman" w:hAnsi="Times New Roman" w:eastAsia="Times New Roman" w:cs="Times New Roman"/>
          <w:color w:val="000000"/>
          <w:sz w:val="24"/>
        </w:rPr>
        <w:t xml:space="preserve"> handles all query patterns correctly but has one real performance problem: the time-series read pattern becomes a filtered scan on a single enormous table. Addressable with partitioning and indexing, but requires more design care.</w:t>
      </w:r>
      <w:r/>
    </w:p>
    <w:p w14:paraId="037130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Hybrid typed tables</w:t>
      </w:r>
      <w:r>
        <w:rPr>
          <w:rFonts w:ascii="Times New Roman" w:hAnsi="Times New Roman" w:eastAsia="Times New Roman" w:cs="Times New Roman"/>
          <w:color w:val="000000"/>
          <w:sz w:val="24"/>
        </w:rPr>
        <w:t xml:space="preserve"> — separate tables for different observation patterns (derivatives, flows, macro, etc.) — produces source-shaped structure above the adapter layer. If derivatives metrics live in </w:t>
      </w:r>
      <w:r>
        <w:rPr>
          <w:rFonts w:ascii="Courier New" w:hAnsi="Courier New" w:eastAsia="Courier New" w:cs="Courier New"/>
          <w:color w:val="000000"/>
          <w:sz w:val="20"/>
        </w:rPr>
        <w:t xml:space="preserve">observations_derivatives</w:t>
      </w:r>
      <w:r>
        <w:rPr>
          <w:rFonts w:ascii="Times New Roman" w:hAnsi="Times New Roman" w:eastAsia="Times New Roman" w:cs="Times New Roman"/>
          <w:color w:val="000000"/>
          <w:sz w:val="24"/>
        </w:rPr>
        <w:t xml:space="preserve"> and macro metrics live in </w:t>
      </w:r>
      <w:r>
        <w:rPr>
          <w:rFonts w:ascii="Courier New" w:hAnsi="Courier New" w:eastAsia="Courier New" w:cs="Courier New"/>
          <w:color w:val="000000"/>
          <w:sz w:val="20"/>
        </w:rPr>
        <w:t xml:space="preserve">observations_macro</w:t>
      </w:r>
      <w:r>
        <w:rPr>
          <w:rFonts w:ascii="Times New Roman" w:hAnsi="Times New Roman" w:eastAsia="Times New Roman" w:cs="Times New Roman"/>
          <w:color w:val="000000"/>
          <w:sz w:val="24"/>
        </w:rPr>
        <w:t xml:space="preserve">, then feature engineering needs to know which table to read from. That violates the principle that nothing above Layer 2 knows where data came from. Eliminated.</w:t>
      </w:r>
      <w:r/>
    </w:p>
    <w:p w14:paraId="10FA86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Decision: EAV observations table with metric catalog, partitioned by time, with materialized current-value views.</w:t>
      </w:r>
      <w:r/>
    </w:p>
    <w:p w14:paraId="0CD5A6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only model that satisfies all constraints simultaneously:</w:t>
      </w:r>
      <w:r/>
    </w:p>
    <w:p w14:paraId="5EA3938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Schema immutability: new metric = new catalog entry, no DDL change</w:t>
      </w:r>
      <w:r/>
    </w:p>
    <w:p w14:paraId="7D710E6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Asset-class extensibility: new instrument = new instrument catalog entry, no DDL change</w:t>
      </w:r>
      <w:r/>
    </w:p>
    <w:p w14:paraId="0AAA4AC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Consumer ignorance: feature engineering queries </w:t>
      </w:r>
      <w:r>
        <w:rPr>
          <w:rFonts w:ascii="Courier New" w:hAnsi="Courier New" w:eastAsia="Courier New" w:cs="Courier New"/>
          <w:color w:val="000000"/>
          <w:sz w:val="20"/>
        </w:rPr>
        <w:t xml:space="preserve">observations</w:t>
      </w:r>
      <w:r>
        <w:rPr>
          <w:rFonts w:ascii="Times New Roman" w:hAnsi="Times New Roman" w:eastAsia="Times New Roman" w:cs="Times New Roman"/>
          <w:color w:val="000000"/>
          <w:sz w:val="24"/>
        </w:rPr>
        <w:t xml:space="preserve"> by metric canonical name, never by table</w:t>
      </w:r>
      <w:r/>
    </w:p>
    <w:p w14:paraId="4477EF6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 completeness: every observation row carries full provenance</w:t>
      </w:r>
      <w:r/>
    </w:p>
    <w:p w14:paraId="74F90F7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Performance: addressable through partitioning, composite indexes, and materialized views</w:t>
      </w:r>
      <w:r/>
    </w:p>
    <w:p w14:paraId="1CF0565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DDL</w:t>
      </w:r>
      <w:r/>
    </w:p>
    <w:p w14:paraId="20E3C79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Instruments Catalog</w:t>
      </w:r>
      <w:r/>
    </w:p>
    <w:p w14:paraId="783481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1D1085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p>
    <w:p w14:paraId="628E2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UUID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gen_random_uuid</w:t>
      </w:r>
      <w:r>
        <w:rPr>
          <w:rFonts w:ascii="Times New Roman" w:hAnsi="Times New Roman" w:eastAsia="Times New Roman" w:cs="Times New Roman"/>
          <w:color w:val="d3d7de"/>
          <w:sz w:val="24"/>
        </w:rPr>
        <w:t xml:space="preserve">(),</w:t>
      </w:r>
      <w:r/>
    </w:p>
    <w:p w14:paraId="2FCA3A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canonical_symbol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UNIQUE</w:t>
      </w:r>
      <w:r>
        <w:rPr>
          <w:rFonts w:ascii="Times New Roman" w:hAnsi="Times New Roman" w:eastAsia="Times New Roman" w:cs="Times New Roman"/>
          <w:color w:val="d3d7de"/>
          <w:sz w:val="24"/>
        </w:rPr>
        <w:t xml:space="preserve">,</w:t>
      </w:r>
      <w:r/>
    </w:p>
    <w:p w14:paraId="17E14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asset_class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0A71B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name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C0423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is_active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57B375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collection_tier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'collection'</w:t>
      </w:r>
      <w:r>
        <w:rPr>
          <w:rFonts w:ascii="Times New Roman" w:hAnsi="Times New Roman" w:eastAsia="Times New Roman" w:cs="Times New Roman"/>
          <w:color w:val="d3d7de"/>
          <w:sz w:val="24"/>
        </w:rPr>
        <w:t xml:space="preserve">,</w:t>
      </w:r>
      <w:r/>
    </w:p>
    <w:p w14:paraId="566E3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base_currency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456FD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quote_currency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'USD'</w:t>
      </w:r>
      <w:r>
        <w:rPr>
          <w:rFonts w:ascii="Times New Roman" w:hAnsi="Times New Roman" w:eastAsia="Times New Roman" w:cs="Times New Roman"/>
          <w:color w:val="d3d7de"/>
          <w:sz w:val="24"/>
        </w:rPr>
        <w:t xml:space="preserve">,</w:t>
      </w:r>
      <w:r/>
    </w:p>
    <w:p w14:paraId="148E0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metadata            JSONB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318C1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created_at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3E1176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deprecated_at       TIMESTAMPTZ</w:t>
      </w:r>
      <w:r>
        <w:rPr>
          <w:rFonts w:ascii="Times New Roman" w:hAnsi="Times New Roman" w:eastAsia="Times New Roman" w:cs="Times New Roman"/>
          <w:color w:val="d3d7de"/>
          <w:sz w:val="24"/>
        </w:rPr>
        <w:t xml:space="preserve">,</w:t>
      </w:r>
      <w:r/>
    </w:p>
    <w:p w14:paraId="0FAC4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BD2B3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instruments_asset_class_valid</w:t>
      </w:r>
      <w:r/>
    </w:p>
    <w:p w14:paraId="4A768C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asset_class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'crypto'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'equity'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'commodity'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'forex'</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'index'</w:t>
      </w:r>
      <w:r>
        <w:rPr>
          <w:rFonts w:ascii="Times New Roman" w:hAnsi="Times New Roman" w:eastAsia="Times New Roman" w:cs="Times New Roman"/>
          <w:color w:val="d3d7de"/>
          <w:sz w:val="24"/>
        </w:rPr>
        <w:t xml:space="preserve">)),</w:t>
      </w:r>
      <w:r/>
    </w:p>
    <w:p w14:paraId="78ABAC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instruments_collection_tier_valid</w:t>
      </w:r>
      <w:r/>
    </w:p>
    <w:p w14:paraId="5E036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collection_tier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'collection'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'scoring'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'signal_eligible'</w:t>
      </w:r>
      <w:r>
        <w:rPr>
          <w:rFonts w:ascii="Times New Roman" w:hAnsi="Times New Roman" w:eastAsia="Times New Roman" w:cs="Times New Roman"/>
          <w:color w:val="d3d7de"/>
          <w:sz w:val="24"/>
        </w:rPr>
        <w:t xml:space="preserve">))</w:t>
      </w:r>
      <w:r/>
    </w:p>
    <w:p w14:paraId="3C5DEB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5DB71F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3EE5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idx_instruments_symbol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canonical_symbol</w:t>
      </w:r>
      <w:r>
        <w:rPr>
          <w:rFonts w:ascii="Times New Roman" w:hAnsi="Times New Roman" w:eastAsia="Times New Roman" w:cs="Times New Roman"/>
          <w:color w:val="d3d7de"/>
          <w:sz w:val="24"/>
        </w:rPr>
        <w:t xml:space="preserve">);</w:t>
      </w:r>
      <w:r/>
    </w:p>
    <w:p w14:paraId="165FBC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idx_instruments_asset_class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asset_class</w:t>
      </w:r>
      <w:r>
        <w:rPr>
          <w:rFonts w:ascii="Times New Roman" w:hAnsi="Times New Roman" w:eastAsia="Times New Roman" w:cs="Times New Roman"/>
          <w:color w:val="d3d7de"/>
          <w:sz w:val="24"/>
        </w:rPr>
        <w:t xml:space="preserve">);</w:t>
      </w:r>
      <w:r/>
    </w:p>
    <w:p w14:paraId="039DF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idx_instruments_tier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collection_tier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is_active =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6EC7ED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collection_tier</w:t>
      </w:r>
      <w:r>
        <w:rPr>
          <w:rFonts w:ascii="Times New Roman" w:hAnsi="Times New Roman" w:eastAsia="Times New Roman" w:cs="Times New Roman"/>
          <w:b/>
          <w:color w:val="000000"/>
          <w:sz w:val="24"/>
        </w:rPr>
        <w:t xml:space="preserve"> semantics:</w:t>
      </w:r>
      <w:r/>
    </w:p>
    <w:p w14:paraId="099CFBC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collection</w:t>
      </w:r>
      <w:r>
        <w:rPr>
          <w:rFonts w:ascii="Times New Roman" w:hAnsi="Times New Roman" w:eastAsia="Times New Roman" w:cs="Times New Roman"/>
          <w:color w:val="000000"/>
          <w:sz w:val="24"/>
        </w:rPr>
        <w:t xml:space="preserve"> — data is collected, not yet sufficient for scoring</w:t>
      </w:r>
      <w:r/>
    </w:p>
    <w:p w14:paraId="5AEA257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scoring</w:t>
      </w:r>
      <w:r>
        <w:rPr>
          <w:rFonts w:ascii="Times New Roman" w:hAnsi="Times New Roman" w:eastAsia="Times New Roman" w:cs="Times New Roman"/>
          <w:color w:val="000000"/>
          <w:sz w:val="24"/>
        </w:rPr>
        <w:t xml:space="preserve"> — sufficient data quality and history for EDSx and feature computation</w:t>
      </w:r>
      <w:r/>
    </w:p>
    <w:p w14:paraId="0DA4ABB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signal_eligible</w:t>
      </w:r>
      <w:r>
        <w:rPr>
          <w:rFonts w:ascii="Times New Roman" w:hAnsi="Times New Roman" w:eastAsia="Times New Roman" w:cs="Times New Roman"/>
          <w:color w:val="000000"/>
          <w:sz w:val="24"/>
        </w:rPr>
        <w:t xml:space="preserve"> — meets all thresholds for signal output to customers</w:t>
      </w:r>
      <w:r/>
    </w:p>
    <w:p w14:paraId="3293B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Tier assignment is rule-driven and automatic. Promotion criteria are defined in the metric catalog (minimum history depth, minimum completeness rate). Tier changes are logged with timestamp and reason.</w:t>
      </w:r>
      <w:r/>
    </w:p>
    <w:p w14:paraId="25A58B35">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Metric Catalog</w:t>
      </w:r>
      <w:r/>
    </w:p>
    <w:p w14:paraId="25224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5536F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p>
    <w:p w14:paraId="668B6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metric_id           UUID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gen_random_uuid</w:t>
      </w:r>
      <w:r>
        <w:rPr>
          <w:rFonts w:ascii="Times New Roman" w:hAnsi="Times New Roman" w:eastAsia="Times New Roman" w:cs="Times New Roman"/>
          <w:color w:val="d3d7de"/>
          <w:sz w:val="24"/>
        </w:rPr>
        <w:t xml:space="preserve">(),</w:t>
      </w:r>
      <w:r/>
    </w:p>
    <w:p w14:paraId="10656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canonical_name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UNIQUE</w:t>
      </w:r>
      <w:r>
        <w:rPr>
          <w:rFonts w:ascii="Times New Roman" w:hAnsi="Times New Roman" w:eastAsia="Times New Roman" w:cs="Times New Roman"/>
          <w:color w:val="d3d7de"/>
          <w:sz w:val="24"/>
        </w:rPr>
        <w:t xml:space="preserve">,</w:t>
      </w:r>
      <w:r/>
    </w:p>
    <w:p w14:paraId="76319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domain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9186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subdomain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18911F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description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6F7E9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unit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05F62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value_type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'numeric'</w:t>
      </w:r>
      <w:r>
        <w:rPr>
          <w:rFonts w:ascii="Times New Roman" w:hAnsi="Times New Roman" w:eastAsia="Times New Roman" w:cs="Times New Roman"/>
          <w:color w:val="d3d7de"/>
          <w:sz w:val="24"/>
        </w:rPr>
        <w:t xml:space="preserve">,</w:t>
      </w:r>
      <w:r/>
    </w:p>
    <w:p w14:paraId="12D17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granularity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710C3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cadence             </w:t>
      </w:r>
      <w:r>
        <w:rPr>
          <w:rFonts w:ascii="Times New Roman" w:hAnsi="Times New Roman" w:eastAsia="Times New Roman" w:cs="Times New Roman"/>
          <w:color w:val="cc7bf4"/>
          <w:sz w:val="24"/>
        </w:rPr>
        <w:t xml:space="preserve">INTERVAL</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1262C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staleness_threshold </w:t>
      </w:r>
      <w:r>
        <w:rPr>
          <w:rFonts w:ascii="Times New Roman" w:hAnsi="Times New Roman" w:eastAsia="Times New Roman" w:cs="Times New Roman"/>
          <w:color w:val="cc7bf4"/>
          <w:sz w:val="24"/>
        </w:rPr>
        <w:t xml:space="preserve">INTERVAL</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63F51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expected_range_low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2A21E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expected_range_high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021CD9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is_nullable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42F87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methodology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56601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computation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14C303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sources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2AC87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'active'</w:t>
      </w:r>
      <w:r>
        <w:rPr>
          <w:rFonts w:ascii="Times New Roman" w:hAnsi="Times New Roman" w:eastAsia="Times New Roman" w:cs="Times New Roman"/>
          <w:color w:val="d3d7de"/>
          <w:sz w:val="24"/>
        </w:rPr>
        <w:t xml:space="preserve">,</w:t>
      </w:r>
      <w:r/>
    </w:p>
    <w:p w14:paraId="70DEF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created_at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2CE076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deprecated_at       TIMESTAMPTZ</w:t>
      </w:r>
      <w:r>
        <w:rPr>
          <w:rFonts w:ascii="Times New Roman" w:hAnsi="Times New Roman" w:eastAsia="Times New Roman" w:cs="Times New Roman"/>
          <w:color w:val="d3d7de"/>
          <w:sz w:val="24"/>
        </w:rPr>
        <w:t xml:space="preserve">,</w:t>
      </w:r>
      <w:r/>
    </w:p>
    <w:p w14:paraId="7BDC7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17AA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metrics_domain_valid</w:t>
      </w:r>
      <w:r/>
    </w:p>
    <w:p w14:paraId="03B24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domain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'derivatives'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'spot'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'flows'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'defi'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'macro'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'etf'</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'stablecoin'</w:t>
      </w:r>
      <w:r>
        <w:rPr>
          <w:rFonts w:ascii="Times New Roman" w:hAnsi="Times New Roman" w:eastAsia="Times New Roman" w:cs="Times New Roman"/>
          <w:color w:val="d3d7de"/>
          <w:sz w:val="24"/>
        </w:rPr>
        <w:t xml:space="preserve">)),</w:t>
      </w:r>
      <w:r/>
    </w:p>
    <w:p w14:paraId="149F4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metrics_value_type_valid</w:t>
      </w:r>
      <w:r/>
    </w:p>
    <w:p w14:paraId="29153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value_type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'numeric'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'categorical'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'boolean'</w:t>
      </w:r>
      <w:r>
        <w:rPr>
          <w:rFonts w:ascii="Times New Roman" w:hAnsi="Times New Roman" w:eastAsia="Times New Roman" w:cs="Times New Roman"/>
          <w:color w:val="d3d7de"/>
          <w:sz w:val="24"/>
        </w:rPr>
        <w:t xml:space="preserve">)),</w:t>
      </w:r>
      <w:r/>
    </w:p>
    <w:p w14:paraId="13F8B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metrics_granularity_valid</w:t>
      </w:r>
      <w:r/>
    </w:p>
    <w:p w14:paraId="2B64B8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granularity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'per_instrument'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'per_protocol'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'per_product'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'market_level'</w:t>
      </w:r>
      <w:r>
        <w:rPr>
          <w:rFonts w:ascii="Times New Roman" w:hAnsi="Times New Roman" w:eastAsia="Times New Roman" w:cs="Times New Roman"/>
          <w:color w:val="d3d7de"/>
          <w:sz w:val="24"/>
        </w:rPr>
        <w:t xml:space="preserve">)),</w:t>
      </w:r>
      <w:r/>
    </w:p>
    <w:p w14:paraId="2E783F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metrics_status_valid</w:t>
      </w:r>
      <w:r/>
    </w:p>
    <w:p w14:paraId="71342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eaecf0"/>
          <w:sz w:val="24"/>
        </w:rPr>
        <w:t xml:space="preserve">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'active'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'deprecated'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'planned'</w:t>
      </w:r>
      <w:r>
        <w:rPr>
          <w:rFonts w:ascii="Times New Roman" w:hAnsi="Times New Roman" w:eastAsia="Times New Roman" w:cs="Times New Roman"/>
          <w:color w:val="d3d7de"/>
          <w:sz w:val="24"/>
        </w:rPr>
        <w:t xml:space="preserve">)),</w:t>
      </w:r>
      <w:r/>
    </w:p>
    <w:p w14:paraId="4D97E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metrics_range_consistent</w:t>
      </w:r>
      <w:r/>
    </w:p>
    <w:p w14:paraId="6C5033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expected_range_low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OR expected_range_high IS </w:t>
      </w:r>
      <w:r>
        <w:rPr>
          <w:rFonts w:ascii="Times New Roman" w:hAnsi="Times New Roman" w:eastAsia="Times New Roman" w:cs="Times New Roman"/>
          <w:color w:val="5eeded"/>
          <w:sz w:val="24"/>
        </w:rPr>
        <w:t xml:space="preserve">NULL</w:t>
      </w:r>
      <w:r/>
    </w:p>
    <w:p w14:paraId="1FAA68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OR expected_range_low &lt; expected_range_high</w:t>
      </w:r>
      <w:r>
        <w:rPr>
          <w:rFonts w:ascii="Times New Roman" w:hAnsi="Times New Roman" w:eastAsia="Times New Roman" w:cs="Times New Roman"/>
          <w:color w:val="d3d7de"/>
          <w:sz w:val="24"/>
        </w:rPr>
        <w:t xml:space="preserve">)</w:t>
      </w:r>
      <w:r/>
    </w:p>
    <w:p w14:paraId="084C6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79647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3583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idx_metrics_canonical_name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w:t>
      </w:r>
      <w:r>
        <w:rPr>
          <w:rFonts w:ascii="Times New Roman" w:hAnsi="Times New Roman" w:eastAsia="Times New Roman" w:cs="Times New Roman"/>
          <w:color w:val="d3d7de"/>
          <w:sz w:val="24"/>
        </w:rPr>
        <w:t xml:space="preserve">);</w:t>
      </w:r>
      <w:r/>
    </w:p>
    <w:p w14:paraId="00AED1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idx_metrics_domain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domain</w:t>
      </w:r>
      <w:r>
        <w:rPr>
          <w:rFonts w:ascii="Times New Roman" w:hAnsi="Times New Roman" w:eastAsia="Times New Roman" w:cs="Times New Roman"/>
          <w:color w:val="d3d7de"/>
          <w:sz w:val="24"/>
        </w:rPr>
        <w:t xml:space="preserve">);</w:t>
      </w:r>
      <w:r/>
    </w:p>
    <w:p w14:paraId="62C6F2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idx_metrics_status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d3d7de"/>
          <w:sz w:val="24"/>
        </w:rPr>
        <w:t xml:space="preserve">);</w:t>
      </w:r>
      <w:r/>
    </w:p>
    <w:p w14:paraId="3162FB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canonical_name</w:t>
      </w:r>
      <w:r>
        <w:rPr>
          <w:rFonts w:ascii="Times New Roman" w:hAnsi="Times New Roman" w:eastAsia="Times New Roman" w:cs="Times New Roman"/>
          <w:b/>
          <w:color w:val="000000"/>
          <w:sz w:val="24"/>
        </w:rPr>
        <w:t xml:space="preserve"> convention: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domain.subdomain.metric_name</w:t>
      </w:r>
      <w:r/>
    </w:p>
    <w:p w14:paraId="2DEE62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43177DB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derivatives.perpetual.funding_rate</w:t>
      </w:r>
      <w:r/>
    </w:p>
    <w:p w14:paraId="4BB5EC4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derivatives.perpetual.open_interest_usd</w:t>
      </w:r>
      <w:r/>
    </w:p>
    <w:p w14:paraId="34D6EB7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flows.exchange.net_flow_usd</w:t>
      </w:r>
      <w:r/>
    </w:p>
    <w:p w14:paraId="1155BCD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macro.rates.yield_10y</w:t>
      </w:r>
      <w:r/>
    </w:p>
    <w:p w14:paraId="3893D03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defi.aggregate.tvl_usd</w:t>
      </w:r>
      <w:r/>
    </w:p>
    <w:p w14:paraId="41A711D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spot.price.close_usd</w:t>
      </w:r>
      <w:r/>
    </w:p>
    <w:p w14:paraId="1EA3B3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naming convention is hierarchical, human-readable, and stable. Dots separate levels. No abbreviations that require a legend.</w:t>
      </w:r>
      <w:r/>
    </w:p>
    <w:p w14:paraId="5A53A916">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Sources Catalog</w:t>
      </w:r>
      <w:r/>
    </w:p>
    <w:p w14:paraId="089EB8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0E8A86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sources </w:t>
      </w:r>
      <w:r>
        <w:rPr>
          <w:rFonts w:ascii="Times New Roman" w:hAnsi="Times New Roman" w:eastAsia="Times New Roman" w:cs="Times New Roman"/>
          <w:color w:val="d3d7de"/>
          <w:sz w:val="24"/>
        </w:rPr>
        <w:t xml:space="preserve">(</w:t>
      </w:r>
      <w:r/>
    </w:p>
    <w:p w14:paraId="5518F6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source_id           UUID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gen_random_uuid</w:t>
      </w:r>
      <w:r>
        <w:rPr>
          <w:rFonts w:ascii="Times New Roman" w:hAnsi="Times New Roman" w:eastAsia="Times New Roman" w:cs="Times New Roman"/>
          <w:color w:val="d3d7de"/>
          <w:sz w:val="24"/>
        </w:rPr>
        <w:t xml:space="preserve">(),</w:t>
      </w:r>
      <w:r/>
    </w:p>
    <w:p w14:paraId="61E186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canonical_name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UNIQUE</w:t>
      </w:r>
      <w:r>
        <w:rPr>
          <w:rFonts w:ascii="Times New Roman" w:hAnsi="Times New Roman" w:eastAsia="Times New Roman" w:cs="Times New Roman"/>
          <w:color w:val="d3d7de"/>
          <w:sz w:val="24"/>
        </w:rPr>
        <w:t xml:space="preserve">,</w:t>
      </w:r>
      <w:r/>
    </w:p>
    <w:p w14:paraId="1DD1A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display_name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11673B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tier                </w:t>
      </w:r>
      <w:r>
        <w:rPr>
          <w:rFonts w:ascii="Times New Roman" w:hAnsi="Times New Roman" w:eastAsia="Times New Roman" w:cs="Times New Roman"/>
          <w:color w:val="cc7bf4"/>
          <w:sz w:val="24"/>
        </w:rPr>
        <w:t xml:space="preserve">INTEGER</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3017E1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tos_risk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'unaudited'</w:t>
      </w:r>
      <w:r>
        <w:rPr>
          <w:rFonts w:ascii="Times New Roman" w:hAnsi="Times New Roman" w:eastAsia="Times New Roman" w:cs="Times New Roman"/>
          <w:color w:val="d3d7de"/>
          <w:sz w:val="24"/>
        </w:rPr>
        <w:t xml:space="preserve">,</w:t>
      </w:r>
      <w:r/>
    </w:p>
    <w:p w14:paraId="7A4E2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commercial_use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d3d7de"/>
          <w:sz w:val="24"/>
        </w:rPr>
        <w:t xml:space="preserve">,</w:t>
      </w:r>
      <w:r/>
    </w:p>
    <w:p w14:paraId="5327C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redistribution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d3d7de"/>
          <w:sz w:val="24"/>
        </w:rPr>
        <w:t xml:space="preserve">,</w:t>
      </w:r>
      <w:r/>
    </w:p>
    <w:p w14:paraId="7D5B0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attribution_required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4C17CF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cost_tier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'free'</w:t>
      </w:r>
      <w:r>
        <w:rPr>
          <w:rFonts w:ascii="Times New Roman" w:hAnsi="Times New Roman" w:eastAsia="Times New Roman" w:cs="Times New Roman"/>
          <w:color w:val="d3d7de"/>
          <w:sz w:val="24"/>
        </w:rPr>
        <w:t xml:space="preserve">,</w:t>
      </w:r>
      <w:r/>
    </w:p>
    <w:p w14:paraId="73677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reliability_slo     </w:t>
      </w:r>
      <w:r>
        <w:rPr>
          <w:rFonts w:ascii="Times New Roman" w:hAnsi="Times New Roman" w:eastAsia="Times New Roman" w:cs="Times New Roman"/>
          <w:color w:val="cc7bf4"/>
          <w:sz w:val="24"/>
        </w:rPr>
        <w:t xml:space="preserve">NUMERIC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5eeded"/>
          <w:sz w:val="24"/>
        </w:rPr>
        <w:t xml:space="preserve">4</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5eeded"/>
          <w:sz w:val="24"/>
        </w:rPr>
        <w:t xml:space="preserve">3</w:t>
      </w:r>
      <w:r>
        <w:rPr>
          <w:rFonts w:ascii="Times New Roman" w:hAnsi="Times New Roman" w:eastAsia="Times New Roman" w:cs="Times New Roman"/>
          <w:color w:val="d3d7de"/>
          <w:sz w:val="24"/>
        </w:rPr>
        <w:t xml:space="preserve">),</w:t>
      </w:r>
      <w:r/>
    </w:p>
    <w:p w14:paraId="31A78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metadata            JSONB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30609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created_at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3B3EE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152D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sources_tos_risk_valid</w:t>
      </w:r>
      <w:r/>
    </w:p>
    <w:p w14:paraId="42063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tos_risk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'none'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'low'</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'unaudited'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'restricted'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'prohibited'</w:t>
      </w:r>
      <w:r>
        <w:rPr>
          <w:rFonts w:ascii="Times New Roman" w:hAnsi="Times New Roman" w:eastAsia="Times New Roman" w:cs="Times New Roman"/>
          <w:color w:val="d3d7de"/>
          <w:sz w:val="24"/>
        </w:rPr>
        <w:t xml:space="preserve">)),</w:t>
      </w:r>
      <w:r/>
    </w:p>
    <w:p w14:paraId="67D42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sources_cost_tier_valid</w:t>
      </w:r>
      <w:r/>
    </w:p>
    <w:p w14:paraId="5970A8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cost_tier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'free'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'freemium'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'paid'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'enterprise'</w:t>
      </w:r>
      <w:r>
        <w:rPr>
          <w:rFonts w:ascii="Times New Roman" w:hAnsi="Times New Roman" w:eastAsia="Times New Roman" w:cs="Times New Roman"/>
          <w:color w:val="d3d7de"/>
          <w:sz w:val="24"/>
        </w:rPr>
        <w:t xml:space="preserve">))</w:t>
      </w:r>
      <w:r/>
    </w:p>
    <w:p w14:paraId="12757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675F9F58">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Core Observations Table</w:t>
      </w:r>
      <w:r/>
    </w:p>
    <w:p w14:paraId="0E3105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62F2BA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observations </w:t>
      </w:r>
      <w:r>
        <w:rPr>
          <w:rFonts w:ascii="Times New Roman" w:hAnsi="Times New Roman" w:eastAsia="Times New Roman" w:cs="Times New Roman"/>
          <w:color w:val="d3d7de"/>
          <w:sz w:val="24"/>
        </w:rPr>
        <w:t xml:space="preserve">(</w:t>
      </w:r>
      <w:r/>
    </w:p>
    <w:p w14:paraId="340833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gen_random_uuid</w:t>
      </w:r>
      <w:r>
        <w:rPr>
          <w:rFonts w:ascii="Times New Roman" w:hAnsi="Times New Roman" w:eastAsia="Times New Roman" w:cs="Times New Roman"/>
          <w:color w:val="d3d7de"/>
          <w:sz w:val="24"/>
        </w:rPr>
        <w:t xml:space="preserve">(),</w:t>
      </w:r>
      <w:r/>
    </w:p>
    <w:p w14:paraId="5F48F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UUID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rPr>
          <w:rFonts w:ascii="Times New Roman" w:hAnsi="Times New Roman" w:eastAsia="Times New Roman" w:cs="Times New Roman"/>
          <w:color w:val="d3d7de"/>
          <w:sz w:val="24"/>
        </w:rPr>
        <w:t xml:space="preserve">),</w:t>
      </w:r>
      <w:r/>
    </w:p>
    <w:p w14:paraId="59DB0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metric_id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p>
    <w:p w14:paraId="3577B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sources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p>
    <w:p w14:paraId="45D95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D797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Bitemporal fields</w:t>
      </w:r>
      <w:r/>
    </w:p>
    <w:p w14:paraId="3B50A7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valid_from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DB7D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valid_to            TIMESTAMPTZ</w:t>
      </w:r>
      <w:r>
        <w:rPr>
          <w:rFonts w:ascii="Times New Roman" w:hAnsi="Times New Roman" w:eastAsia="Times New Roman" w:cs="Times New Roman"/>
          <w:color w:val="d3d7de"/>
          <w:sz w:val="24"/>
        </w:rPr>
        <w:t xml:space="preserve">,</w:t>
      </w:r>
      <w:r/>
    </w:p>
    <w:p w14:paraId="216512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ingested_at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6A81D2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5C73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03C09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Value storage</w:t>
      </w:r>
      <w:r/>
    </w:p>
    <w:p w14:paraId="6D569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value_numeric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325A2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value_text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52524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38F6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Validation</w:t>
      </w:r>
      <w:r/>
    </w:p>
    <w:p w14:paraId="684E0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is_validated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10ED7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validation_flags    JSONB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5F2570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895C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observations_value_present</w:t>
      </w:r>
      <w:r/>
    </w:p>
    <w:p w14:paraId="45C07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value_numeric IS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OR value_text IS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03B915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observations_valid_range</w:t>
      </w:r>
      <w:r/>
    </w:p>
    <w:p w14:paraId="1EA7E4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OR valid_to &gt; valid_from</w:t>
      </w:r>
      <w:r>
        <w:rPr>
          <w:rFonts w:ascii="Times New Roman" w:hAnsi="Times New Roman" w:eastAsia="Times New Roman" w:cs="Times New Roman"/>
          <w:color w:val="d3d7de"/>
          <w:sz w:val="24"/>
        </w:rPr>
        <w:t xml:space="preserve">),</w:t>
      </w:r>
      <w:r/>
    </w:p>
    <w:p w14:paraId="4A7F0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observations_pk</w:t>
      </w:r>
      <w:r/>
    </w:p>
    <w:p w14:paraId="21206A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valid_from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source_id</w:t>
      </w:r>
      <w:r>
        <w:rPr>
          <w:rFonts w:ascii="Times New Roman" w:hAnsi="Times New Roman" w:eastAsia="Times New Roman" w:cs="Times New Roman"/>
          <w:color w:val="d3d7de"/>
          <w:sz w:val="24"/>
        </w:rPr>
        <w:t xml:space="preserve">)</w:t>
      </w:r>
      <w:r/>
    </w:p>
    <w:p w14:paraId="0A7275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354AAA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instrument_id</w:t>
      </w:r>
      <w:r>
        <w:rPr>
          <w:rFonts w:ascii="Times New Roman" w:hAnsi="Times New Roman" w:eastAsia="Times New Roman" w:cs="Times New Roman"/>
          <w:b/>
          <w:color w:val="000000"/>
          <w:sz w:val="24"/>
        </w:rPr>
        <w:t xml:space="preserve"> is nullable.</w:t>
      </w:r>
      <w:r>
        <w:rPr>
          <w:rFonts w:ascii="Times New Roman" w:hAnsi="Times New Roman" w:eastAsia="Times New Roman" w:cs="Times New Roman"/>
          <w:color w:val="000000"/>
          <w:sz w:val="24"/>
        </w:rPr>
        <w:t xml:space="preserve"> Market-level metrics (macro, DeFi aggregate, stablecoin aggregate) have no associated instrument. </w:t>
      </w:r>
      <w:r>
        <w:rPr>
          <w:rFonts w:ascii="Courier New" w:hAnsi="Courier New" w:eastAsia="Courier New" w:cs="Courier New"/>
          <w:color w:val="000000"/>
          <w:sz w:val="20"/>
        </w:rPr>
        <w:t xml:space="preserve">instrument_id IS NULL</w:t>
      </w:r>
      <w:r>
        <w:rPr>
          <w:rFonts w:ascii="Times New Roman" w:hAnsi="Times New Roman" w:eastAsia="Times New Roman" w:cs="Times New Roman"/>
          <w:color w:val="000000"/>
          <w:sz w:val="24"/>
        </w:rPr>
        <w:t xml:space="preserve"> is the correct representation, not a sentinel value.</w:t>
      </w:r>
      <w:r/>
    </w:p>
    <w:p w14:paraId="0F2040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Hypertable declaration (TimescaleDB):</w:t>
      </w:r>
      <w:r/>
    </w:p>
    <w:p w14:paraId="07F905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36208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create_hypertable</w:t>
      </w:r>
      <w:r>
        <w:rPr>
          <w:rFonts w:ascii="Times New Roman" w:hAnsi="Times New Roman" w:eastAsia="Times New Roman" w:cs="Times New Roman"/>
          <w:color w:val="d3d7de"/>
          <w:sz w:val="24"/>
        </w:rPr>
        <w:t xml:space="preserve">(</w:t>
      </w:r>
      <w:r/>
    </w:p>
    <w:p w14:paraId="5AEC8F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'observations'</w:t>
      </w:r>
      <w:r>
        <w:rPr>
          <w:rFonts w:ascii="Times New Roman" w:hAnsi="Times New Roman" w:eastAsia="Times New Roman" w:cs="Times New Roman"/>
          <w:color w:val="d3d7de"/>
          <w:sz w:val="24"/>
        </w:rPr>
        <w:t xml:space="preserve">,</w:t>
      </w:r>
      <w:r/>
    </w:p>
    <w:p w14:paraId="16BB43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'valid_from'</w:t>
      </w:r>
      <w:r>
        <w:rPr>
          <w:rFonts w:ascii="Times New Roman" w:hAnsi="Times New Roman" w:eastAsia="Times New Roman" w:cs="Times New Roman"/>
          <w:color w:val="d3d7de"/>
          <w:sz w:val="24"/>
        </w:rPr>
        <w:t xml:space="preserve">,</w:t>
      </w:r>
      <w:r/>
    </w:p>
    <w:p w14:paraId="718061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chunk_time_interval =&gt; </w:t>
      </w:r>
      <w:r>
        <w:rPr>
          <w:rFonts w:ascii="Times New Roman" w:hAnsi="Times New Roman" w:eastAsia="Times New Roman" w:cs="Times New Roman"/>
          <w:color w:val="cc7bf4"/>
          <w:sz w:val="24"/>
        </w:rPr>
        <w:t xml:space="preserve">INTERVAL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'1 month'</w:t>
      </w:r>
      <w:r>
        <w:rPr>
          <w:rFonts w:ascii="Times New Roman" w:hAnsi="Times New Roman" w:eastAsia="Times New Roman" w:cs="Times New Roman"/>
          <w:color w:val="d3d7de"/>
          <w:sz w:val="24"/>
        </w:rPr>
        <w:t xml:space="preserve">,</w:t>
      </w:r>
      <w:r/>
    </w:p>
    <w:p w14:paraId="1EA8E1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partitioning_column =&gt; </w:t>
      </w:r>
      <w:r>
        <w:rPr>
          <w:rFonts w:ascii="Times New Roman" w:hAnsi="Times New Roman" w:eastAsia="Times New Roman" w:cs="Times New Roman"/>
          <w:color w:val="9be963"/>
          <w:sz w:val="24"/>
        </w:rPr>
        <w:t xml:space="preserve">'metric_id'</w:t>
      </w:r>
      <w:r>
        <w:rPr>
          <w:rFonts w:ascii="Times New Roman" w:hAnsi="Times New Roman" w:eastAsia="Times New Roman" w:cs="Times New Roman"/>
          <w:color w:val="d3d7de"/>
          <w:sz w:val="24"/>
        </w:rPr>
        <w:t xml:space="preserve">,</w:t>
      </w:r>
      <w:r/>
    </w:p>
    <w:p w14:paraId="47F35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number_partitions =&gt; </w:t>
      </w:r>
      <w:r>
        <w:rPr>
          <w:rFonts w:ascii="Times New Roman" w:hAnsi="Times New Roman" w:eastAsia="Times New Roman" w:cs="Times New Roman"/>
          <w:color w:val="5eeded"/>
          <w:sz w:val="24"/>
        </w:rPr>
        <w:t xml:space="preserve">4</w:t>
      </w:r>
      <w:r/>
    </w:p>
    <w:p w14:paraId="380F66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0EE0E7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Partitioned on </w:t>
      </w:r>
      <w:r>
        <w:rPr>
          <w:rFonts w:ascii="Courier New" w:hAnsi="Courier New" w:eastAsia="Courier New" w:cs="Courier New"/>
          <w:color w:val="000000"/>
          <w:sz w:val="20"/>
        </w:rPr>
        <w:t xml:space="preserve">valid_from</w:t>
      </w:r>
      <w:r>
        <w:rPr>
          <w:rFonts w:ascii="Times New Roman" w:hAnsi="Times New Roman" w:eastAsia="Times New Roman" w:cs="Times New Roman"/>
          <w:color w:val="000000"/>
          <w:sz w:val="24"/>
        </w:rPr>
        <w:t xml:space="preserve"> (primary time dimension) with hash partitioning on </w:t>
      </w:r>
      <w:r>
        <w:rPr>
          <w:rFonts w:ascii="Courier New" w:hAnsi="Courier New" w:eastAsia="Courier New" w:cs="Courier New"/>
          <w:color w:val="000000"/>
          <w:sz w:val="20"/>
        </w:rPr>
        <w:t xml:space="preserve">metric_id</w:t>
      </w:r>
      <w:r>
        <w:rPr>
          <w:rFonts w:ascii="Times New Roman" w:hAnsi="Times New Roman" w:eastAsia="Times New Roman" w:cs="Times New Roman"/>
          <w:color w:val="000000"/>
          <w:sz w:val="24"/>
        </w:rPr>
        <w:t xml:space="preserve"> (distributes metrics across chunks). One month per chunk balances storage granularity against query span.</w:t>
      </w:r>
      <w:r/>
    </w:p>
    <w:p w14:paraId="449C06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Indexes:</w:t>
      </w:r>
      <w:r/>
    </w:p>
    <w:p w14:paraId="1F023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71B99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Primary read pattern: metric × instrument × time range</w:t>
      </w:r>
      <w:r/>
    </w:p>
    <w:p w14:paraId="499155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idx_obs_metric_instrument_time</w:t>
      </w:r>
      <w:r/>
    </w:p>
    <w:p w14:paraId="66AC5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valid_from </w:t>
      </w:r>
      <w:r>
        <w:rPr>
          <w:rFonts w:ascii="Times New Roman" w:hAnsi="Times New Roman" w:eastAsia="Times New Roman" w:cs="Times New Roman"/>
          <w:color w:val="cc7bf4"/>
          <w:sz w:val="24"/>
        </w:rPr>
        <w:t xml:space="preserve">DESC</w:t>
      </w:r>
      <w:r>
        <w:rPr>
          <w:rFonts w:ascii="Times New Roman" w:hAnsi="Times New Roman" w:eastAsia="Times New Roman" w:cs="Times New Roman"/>
          <w:color w:val="d3d7de"/>
          <w:sz w:val="24"/>
        </w:rPr>
        <w:t xml:space="preserve">)</w:t>
      </w:r>
      <w:r/>
    </w:p>
    <w:p w14:paraId="6A436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valid_to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F7499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8B848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Current values only (most common query)</w:t>
      </w:r>
      <w:r/>
    </w:p>
    <w:p w14:paraId="3DDBF8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idx_obs_current</w:t>
      </w:r>
      <w:r/>
    </w:p>
    <w:p w14:paraId="3E767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valid_from </w:t>
      </w:r>
      <w:r>
        <w:rPr>
          <w:rFonts w:ascii="Times New Roman" w:hAnsi="Times New Roman" w:eastAsia="Times New Roman" w:cs="Times New Roman"/>
          <w:color w:val="cc7bf4"/>
          <w:sz w:val="24"/>
        </w:rPr>
        <w:t xml:space="preserve">DESC</w:t>
      </w:r>
      <w:r>
        <w:rPr>
          <w:rFonts w:ascii="Times New Roman" w:hAnsi="Times New Roman" w:eastAsia="Times New Roman" w:cs="Times New Roman"/>
          <w:color w:val="d3d7de"/>
          <w:sz w:val="24"/>
        </w:rPr>
        <w:t xml:space="preserve">)</w:t>
      </w:r>
      <w:r/>
    </w:p>
    <w:p w14:paraId="05675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valid_to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AND is_validated =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1581B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E46C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Source audit trail</w:t>
      </w:r>
      <w:r/>
    </w:p>
    <w:p w14:paraId="6B6F6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idx_obs_source_time</w:t>
      </w:r>
      <w:r/>
    </w:p>
    <w:p w14:paraId="3FB19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ingested_at </w:t>
      </w:r>
      <w:r>
        <w:rPr>
          <w:rFonts w:ascii="Times New Roman" w:hAnsi="Times New Roman" w:eastAsia="Times New Roman" w:cs="Times New Roman"/>
          <w:color w:val="cc7bf4"/>
          <w:sz w:val="24"/>
        </w:rPr>
        <w:t xml:space="preserve">DESC</w:t>
      </w:r>
      <w:r>
        <w:rPr>
          <w:rFonts w:ascii="Times New Roman" w:hAnsi="Times New Roman" w:eastAsia="Times New Roman" w:cs="Times New Roman"/>
          <w:color w:val="d3d7de"/>
          <w:sz w:val="24"/>
        </w:rPr>
        <w:t xml:space="preserve">);</w:t>
      </w:r>
      <w:r/>
    </w:p>
    <w:p w14:paraId="5A037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8B982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PIT queries (valid at arbitrary timestamp T)</w:t>
      </w:r>
      <w:r/>
    </w:p>
    <w:p w14:paraId="74E2F3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idx_obs_pit</w:t>
      </w:r>
      <w:r/>
    </w:p>
    <w:p w14:paraId="78AA0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valid_from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valid_to</w:t>
      </w:r>
      <w:r>
        <w:rPr>
          <w:rFonts w:ascii="Times New Roman" w:hAnsi="Times New Roman" w:eastAsia="Times New Roman" w:cs="Times New Roman"/>
          <w:color w:val="d3d7de"/>
          <w:sz w:val="24"/>
        </w:rPr>
        <w:t xml:space="preserve">);</w:t>
      </w:r>
      <w:r/>
    </w:p>
    <w:p w14:paraId="3A9B406D">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Dead Letter Table</w:t>
      </w:r>
      <w:r/>
    </w:p>
    <w:p w14:paraId="6D5E2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4D2989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observations_rejected </w:t>
      </w:r>
      <w:r>
        <w:rPr>
          <w:rFonts w:ascii="Times New Roman" w:hAnsi="Times New Roman" w:eastAsia="Times New Roman" w:cs="Times New Roman"/>
          <w:color w:val="d3d7de"/>
          <w:sz w:val="24"/>
        </w:rPr>
        <w:t xml:space="preserve">(</w:t>
      </w:r>
      <w:r/>
    </w:p>
    <w:p w14:paraId="09059C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rejection_id        UUID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gen_random_uuid</w:t>
      </w:r>
      <w:r>
        <w:rPr>
          <w:rFonts w:ascii="Times New Roman" w:hAnsi="Times New Roman" w:eastAsia="Times New Roman" w:cs="Times New Roman"/>
          <w:color w:val="d3d7de"/>
          <w:sz w:val="24"/>
        </w:rPr>
        <w:t xml:space="preserve">(),</w:t>
      </w:r>
      <w:r/>
    </w:p>
    <w:p w14:paraId="23403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sources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p>
    <w:p w14:paraId="09253A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metric_id           UUID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p>
    <w:p w14:paraId="6FC095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UUID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rPr>
          <w:rFonts w:ascii="Times New Roman" w:hAnsi="Times New Roman" w:eastAsia="Times New Roman" w:cs="Times New Roman"/>
          <w:color w:val="d3d7de"/>
          <w:sz w:val="24"/>
        </w:rPr>
        <w:t xml:space="preserve">),</w:t>
      </w:r>
      <w:r/>
    </w:p>
    <w:p w14:paraId="0B376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raw_payload         JSONB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078B1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rejection_reason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3DC160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rejection_code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4C5E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8F99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rejected_at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402B8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9A351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rejection_code_valid</w:t>
      </w:r>
      <w:r/>
    </w:p>
    <w:p w14:paraId="38C63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rejection_code IN </w:t>
      </w:r>
      <w:r>
        <w:rPr>
          <w:rFonts w:ascii="Times New Roman" w:hAnsi="Times New Roman" w:eastAsia="Times New Roman" w:cs="Times New Roman"/>
          <w:color w:val="d3d7de"/>
          <w:sz w:val="24"/>
        </w:rPr>
        <w:t xml:space="preserve">(</w:t>
      </w:r>
      <w:r/>
    </w:p>
    <w:p w14:paraId="25FB2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'RANGE_VIOLATION'</w:t>
      </w:r>
      <w:r>
        <w:rPr>
          <w:rFonts w:ascii="Times New Roman" w:hAnsi="Times New Roman" w:eastAsia="Times New Roman" w:cs="Times New Roman"/>
          <w:color w:val="d3d7de"/>
          <w:sz w:val="24"/>
        </w:rPr>
        <w:t xml:space="preserve">,</w:t>
      </w:r>
      <w:r/>
    </w:p>
    <w:p w14:paraId="2E8B33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'TYPE_MISMATCH'</w:t>
      </w:r>
      <w:r>
        <w:rPr>
          <w:rFonts w:ascii="Times New Roman" w:hAnsi="Times New Roman" w:eastAsia="Times New Roman" w:cs="Times New Roman"/>
          <w:color w:val="d3d7de"/>
          <w:sz w:val="24"/>
        </w:rPr>
        <w:t xml:space="preserve">,</w:t>
      </w:r>
      <w:r/>
    </w:p>
    <w:p w14:paraId="7F4C3C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'NULL_VIOLATION'</w:t>
      </w:r>
      <w:r>
        <w:rPr>
          <w:rFonts w:ascii="Times New Roman" w:hAnsi="Times New Roman" w:eastAsia="Times New Roman" w:cs="Times New Roman"/>
          <w:color w:val="d3d7de"/>
          <w:sz w:val="24"/>
        </w:rPr>
        <w:t xml:space="preserve">,</w:t>
      </w:r>
      <w:r/>
    </w:p>
    <w:p w14:paraId="6B213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'UNKNOWN_METRIC'</w:t>
      </w:r>
      <w:r>
        <w:rPr>
          <w:rFonts w:ascii="Times New Roman" w:hAnsi="Times New Roman" w:eastAsia="Times New Roman" w:cs="Times New Roman"/>
          <w:color w:val="d3d7de"/>
          <w:sz w:val="24"/>
        </w:rPr>
        <w:t xml:space="preserve">,</w:t>
      </w:r>
      <w:r/>
    </w:p>
    <w:p w14:paraId="4DBD76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'UNKNOWN_INSTRUMENT'</w:t>
      </w:r>
      <w:r>
        <w:rPr>
          <w:rFonts w:ascii="Times New Roman" w:hAnsi="Times New Roman" w:eastAsia="Times New Roman" w:cs="Times New Roman"/>
          <w:color w:val="d3d7de"/>
          <w:sz w:val="24"/>
        </w:rPr>
        <w:t xml:space="preserve">,</w:t>
      </w:r>
      <w:r/>
    </w:p>
    <w:p w14:paraId="637AF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'DUPLICATE_OBSERVATION'</w:t>
      </w:r>
      <w:r>
        <w:rPr>
          <w:rFonts w:ascii="Times New Roman" w:hAnsi="Times New Roman" w:eastAsia="Times New Roman" w:cs="Times New Roman"/>
          <w:color w:val="d3d7de"/>
          <w:sz w:val="24"/>
        </w:rPr>
        <w:t xml:space="preserve">,</w:t>
      </w:r>
      <w:r/>
    </w:p>
    <w:p w14:paraId="415D8B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'STALE_OBSERVATION'</w:t>
      </w:r>
      <w:r>
        <w:rPr>
          <w:rFonts w:ascii="Times New Roman" w:hAnsi="Times New Roman" w:eastAsia="Times New Roman" w:cs="Times New Roman"/>
          <w:color w:val="d3d7de"/>
          <w:sz w:val="24"/>
        </w:rPr>
        <w:t xml:space="preserve">,</w:t>
      </w:r>
      <w:r/>
    </w:p>
    <w:p w14:paraId="05C8B3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'SCHEMA_ERROR'</w:t>
      </w:r>
      <w:r/>
    </w:p>
    <w:p w14:paraId="292FB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7658E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1CF58F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1FA77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idx_rejected_source_time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observations_rejected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rejected_at </w:t>
      </w:r>
      <w:r>
        <w:rPr>
          <w:rFonts w:ascii="Times New Roman" w:hAnsi="Times New Roman" w:eastAsia="Times New Roman" w:cs="Times New Roman"/>
          <w:color w:val="cc7bf4"/>
          <w:sz w:val="24"/>
        </w:rPr>
        <w:t xml:space="preserve">DESC</w:t>
      </w:r>
      <w:r>
        <w:rPr>
          <w:rFonts w:ascii="Times New Roman" w:hAnsi="Times New Roman" w:eastAsia="Times New Roman" w:cs="Times New Roman"/>
          <w:color w:val="d3d7de"/>
          <w:sz w:val="24"/>
        </w:rPr>
        <w:t xml:space="preserve">);</w:t>
      </w:r>
      <w:r/>
    </w:p>
    <w:p w14:paraId="618BD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idx_rejected_reason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observations_rejected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rejection_code</w:t>
      </w:r>
      <w:r>
        <w:rPr>
          <w:rFonts w:ascii="Times New Roman" w:hAnsi="Times New Roman" w:eastAsia="Times New Roman" w:cs="Times New Roman"/>
          <w:color w:val="d3d7de"/>
          <w:sz w:val="24"/>
        </w:rPr>
        <w:t xml:space="preserve">);</w:t>
      </w:r>
      <w:r/>
    </w:p>
    <w:p w14:paraId="02716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Rejected observations are never silently dropped. Every rejection is logged with its raw payload, reason, and code. This table is the primary tool for diagnosing adapter problems, source quality issues, and validation rule calibration.</w:t>
      </w:r>
      <w:r/>
    </w:p>
    <w:p w14:paraId="6377400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Collection Events (Ingestion Audit)</w:t>
      </w:r>
      <w:r/>
    </w:p>
    <w:p w14:paraId="16285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4A7CB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collection_events </w:t>
      </w:r>
      <w:r>
        <w:rPr>
          <w:rFonts w:ascii="Times New Roman" w:hAnsi="Times New Roman" w:eastAsia="Times New Roman" w:cs="Times New Roman"/>
          <w:color w:val="d3d7de"/>
          <w:sz w:val="24"/>
        </w:rPr>
        <w:t xml:space="preserve">(</w:t>
      </w:r>
      <w:r/>
    </w:p>
    <w:p w14:paraId="52EEA9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event_id            UUID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gen_random_uuid</w:t>
      </w:r>
      <w:r>
        <w:rPr>
          <w:rFonts w:ascii="Times New Roman" w:hAnsi="Times New Roman" w:eastAsia="Times New Roman" w:cs="Times New Roman"/>
          <w:color w:val="d3d7de"/>
          <w:sz w:val="24"/>
        </w:rPr>
        <w:t xml:space="preserve">(),</w:t>
      </w:r>
      <w:r/>
    </w:p>
    <w:p w14:paraId="1159B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sources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p>
    <w:p w14:paraId="230BF4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started_at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95CB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completed_at        TIMESTAMPTZ</w:t>
      </w:r>
      <w:r>
        <w:rPr>
          <w:rFonts w:ascii="Times New Roman" w:hAnsi="Times New Roman" w:eastAsia="Times New Roman" w:cs="Times New Roman"/>
          <w:color w:val="d3d7de"/>
          <w:sz w:val="24"/>
        </w:rPr>
        <w:t xml:space="preserve">,</w:t>
      </w:r>
      <w:r/>
    </w:p>
    <w:p w14:paraId="48694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0E1F08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observations_written </w:t>
      </w:r>
      <w:r>
        <w:rPr>
          <w:rFonts w:ascii="Times New Roman" w:hAnsi="Times New Roman" w:eastAsia="Times New Roman" w:cs="Times New Roman"/>
          <w:color w:val="cc7bf4"/>
          <w:sz w:val="24"/>
        </w:rPr>
        <w:t xml:space="preserve">INTEGER</w:t>
      </w:r>
      <w:r>
        <w:rPr>
          <w:rFonts w:ascii="Times New Roman" w:hAnsi="Times New Roman" w:eastAsia="Times New Roman" w:cs="Times New Roman"/>
          <w:color w:val="d3d7de"/>
          <w:sz w:val="24"/>
        </w:rPr>
        <w:t xml:space="preserve">,</w:t>
      </w:r>
      <w:r/>
    </w:p>
    <w:p w14:paraId="22D21D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observations_rejected </w:t>
      </w:r>
      <w:r>
        <w:rPr>
          <w:rFonts w:ascii="Times New Roman" w:hAnsi="Times New Roman" w:eastAsia="Times New Roman" w:cs="Times New Roman"/>
          <w:color w:val="cc7bf4"/>
          <w:sz w:val="24"/>
        </w:rPr>
        <w:t xml:space="preserve">INTEGER</w:t>
      </w:r>
      <w:r>
        <w:rPr>
          <w:rFonts w:ascii="Times New Roman" w:hAnsi="Times New Roman" w:eastAsia="Times New Roman" w:cs="Times New Roman"/>
          <w:color w:val="d3d7de"/>
          <w:sz w:val="24"/>
        </w:rPr>
        <w:t xml:space="preserve">,</w:t>
      </w:r>
      <w:r/>
    </w:p>
    <w:p w14:paraId="5A53A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metrics_covered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045CB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instruments_covered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66567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error_detail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47576E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metadata            JSONB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21331E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655B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CONSTRAINT</w:t>
      </w:r>
      <w:r>
        <w:rPr>
          <w:rFonts w:ascii="Times New Roman" w:hAnsi="Times New Roman" w:eastAsia="Times New Roman" w:cs="Times New Roman"/>
          <w:color w:val="eaecf0"/>
          <w:sz w:val="24"/>
        </w:rPr>
        <w:t xml:space="preserve"> event_status_valid</w:t>
      </w:r>
      <w:r/>
    </w:p>
    <w:p w14:paraId="5671F7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eaecf0"/>
          <w:sz w:val="24"/>
        </w:rPr>
        <w:t xml:space="preserve"> IN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'running'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'completed'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'failed'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'partial'</w:t>
      </w:r>
      <w:r>
        <w:rPr>
          <w:rFonts w:ascii="Times New Roman" w:hAnsi="Times New Roman" w:eastAsia="Times New Roman" w:cs="Times New Roman"/>
          <w:color w:val="d3d7de"/>
          <w:sz w:val="24"/>
        </w:rPr>
        <w:t xml:space="preserve">))</w:t>
      </w:r>
      <w:r/>
    </w:p>
    <w:p w14:paraId="003FA1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5148D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9AA3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idx_collection_events_source_time</w:t>
      </w:r>
      <w:r/>
    </w:p>
    <w:p w14:paraId="4D8DD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collection_events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started_at </w:t>
      </w:r>
      <w:r>
        <w:rPr>
          <w:rFonts w:ascii="Times New Roman" w:hAnsi="Times New Roman" w:eastAsia="Times New Roman" w:cs="Times New Roman"/>
          <w:color w:val="cc7bf4"/>
          <w:sz w:val="24"/>
        </w:rPr>
        <w:t xml:space="preserve">DESC</w:t>
      </w:r>
      <w:r>
        <w:rPr>
          <w:rFonts w:ascii="Times New Roman" w:hAnsi="Times New Roman" w:eastAsia="Times New Roman" w:cs="Times New Roman"/>
          <w:color w:val="d3d7de"/>
          <w:sz w:val="24"/>
        </w:rPr>
        <w:t xml:space="preserve">);</w:t>
      </w:r>
      <w:r/>
    </w:p>
    <w:p w14:paraId="19E5D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collection run — success or failure — produces a collection event. This is how the health monitoring layer knows whether freshness SLOs are being met, without querying the observations table directly.</w:t>
      </w:r>
      <w:r/>
    </w:p>
    <w:p w14:paraId="44F2742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Instrument-Metric Coverage Map</w:t>
      </w:r>
      <w:r/>
    </w:p>
    <w:p w14:paraId="35260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0A361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instrument_metric_coverage </w:t>
      </w:r>
      <w:r>
        <w:rPr>
          <w:rFonts w:ascii="Times New Roman" w:hAnsi="Times New Roman" w:eastAsia="Times New Roman" w:cs="Times New Roman"/>
          <w:color w:val="d3d7de"/>
          <w:sz w:val="24"/>
        </w:rPr>
        <w:t xml:space="preserve">(</w:t>
      </w:r>
      <w:r/>
    </w:p>
    <w:p w14:paraId="5FBC3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instruments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rPr>
          <w:rFonts w:ascii="Times New Roman" w:hAnsi="Times New Roman" w:eastAsia="Times New Roman" w:cs="Times New Roman"/>
          <w:color w:val="d3d7de"/>
          <w:sz w:val="24"/>
        </w:rPr>
        <w:t xml:space="preserve">),</w:t>
      </w:r>
      <w:r/>
    </w:p>
    <w:p w14:paraId="238510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metric_id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REFERENCES</w:t>
      </w:r>
      <w:r>
        <w:rPr>
          <w:rFonts w:ascii="Times New Roman" w:hAnsi="Times New Roman" w:eastAsia="Times New Roman" w:cs="Times New Roman"/>
          <w:color w:val="eaecf0"/>
          <w:sz w:val="24"/>
        </w:rPr>
        <w:t xml:space="preserve"> metrics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p>
    <w:p w14:paraId="7DB05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first_observation   TIMESTAMPTZ</w:t>
      </w:r>
      <w:r>
        <w:rPr>
          <w:rFonts w:ascii="Times New Roman" w:hAnsi="Times New Roman" w:eastAsia="Times New Roman" w:cs="Times New Roman"/>
          <w:color w:val="d3d7de"/>
          <w:sz w:val="24"/>
        </w:rPr>
        <w:t xml:space="preserve">,</w:t>
      </w:r>
      <w:r/>
    </w:p>
    <w:p w14:paraId="2CFD8C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latest_observation  TIMESTAMPTZ</w:t>
      </w:r>
      <w:r>
        <w:rPr>
          <w:rFonts w:ascii="Times New Roman" w:hAnsi="Times New Roman" w:eastAsia="Times New Roman" w:cs="Times New Roman"/>
          <w:color w:val="d3d7de"/>
          <w:sz w:val="24"/>
        </w:rPr>
        <w:t xml:space="preserve">,</w:t>
      </w:r>
      <w:r/>
    </w:p>
    <w:p w14:paraId="48887A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expected_cadence    </w:t>
      </w:r>
      <w:r>
        <w:rPr>
          <w:rFonts w:ascii="Times New Roman" w:hAnsi="Times New Roman" w:eastAsia="Times New Roman" w:cs="Times New Roman"/>
          <w:color w:val="cc7bf4"/>
          <w:sz w:val="24"/>
        </w:rPr>
        <w:t xml:space="preserve">INTERVAL</w:t>
      </w:r>
      <w:r>
        <w:rPr>
          <w:rFonts w:ascii="Times New Roman" w:hAnsi="Times New Roman" w:eastAsia="Times New Roman" w:cs="Times New Roman"/>
          <w:color w:val="d3d7de"/>
          <w:sz w:val="24"/>
        </w:rPr>
        <w:t xml:space="preserve">,</w:t>
      </w:r>
      <w:r/>
    </w:p>
    <w:p w14:paraId="5CA29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completeness_30d    </w:t>
      </w:r>
      <w:r>
        <w:rPr>
          <w:rFonts w:ascii="Times New Roman" w:hAnsi="Times New Roman" w:eastAsia="Times New Roman" w:cs="Times New Roman"/>
          <w:color w:val="cc7bf4"/>
          <w:sz w:val="24"/>
        </w:rPr>
        <w:t xml:space="preserve">NUMERIC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5eeded"/>
          <w:sz w:val="24"/>
        </w:rPr>
        <w:t xml:space="preserve">5</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5eeded"/>
          <w:sz w:val="24"/>
        </w:rPr>
        <w:t xml:space="preserve">4</w:t>
      </w:r>
      <w:r>
        <w:rPr>
          <w:rFonts w:ascii="Times New Roman" w:hAnsi="Times New Roman" w:eastAsia="Times New Roman" w:cs="Times New Roman"/>
          <w:color w:val="d3d7de"/>
          <w:sz w:val="24"/>
        </w:rPr>
        <w:t xml:space="preserve">),</w:t>
      </w:r>
      <w:r/>
    </w:p>
    <w:p w14:paraId="47E43D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is_active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40FFB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updated_at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12675E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ACB1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metric_id</w:t>
      </w:r>
      <w:r>
        <w:rPr>
          <w:rFonts w:ascii="Times New Roman" w:hAnsi="Times New Roman" w:eastAsia="Times New Roman" w:cs="Times New Roman"/>
          <w:color w:val="d3d7de"/>
          <w:sz w:val="24"/>
        </w:rPr>
        <w:t xml:space="preserve">)</w:t>
      </w:r>
      <w:r/>
    </w:p>
    <w:p w14:paraId="6A1A5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260D3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table is maintained by a scheduled job that scans the observations table and computes coverage statistics. It's the fast path for "is this instrument signal-eligible?" — instead of querying observations history, check this summary.</w:t>
      </w:r>
      <w:r/>
    </w:p>
    <w:p w14:paraId="4FA9290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PIT Strategy</w:t>
      </w:r>
      <w:r/>
    </w:p>
    <w:p w14:paraId="48413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Point-in-time integrity is the correctness guarantee that makes backtesting and audit meaningful. Without it, historical signals are contaminated by data that wasn't available when the signal would have been generated.</w:t>
      </w:r>
      <w:r/>
    </w:p>
    <w:p w14:paraId="31132E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Three timestamp fields, three distinct concepts: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33"/>
        <w:gridCol w:w="3693"/>
        <w:gridCol w:w="4629"/>
      </w:tblGrid>
      <w:tr>
        <w:trPr/>
        <w:tc>
          <w:tcPr>
            <w:tcBorders/>
            <w:tcMar>
              <w:left w:w="15" w:type="dxa"/>
              <w:top w:w="15" w:type="dxa"/>
              <w:right w:w="15" w:type="dxa"/>
              <w:bottom w:w="15" w:type="dxa"/>
            </w:tcMar>
            <w:tcW w:w="1033" w:type="dxa"/>
            <w:vAlign w:val="center"/>
          </w:tcPr>
          <w:p w14:paraId="3BECCD34">
            <w:pPr>
              <w:pBdr/>
              <w:spacing w:after="0" w:before="0" w:line="240"/>
              <w:ind/>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3693" w:type="dxa"/>
            <w:vAlign w:val="center"/>
          </w:tcPr>
          <w:p w14:paraId="6BED9A3A">
            <w:pPr>
              <w:pBdr/>
              <w:spacing w:after="0" w:before="0" w:line="240"/>
              <w:ind/>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4629" w:type="dxa"/>
            <w:vAlign w:val="center"/>
          </w:tcPr>
          <w:p w14:paraId="13B93F44">
            <w:pPr>
              <w:pBdr/>
              <w:spacing w:after="0" w:before="0" w:line="240"/>
              <w:ind/>
              <w:jc w:val="center"/>
              <w:rPr/>
            </w:pPr>
            <w:r>
              <w:rPr>
                <w:rFonts w:ascii="Times New Roman" w:hAnsi="Times New Roman" w:eastAsia="Times New Roman" w:cs="Times New Roman"/>
                <w:b/>
                <w:color w:val="000000"/>
                <w:sz w:val="24"/>
              </w:rPr>
              <w:t xml:space="preserve">Example</w:t>
            </w:r>
            <w:r/>
          </w:p>
        </w:tc>
      </w:tr>
      <w:tr>
        <w:trPr/>
        <w:tc>
          <w:tcPr>
            <w:tcBorders/>
            <w:tcMar>
              <w:left w:w="15" w:type="dxa"/>
              <w:top w:w="15" w:type="dxa"/>
              <w:right w:w="15" w:type="dxa"/>
              <w:bottom w:w="15" w:type="dxa"/>
            </w:tcMar>
            <w:tcW w:w="1033" w:type="dxa"/>
            <w:vAlign w:val="center"/>
          </w:tcPr>
          <w:p w14:paraId="0313714B">
            <w:pPr>
              <w:pBdr/>
              <w:spacing w:after="0" w:before="0" w:line="240"/>
              <w:ind/>
              <w:rPr/>
            </w:pPr>
            <w:r>
              <w:rPr>
                <w:rFonts w:ascii="Courier New" w:hAnsi="Courier New" w:eastAsia="Courier New" w:cs="Courier New"/>
                <w:color w:val="000000"/>
                <w:sz w:val="20"/>
              </w:rPr>
              <w:t xml:space="preserve">valid_from</w:t>
            </w:r>
            <w:r/>
          </w:p>
        </w:tc>
        <w:tc>
          <w:tcPr>
            <w:tcBorders/>
            <w:tcMar>
              <w:left w:w="15" w:type="dxa"/>
              <w:top w:w="15" w:type="dxa"/>
              <w:right w:w="15" w:type="dxa"/>
              <w:bottom w:w="15" w:type="dxa"/>
            </w:tcMar>
            <w:tcW w:w="3693" w:type="dxa"/>
            <w:vAlign w:val="center"/>
          </w:tcPr>
          <w:p w14:paraId="0F53E327">
            <w:pPr>
              <w:pBdr/>
              <w:spacing w:after="0" w:before="0" w:line="240"/>
              <w:ind/>
              <w:rPr/>
            </w:pPr>
            <w:r>
              <w:rPr>
                <w:rFonts w:ascii="Times New Roman" w:hAnsi="Times New Roman" w:eastAsia="Times New Roman" w:cs="Times New Roman"/>
                <w:color w:val="000000"/>
                <w:sz w:val="24"/>
              </w:rPr>
              <w:t xml:space="preserve">When this value was true in the real world</w:t>
            </w:r>
            <w:r/>
          </w:p>
        </w:tc>
        <w:tc>
          <w:tcPr>
            <w:tcBorders/>
            <w:tcMar>
              <w:left w:w="15" w:type="dxa"/>
              <w:top w:w="15" w:type="dxa"/>
              <w:right w:w="15" w:type="dxa"/>
              <w:bottom w:w="15" w:type="dxa"/>
            </w:tcMar>
            <w:tcW w:w="4629" w:type="dxa"/>
            <w:vAlign w:val="center"/>
          </w:tcPr>
          <w:p w14:paraId="110E0888">
            <w:pPr>
              <w:pBdr/>
              <w:spacing w:after="0" w:before="0" w:line="240"/>
              <w:ind/>
              <w:rPr/>
            </w:pPr>
            <w:r>
              <w:rPr>
                <w:rFonts w:ascii="Times New Roman" w:hAnsi="Times New Roman" w:eastAsia="Times New Roman" w:cs="Times New Roman"/>
                <w:color w:val="000000"/>
                <w:sz w:val="24"/>
              </w:rPr>
              <w:t xml:space="preserve">Funding rate observation at 08:00 UTC: valid_from = 08:00 UTC</w:t>
            </w:r>
            <w:r/>
          </w:p>
        </w:tc>
      </w:tr>
      <w:tr>
        <w:trPr/>
        <w:tc>
          <w:tcPr>
            <w:tcBorders/>
            <w:tcMar>
              <w:left w:w="15" w:type="dxa"/>
              <w:top w:w="15" w:type="dxa"/>
              <w:right w:w="15" w:type="dxa"/>
              <w:bottom w:w="15" w:type="dxa"/>
            </w:tcMar>
            <w:tcW w:w="1033" w:type="dxa"/>
            <w:vAlign w:val="center"/>
          </w:tcPr>
          <w:p w14:paraId="7F5483AC">
            <w:pPr>
              <w:pBdr/>
              <w:spacing w:after="0" w:before="0" w:line="240"/>
              <w:ind/>
              <w:rPr/>
            </w:pPr>
            <w:r>
              <w:rPr>
                <w:rFonts w:ascii="Courier New" w:hAnsi="Courier New" w:eastAsia="Courier New" w:cs="Courier New"/>
                <w:color w:val="000000"/>
                <w:sz w:val="20"/>
              </w:rPr>
              <w:t xml:space="preserve">valid_to</w:t>
            </w:r>
            <w:r/>
          </w:p>
        </w:tc>
        <w:tc>
          <w:tcPr>
            <w:tcBorders/>
            <w:tcMar>
              <w:left w:w="15" w:type="dxa"/>
              <w:top w:w="15" w:type="dxa"/>
              <w:right w:w="15" w:type="dxa"/>
              <w:bottom w:w="15" w:type="dxa"/>
            </w:tcMar>
            <w:tcW w:w="3693" w:type="dxa"/>
            <w:vAlign w:val="center"/>
          </w:tcPr>
          <w:p w14:paraId="0ADF99F9">
            <w:pPr>
              <w:pBdr/>
              <w:spacing w:after="0" w:before="0" w:line="240"/>
              <w:ind/>
              <w:rPr/>
            </w:pPr>
            <w:r>
              <w:rPr>
                <w:rFonts w:ascii="Times New Roman" w:hAnsi="Times New Roman" w:eastAsia="Times New Roman" w:cs="Times New Roman"/>
                <w:color w:val="000000"/>
                <w:sz w:val="24"/>
              </w:rPr>
              <w:t xml:space="preserve">When this value was superseded (NULL = current)</w:t>
            </w:r>
            <w:r/>
          </w:p>
        </w:tc>
        <w:tc>
          <w:tcPr>
            <w:tcBorders/>
            <w:tcMar>
              <w:left w:w="15" w:type="dxa"/>
              <w:top w:w="15" w:type="dxa"/>
              <w:right w:w="15" w:type="dxa"/>
              <w:bottom w:w="15" w:type="dxa"/>
            </w:tcMar>
            <w:tcW w:w="4629" w:type="dxa"/>
            <w:vAlign w:val="center"/>
          </w:tcPr>
          <w:p w14:paraId="27E04DE5">
            <w:pPr>
              <w:pBdr/>
              <w:spacing w:after="0" w:before="0" w:line="240"/>
              <w:ind/>
              <w:rPr/>
            </w:pPr>
            <w:r>
              <w:rPr>
                <w:rFonts w:ascii="Times New Roman" w:hAnsi="Times New Roman" w:eastAsia="Times New Roman" w:cs="Times New Roman"/>
                <w:color w:val="000000"/>
                <w:sz w:val="24"/>
              </w:rPr>
              <w:t xml:space="preserve">Source revises the value: valid_to = revision timestamp</w:t>
            </w:r>
            <w:r/>
          </w:p>
        </w:tc>
      </w:tr>
      <w:tr>
        <w:trPr/>
        <w:tc>
          <w:tcPr>
            <w:tcBorders/>
            <w:tcMar>
              <w:left w:w="15" w:type="dxa"/>
              <w:top w:w="15" w:type="dxa"/>
              <w:right w:w="15" w:type="dxa"/>
              <w:bottom w:w="15" w:type="dxa"/>
            </w:tcMar>
            <w:tcW w:w="1033" w:type="dxa"/>
            <w:vAlign w:val="center"/>
          </w:tcPr>
          <w:p w14:paraId="12328DB4">
            <w:pPr>
              <w:pBdr/>
              <w:spacing w:after="0" w:before="0" w:line="240"/>
              <w:ind/>
              <w:rPr/>
            </w:pPr>
            <w:r>
              <w:rPr>
                <w:rFonts w:ascii="Courier New" w:hAnsi="Courier New" w:eastAsia="Courier New" w:cs="Courier New"/>
                <w:color w:val="000000"/>
                <w:sz w:val="20"/>
              </w:rPr>
              <w:t xml:space="preserve">ingested_at</w:t>
            </w:r>
            <w:r/>
          </w:p>
        </w:tc>
        <w:tc>
          <w:tcPr>
            <w:tcBorders/>
            <w:tcMar>
              <w:left w:w="15" w:type="dxa"/>
              <w:top w:w="15" w:type="dxa"/>
              <w:right w:w="15" w:type="dxa"/>
              <w:bottom w:w="15" w:type="dxa"/>
            </w:tcMar>
            <w:tcW w:w="3693" w:type="dxa"/>
            <w:vAlign w:val="center"/>
          </w:tcPr>
          <w:p w14:paraId="38AC4C1B">
            <w:pPr>
              <w:pBdr/>
              <w:spacing w:after="0" w:before="0" w:line="240"/>
              <w:ind/>
              <w:rPr/>
            </w:pPr>
            <w:r>
              <w:rPr>
                <w:rFonts w:ascii="Times New Roman" w:hAnsi="Times New Roman" w:eastAsia="Times New Roman" w:cs="Times New Roman"/>
                <w:color w:val="000000"/>
                <w:sz w:val="24"/>
              </w:rPr>
              <w:t xml:space="preserve">When this value entered the system</w:t>
            </w:r>
            <w:r/>
          </w:p>
        </w:tc>
        <w:tc>
          <w:tcPr>
            <w:tcBorders/>
            <w:tcMar>
              <w:left w:w="15" w:type="dxa"/>
              <w:top w:w="15" w:type="dxa"/>
              <w:right w:w="15" w:type="dxa"/>
              <w:bottom w:w="15" w:type="dxa"/>
            </w:tcMar>
            <w:tcW w:w="4629" w:type="dxa"/>
            <w:vAlign w:val="center"/>
          </w:tcPr>
          <w:p w14:paraId="6B6C9660">
            <w:pPr>
              <w:pBdr/>
              <w:spacing w:after="0" w:before="0" w:line="240"/>
              <w:ind/>
              <w:rPr/>
            </w:pPr>
            <w:r>
              <w:rPr>
                <w:rFonts w:ascii="Times New Roman" w:hAnsi="Times New Roman" w:eastAsia="Times New Roman" w:cs="Times New Roman"/>
                <w:color w:val="000000"/>
                <w:sz w:val="24"/>
              </w:rPr>
              <w:t xml:space="preserve">Data arrived at 08:04 UTC: ingested_at = 08:04 UTC</w:t>
            </w:r>
            <w:r/>
          </w:p>
        </w:tc>
      </w:tr>
      <w:tr>
        <w:trPr/>
        <w:tc>
          <w:tcPr>
            <w:tcBorders/>
            <w:tcMar>
              <w:left w:w="15" w:type="dxa"/>
              <w:top w:w="15" w:type="dxa"/>
              <w:right w:w="15" w:type="dxa"/>
              <w:bottom w:w="15" w:type="dxa"/>
            </w:tcMar>
            <w:tcW w:w="1033" w:type="dxa"/>
            <w:vAlign w:val="center"/>
          </w:tcPr>
          <w:p w14:paraId="2FCB4B88">
            <w:pPr>
              <w:pBdr/>
              <w:spacing w:after="0" w:before="0" w:line="240"/>
              <w:ind/>
              <w:rPr/>
            </w:pPr>
            <w:r>
              <w:rPr>
                <w:rFonts w:ascii="Courier New" w:hAnsi="Courier New" w:eastAsia="Courier New" w:cs="Courier New"/>
                <w:color w:val="000000"/>
                <w:sz w:val="20"/>
              </w:rPr>
              <w:t xml:space="preserve">collected_at</w:t>
            </w:r>
            <w:r/>
          </w:p>
        </w:tc>
        <w:tc>
          <w:tcPr>
            <w:tcBorders/>
            <w:tcMar>
              <w:left w:w="15" w:type="dxa"/>
              <w:top w:w="15" w:type="dxa"/>
              <w:right w:w="15" w:type="dxa"/>
              <w:bottom w:w="15" w:type="dxa"/>
            </w:tcMar>
            <w:tcW w:w="3693" w:type="dxa"/>
            <w:vAlign w:val="center"/>
          </w:tcPr>
          <w:p w14:paraId="5AB1872A">
            <w:pPr>
              <w:pBdr/>
              <w:spacing w:after="0" w:before="0" w:line="240"/>
              <w:ind/>
              <w:rPr/>
            </w:pPr>
            <w:r>
              <w:rPr>
                <w:rFonts w:ascii="Times New Roman" w:hAnsi="Times New Roman" w:eastAsia="Times New Roman" w:cs="Times New Roman"/>
                <w:color w:val="000000"/>
                <w:sz w:val="24"/>
              </w:rPr>
              <w:t xml:space="preserve">When the collection agent fetched it from the source</w:t>
            </w:r>
            <w:r/>
          </w:p>
        </w:tc>
        <w:tc>
          <w:tcPr>
            <w:tcBorders/>
            <w:tcMar>
              <w:left w:w="15" w:type="dxa"/>
              <w:top w:w="15" w:type="dxa"/>
              <w:right w:w="15" w:type="dxa"/>
              <w:bottom w:w="15" w:type="dxa"/>
            </w:tcMar>
            <w:tcW w:w="4629" w:type="dxa"/>
            <w:vAlign w:val="center"/>
          </w:tcPr>
          <w:p w14:paraId="7A3E7D83">
            <w:pPr>
              <w:pBdr/>
              <w:spacing w:after="0" w:before="0" w:line="240"/>
              <w:ind/>
              <w:rPr/>
            </w:pPr>
            <w:r>
              <w:rPr>
                <w:rFonts w:ascii="Times New Roman" w:hAnsi="Times New Roman" w:eastAsia="Times New Roman" w:cs="Times New Roman"/>
                <w:color w:val="000000"/>
                <w:sz w:val="24"/>
              </w:rPr>
              <w:t xml:space="preserve">Agent polled at 08:02 UTC: collected_at = 08:02 UTC</w:t>
            </w:r>
            <w:r/>
          </w:p>
        </w:tc>
      </w:tr>
    </w:tbl>
    <w:p w14:paraId="1B3342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Revision handling:</w:t>
      </w:r>
      <w:r/>
    </w:p>
    <w:p w14:paraId="188332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source revises a historical value:</w:t>
      </w:r>
      <w:r/>
    </w:p>
    <w:p w14:paraId="3F76B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79FCA5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Close the existing row</w:t>
      </w:r>
      <w:r/>
    </w:p>
    <w:p w14:paraId="567BBD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UPDATE</w:t>
      </w:r>
      <w:r>
        <w:rPr>
          <w:rFonts w:ascii="Times New Roman" w:hAnsi="Times New Roman" w:eastAsia="Times New Roman" w:cs="Times New Roman"/>
          <w:color w:val="eaecf0"/>
          <w:sz w:val="24"/>
        </w:rPr>
        <w:t xml:space="preserve"> observations</w:t>
      </w:r>
      <w:r/>
    </w:p>
    <w:p w14:paraId="0F3EDD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SET</w:t>
      </w:r>
      <w:r>
        <w:rPr>
          <w:rFonts w:ascii="Times New Roman" w:hAnsi="Times New Roman" w:eastAsia="Times New Roman" w:cs="Times New Roman"/>
          <w:color w:val="eaecf0"/>
          <w:sz w:val="24"/>
        </w:rPr>
        <w:t xml:space="preserve"> valid_to =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p>
    <w:p w14:paraId="1C53F3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metric_id = :metric_id</w:t>
      </w:r>
      <w:r/>
    </w:p>
    <w:p w14:paraId="7D37AA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instrument_id = :instrument_id</w:t>
      </w:r>
      <w:r/>
    </w:p>
    <w:p w14:paraId="3BADD0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valid_from = :original_valid_from</w:t>
      </w:r>
      <w:r/>
    </w:p>
    <w:p w14:paraId="708D9D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valid_to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120DBB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FC511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Insert the revised row</w:t>
      </w:r>
      <w:r/>
    </w:p>
    <w:p w14:paraId="6A4F70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INSERT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INTO</w:t>
      </w:r>
      <w:r>
        <w:rPr>
          <w:rFonts w:ascii="Times New Roman" w:hAnsi="Times New Roman" w:eastAsia="Times New Roman" w:cs="Times New Roman"/>
          <w:color w:val="eaecf0"/>
          <w:sz w:val="24"/>
        </w:rPr>
        <w:t xml:space="preserve"> observations </w:t>
      </w:r>
      <w:r>
        <w:rPr>
          <w:rFonts w:ascii="Times New Roman" w:hAnsi="Times New Roman" w:eastAsia="Times New Roman" w:cs="Times New Roman"/>
          <w:color w:val="d3d7de"/>
          <w:sz w:val="24"/>
        </w:rPr>
        <w:t xml:space="preserve">(</w:t>
      </w:r>
      <w:r/>
    </w:p>
    <w:p w14:paraId="24494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source_id</w:t>
      </w:r>
      <w:r>
        <w:rPr>
          <w:rFonts w:ascii="Times New Roman" w:hAnsi="Times New Roman" w:eastAsia="Times New Roman" w:cs="Times New Roman"/>
          <w:color w:val="d3d7de"/>
          <w:sz w:val="24"/>
        </w:rPr>
        <w:t xml:space="preserve">,</w:t>
      </w:r>
      <w:r/>
    </w:p>
    <w:p w14:paraId="456B19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valid_from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valid_to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ingested_at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collected_at</w:t>
      </w:r>
      <w:r>
        <w:rPr>
          <w:rFonts w:ascii="Times New Roman" w:hAnsi="Times New Roman" w:eastAsia="Times New Roman" w:cs="Times New Roman"/>
          <w:color w:val="d3d7de"/>
          <w:sz w:val="24"/>
        </w:rPr>
        <w:t xml:space="preserve">,</w:t>
      </w:r>
      <w:r/>
    </w:p>
    <w:p w14:paraId="19E367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value_numeric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is_validated</w:t>
      </w:r>
      <w:r/>
    </w:p>
    <w:p w14:paraId="799F2D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VALUES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11978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:source_id</w:t>
      </w:r>
      <w:r>
        <w:rPr>
          <w:rFonts w:ascii="Times New Roman" w:hAnsi="Times New Roman" w:eastAsia="Times New Roman" w:cs="Times New Roman"/>
          <w:color w:val="d3d7de"/>
          <w:sz w:val="24"/>
        </w:rPr>
        <w:t xml:space="preserve">,</w:t>
      </w:r>
      <w:r/>
    </w:p>
    <w:p w14:paraId="54D0CC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:original_valid_from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:collected_at</w:t>
      </w:r>
      <w:r>
        <w:rPr>
          <w:rFonts w:ascii="Times New Roman" w:hAnsi="Times New Roman" w:eastAsia="Times New Roman" w:cs="Times New Roman"/>
          <w:color w:val="d3d7de"/>
          <w:sz w:val="24"/>
        </w:rPr>
        <w:t xml:space="preserve">,</w:t>
      </w:r>
      <w:r/>
    </w:p>
    <w:p w14:paraId="5C03DB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:revised_value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true</w:t>
      </w:r>
      <w:r/>
    </w:p>
    <w:p w14:paraId="60328D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01818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original row is preserved with </w:t>
      </w:r>
      <w:r>
        <w:rPr>
          <w:rFonts w:ascii="Courier New" w:hAnsi="Courier New" w:eastAsia="Courier New" w:cs="Courier New"/>
          <w:color w:val="000000"/>
          <w:sz w:val="20"/>
        </w:rPr>
        <w:t xml:space="preserve">valid_to</w:t>
      </w:r>
      <w:r>
        <w:rPr>
          <w:rFonts w:ascii="Times New Roman" w:hAnsi="Times New Roman" w:eastAsia="Times New Roman" w:cs="Times New Roman"/>
          <w:color w:val="000000"/>
          <w:sz w:val="24"/>
        </w:rPr>
        <w:t xml:space="preserve"> set. The complete revision history is queryable.</w:t>
      </w:r>
      <w:r/>
    </w:p>
    <w:p w14:paraId="2E6DC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PIT query pattern:</w:t>
      </w:r>
      <w:r/>
    </w:p>
    <w:p w14:paraId="5D525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was the funding rate for BTC as known at 2025-01-15 00:00 UTC, valid for the period 2025-01-14 08:00 UTC?"</w:t>
      </w:r>
      <w:r/>
    </w:p>
    <w:p w14:paraId="249323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2251C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value_numeric</w:t>
      </w:r>
      <w:r/>
    </w:p>
    <w:p w14:paraId="029B4F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 o</w:t>
      </w:r>
      <w:r/>
    </w:p>
    <w:p w14:paraId="5465A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metrics m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p>
    <w:p w14:paraId="0EB48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instruments i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p>
    <w:p w14:paraId="3062AC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 = </w:t>
      </w:r>
      <w:r>
        <w:rPr>
          <w:rFonts w:ascii="Times New Roman" w:hAnsi="Times New Roman" w:eastAsia="Times New Roman" w:cs="Times New Roman"/>
          <w:color w:val="9be963"/>
          <w:sz w:val="24"/>
        </w:rPr>
        <w:t xml:space="preserve">'derivatives.perpetual.funding_rate'</w:t>
      </w:r>
      <w:r/>
    </w:p>
    <w:p w14:paraId="42D70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canonical_symbol = </w:t>
      </w:r>
      <w:r>
        <w:rPr>
          <w:rFonts w:ascii="Times New Roman" w:hAnsi="Times New Roman" w:eastAsia="Times New Roman" w:cs="Times New Roman"/>
          <w:color w:val="9be963"/>
          <w:sz w:val="24"/>
        </w:rPr>
        <w:t xml:space="preserve">'BTC'</w:t>
      </w:r>
      <w:r/>
    </w:p>
    <w:p w14:paraId="23493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 = </w:t>
      </w:r>
      <w:r>
        <w:rPr>
          <w:rFonts w:ascii="Times New Roman" w:hAnsi="Times New Roman" w:eastAsia="Times New Roman" w:cs="Times New Roman"/>
          <w:color w:val="9be963"/>
          <w:sz w:val="24"/>
        </w:rPr>
        <w:t xml:space="preserve">'2025-01-14 08:00:00+00'</w:t>
      </w:r>
      <w:r/>
    </w:p>
    <w:p w14:paraId="1FB954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ingested_at &lt;= </w:t>
      </w:r>
      <w:r>
        <w:rPr>
          <w:rFonts w:ascii="Times New Roman" w:hAnsi="Times New Roman" w:eastAsia="Times New Roman" w:cs="Times New Roman"/>
          <w:color w:val="9be963"/>
          <w:sz w:val="24"/>
        </w:rPr>
        <w:t xml:space="preserve">'2025-01-15 00:00:00+00'</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data available as of this time</w:t>
      </w:r>
      <w:r/>
    </w:p>
    <w:p w14:paraId="3DF06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OR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 &gt; </w:t>
      </w:r>
      <w:r>
        <w:rPr>
          <w:rFonts w:ascii="Times New Roman" w:hAnsi="Times New Roman" w:eastAsia="Times New Roman" w:cs="Times New Roman"/>
          <w:color w:val="9be963"/>
          <w:sz w:val="24"/>
        </w:rPr>
        <w:t xml:space="preserve">'2025-01-14 08:00:00+00'</w:t>
      </w:r>
      <w:r>
        <w:rPr>
          <w:rFonts w:ascii="Times New Roman" w:hAnsi="Times New Roman" w:eastAsia="Times New Roman" w:cs="Times New Roman"/>
          <w:color w:val="d3d7de"/>
          <w:sz w:val="24"/>
        </w:rPr>
        <w:t xml:space="preserve">)</w:t>
      </w:r>
      <w:r/>
    </w:p>
    <w:p w14:paraId="79175B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ORDER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BY</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ingested_at </w:t>
      </w:r>
      <w:r>
        <w:rPr>
          <w:rFonts w:ascii="Times New Roman" w:hAnsi="Times New Roman" w:eastAsia="Times New Roman" w:cs="Times New Roman"/>
          <w:color w:val="cc7bf4"/>
          <w:sz w:val="24"/>
        </w:rPr>
        <w:t xml:space="preserve">DESC</w:t>
      </w:r>
      <w:r/>
    </w:p>
    <w:p w14:paraId="099429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LIMIT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1</w:t>
      </w:r>
      <w:r>
        <w:rPr>
          <w:rFonts w:ascii="Times New Roman" w:hAnsi="Times New Roman" w:eastAsia="Times New Roman" w:cs="Times New Roman"/>
          <w:color w:val="d3d7de"/>
          <w:sz w:val="24"/>
        </w:rPr>
        <w:t xml:space="preserve">;</w:t>
      </w:r>
      <w:r/>
    </w:p>
    <w:p w14:paraId="2DF39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query returns the value as it was known at 2025-01-15 00:00 UTC — the value that a system running at that time would have had available. This is the correct semantics for backtesting.</w:t>
      </w:r>
      <w:r/>
    </w:p>
    <w:p w14:paraId="5D9D3F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Backfill semantics:</w:t>
      </w:r>
      <w:r/>
    </w:p>
    <w:p w14:paraId="17636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Backfilled observations have </w:t>
      </w:r>
      <w:r>
        <w:rPr>
          <w:rFonts w:ascii="Courier New" w:hAnsi="Courier New" w:eastAsia="Courier New" w:cs="Courier New"/>
          <w:color w:val="000000"/>
          <w:sz w:val="20"/>
        </w:rPr>
        <w:t xml:space="preserve">ingested_at</w:t>
      </w:r>
      <w:r>
        <w:rPr>
          <w:rFonts w:ascii="Times New Roman" w:hAnsi="Times New Roman" w:eastAsia="Times New Roman" w:cs="Times New Roman"/>
          <w:color w:val="000000"/>
          <w:sz w:val="24"/>
        </w:rPr>
        <w:t xml:space="preserve"> = time of backfill load, but </w:t>
      </w:r>
      <w:r>
        <w:rPr>
          <w:rFonts w:ascii="Courier New" w:hAnsi="Courier New" w:eastAsia="Courier New" w:cs="Courier New"/>
          <w:color w:val="000000"/>
          <w:sz w:val="20"/>
        </w:rPr>
        <w:t xml:space="preserve">valid_from</w:t>
      </w:r>
      <w:r>
        <w:rPr>
          <w:rFonts w:ascii="Times New Roman" w:hAnsi="Times New Roman" w:eastAsia="Times New Roman" w:cs="Times New Roman"/>
          <w:color w:val="000000"/>
          <w:sz w:val="24"/>
        </w:rPr>
        <w:t xml:space="preserve"> = historical timestamp. When running PIT queries for live signal generation, only observations with </w:t>
      </w:r>
      <w:r>
        <w:rPr>
          <w:rFonts w:ascii="Courier New" w:hAnsi="Courier New" w:eastAsia="Courier New" w:cs="Courier New"/>
          <w:color w:val="000000"/>
          <w:sz w:val="20"/>
        </w:rPr>
        <w:t xml:space="preserve">ingested_at &lt;= now()</w:t>
      </w:r>
      <w:r>
        <w:rPr>
          <w:rFonts w:ascii="Times New Roman" w:hAnsi="Times New Roman" w:eastAsia="Times New Roman" w:cs="Times New Roman"/>
          <w:color w:val="000000"/>
          <w:sz w:val="24"/>
        </w:rPr>
        <w:t xml:space="preserve"> are used — which includes all backfill, because it was all loaded before now. When running PIT queries for historical backtesting at time T, only observations with </w:t>
      </w:r>
      <w:r>
        <w:rPr>
          <w:rFonts w:ascii="Courier New" w:hAnsi="Courier New" w:eastAsia="Courier New" w:cs="Courier New"/>
          <w:color w:val="000000"/>
          <w:sz w:val="20"/>
        </w:rPr>
        <w:t xml:space="preserve">ingested_at &lt;= T</w:t>
      </w:r>
      <w:r>
        <w:rPr>
          <w:rFonts w:ascii="Times New Roman" w:hAnsi="Times New Roman" w:eastAsia="Times New Roman" w:cs="Times New Roman"/>
          <w:color w:val="000000"/>
          <w:sz w:val="24"/>
        </w:rPr>
        <w:t xml:space="preserve"> are used — which excludes backfill loaded after T. This is the correct behavior: a backtest at 2024-01-01 should not use data that was backfilled in 2026.</w:t>
      </w:r>
      <w:r/>
    </w:p>
    <w:p w14:paraId="42A3AC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distinction is what separates a correct backtest from a contaminated one. It is not optional.</w:t>
      </w:r>
      <w:r/>
    </w:p>
    <w:p w14:paraId="30B8F5C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Materialized Views</w:t>
      </w:r>
      <w:r/>
    </w:p>
    <w:p w14:paraId="70784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EAV has one real cost: "give me the latest value of all metrics for BTC" requires scanning the observations table filtered by instrument. Materialized views make this fast without denormalizing the canonical store.</w:t>
      </w:r>
      <w:r/>
    </w:p>
    <w:p w14:paraId="0CE64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36607B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Current observations only (valid_to IS NULL, is_validated = true)</w:t>
      </w:r>
      <w:r/>
    </w:p>
    <w:p w14:paraId="626864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MATERIALIZED </w:t>
      </w:r>
      <w:r>
        <w:rPr>
          <w:rFonts w:ascii="Times New Roman" w:hAnsi="Times New Roman" w:eastAsia="Times New Roman" w:cs="Times New Roman"/>
          <w:color w:val="cc7bf4"/>
          <w:sz w:val="24"/>
        </w:rPr>
        <w:t xml:space="preserve">VIEW</w:t>
      </w:r>
      <w:r>
        <w:rPr>
          <w:rFonts w:ascii="Times New Roman" w:hAnsi="Times New Roman" w:eastAsia="Times New Roman" w:cs="Times New Roman"/>
          <w:color w:val="eaecf0"/>
          <w:sz w:val="24"/>
        </w:rPr>
        <w:t xml:space="preserve"> observations_current </w:t>
      </w:r>
      <w:r>
        <w:rPr>
          <w:rFonts w:ascii="Times New Roman" w:hAnsi="Times New Roman" w:eastAsia="Times New Roman" w:cs="Times New Roman"/>
          <w:color w:val="cc7bf4"/>
          <w:sz w:val="24"/>
        </w:rPr>
        <w:t xml:space="preserve">AS</w:t>
      </w:r>
      <w:r/>
    </w:p>
    <w:p w14:paraId="4C8F3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p>
    <w:p w14:paraId="6EAFD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rPr>
          <w:rFonts w:ascii="Times New Roman" w:hAnsi="Times New Roman" w:eastAsia="Times New Roman" w:cs="Times New Roman"/>
          <w:color w:val="d3d7de"/>
          <w:sz w:val="24"/>
        </w:rPr>
        <w:t xml:space="preserve">,</w:t>
      </w:r>
      <w:r/>
    </w:p>
    <w:p w14:paraId="6A0AF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rPr>
          <w:rFonts w:ascii="Times New Roman" w:hAnsi="Times New Roman" w:eastAsia="Times New Roman" w:cs="Times New Roman"/>
          <w:color w:val="d3d7de"/>
          <w:sz w:val="24"/>
        </w:rPr>
        <w:t xml:space="preserve">,</w:t>
      </w:r>
      <w:r/>
    </w:p>
    <w:p w14:paraId="7EE33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canonical_symbol</w:t>
      </w:r>
      <w:r>
        <w:rPr>
          <w:rFonts w:ascii="Times New Roman" w:hAnsi="Times New Roman" w:eastAsia="Times New Roman" w:cs="Times New Roman"/>
          <w:color w:val="d3d7de"/>
          <w:sz w:val="24"/>
        </w:rPr>
        <w:t xml:space="preserve">,</w:t>
      </w:r>
      <w:r/>
    </w:p>
    <w:p w14:paraId="4B7F37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w:t>
      </w:r>
      <w:r>
        <w:rPr>
          <w:rFonts w:ascii="Times New Roman" w:hAnsi="Times New Roman" w:eastAsia="Times New Roman" w:cs="Times New Roman"/>
          <w:color w:val="d3d7de"/>
          <w:sz w:val="24"/>
        </w:rPr>
        <w:t xml:space="preserve">,</w:t>
      </w:r>
      <w:r/>
    </w:p>
    <w:p w14:paraId="7554B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w:t>
      </w:r>
      <w:r>
        <w:rPr>
          <w:rFonts w:ascii="Times New Roman" w:hAnsi="Times New Roman" w:eastAsia="Times New Roman" w:cs="Times New Roman"/>
          <w:color w:val="d3d7de"/>
          <w:sz w:val="24"/>
        </w:rPr>
        <w:t xml:space="preserve">,</w:t>
      </w:r>
      <w:r/>
    </w:p>
    <w:p w14:paraId="3EB45C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value_numeric</w:t>
      </w:r>
      <w:r>
        <w:rPr>
          <w:rFonts w:ascii="Times New Roman" w:hAnsi="Times New Roman" w:eastAsia="Times New Roman" w:cs="Times New Roman"/>
          <w:color w:val="d3d7de"/>
          <w:sz w:val="24"/>
        </w:rPr>
        <w:t xml:space="preserve">,</w:t>
      </w:r>
      <w:r/>
    </w:p>
    <w:p w14:paraId="48403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value_text</w:t>
      </w:r>
      <w:r>
        <w:rPr>
          <w:rFonts w:ascii="Times New Roman" w:hAnsi="Times New Roman" w:eastAsia="Times New Roman" w:cs="Times New Roman"/>
          <w:color w:val="d3d7de"/>
          <w:sz w:val="24"/>
        </w:rPr>
        <w:t xml:space="preserve">,</w:t>
      </w:r>
      <w:r/>
    </w:p>
    <w:p w14:paraId="0EB6FF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collected_at</w:t>
      </w:r>
      <w:r>
        <w:rPr>
          <w:rFonts w:ascii="Times New Roman" w:hAnsi="Times New Roman" w:eastAsia="Times New Roman" w:cs="Times New Roman"/>
          <w:color w:val="d3d7de"/>
          <w:sz w:val="24"/>
        </w:rPr>
        <w:t xml:space="preserve">,</w:t>
      </w:r>
      <w:r/>
    </w:p>
    <w:p w14:paraId="7EDB4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ingested_at</w:t>
      </w:r>
      <w:r>
        <w:rPr>
          <w:rFonts w:ascii="Times New Roman" w:hAnsi="Times New Roman" w:eastAsia="Times New Roman" w:cs="Times New Roman"/>
          <w:color w:val="d3d7de"/>
          <w:sz w:val="24"/>
        </w:rPr>
        <w:t xml:space="preserve">,</w:t>
      </w:r>
      <w:r/>
    </w:p>
    <w:p w14:paraId="06AC48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p>
    <w:p w14:paraId="017D3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 o</w:t>
      </w:r>
      <w:r/>
    </w:p>
    <w:p w14:paraId="75F46A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instruments i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p>
    <w:p w14:paraId="2CF7AF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metrics m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p>
    <w:p w14:paraId="60DEF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 IS </w:t>
      </w:r>
      <w:r>
        <w:rPr>
          <w:rFonts w:ascii="Times New Roman" w:hAnsi="Times New Roman" w:eastAsia="Times New Roman" w:cs="Times New Roman"/>
          <w:color w:val="5eeded"/>
          <w:sz w:val="24"/>
        </w:rPr>
        <w:t xml:space="preserve">NULL</w:t>
      </w:r>
      <w:r/>
    </w:p>
    <w:p w14:paraId="38FF0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is_validated =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0DE0F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C5AD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UNIQUE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idx_obs_current_mv</w:t>
      </w:r>
      <w:r/>
    </w:p>
    <w:p w14:paraId="4D10A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observations_current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metric_id</w:t>
      </w:r>
      <w:r>
        <w:rPr>
          <w:rFonts w:ascii="Times New Roman" w:hAnsi="Times New Roman" w:eastAsia="Times New Roman" w:cs="Times New Roman"/>
          <w:color w:val="d3d7de"/>
          <w:sz w:val="24"/>
        </w:rPr>
        <w:t xml:space="preserve">);</w:t>
      </w:r>
      <w:r/>
    </w:p>
    <w:p w14:paraId="4121A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81D6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Refresh policy: after each collection event completes</w:t>
      </w:r>
      <w:r/>
    </w:p>
    <w:p w14:paraId="3FEBF4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engineering reads from </w:t>
      </w:r>
      <w:r>
        <w:rPr>
          <w:rFonts w:ascii="Courier New" w:hAnsi="Courier New" w:eastAsia="Courier New" w:cs="Courier New"/>
          <w:color w:val="000000"/>
          <w:sz w:val="20"/>
        </w:rPr>
        <w:t xml:space="preserve">observations_current</w:t>
      </w:r>
      <w:r>
        <w:rPr>
          <w:rFonts w:ascii="Times New Roman" w:hAnsi="Times New Roman" w:eastAsia="Times New Roman" w:cs="Times New Roman"/>
          <w:color w:val="000000"/>
          <w:sz w:val="24"/>
        </w:rPr>
        <w:t xml:space="preserve"> for the latest-value case. Time-series reads go to the base </w:t>
      </w:r>
      <w:r>
        <w:rPr>
          <w:rFonts w:ascii="Courier New" w:hAnsi="Courier New" w:eastAsia="Courier New" w:cs="Courier New"/>
          <w:color w:val="000000"/>
          <w:sz w:val="20"/>
        </w:rPr>
        <w:t xml:space="preserve">observations</w:t>
      </w:r>
      <w:r>
        <w:rPr>
          <w:rFonts w:ascii="Times New Roman" w:hAnsi="Times New Roman" w:eastAsia="Times New Roman" w:cs="Times New Roman"/>
          <w:color w:val="000000"/>
          <w:sz w:val="24"/>
        </w:rPr>
        <w:t xml:space="preserve"> table with the composite index.</w:t>
      </w:r>
      <w:r/>
    </w:p>
    <w:p w14:paraId="2D2C057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Metric Catalog Seed Data</w:t>
      </w:r>
      <w:r/>
    </w:p>
    <w:p w14:paraId="12924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Seed entries for every metric concept Thread 3 requires. These are the canonical names Thread 3's feature catalog will reference.</w:t>
      </w:r>
      <w:r/>
    </w:p>
    <w:p w14:paraId="1435D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Derivatives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30"/>
        <w:gridCol w:w="1314"/>
        <w:gridCol w:w="1302"/>
        <w:gridCol w:w="729"/>
        <w:gridCol w:w="1380"/>
      </w:tblGrid>
      <w:tr>
        <w:trPr/>
        <w:tc>
          <w:tcPr>
            <w:tcBorders/>
            <w:tcMar>
              <w:left w:w="15" w:type="dxa"/>
              <w:top w:w="15" w:type="dxa"/>
              <w:right w:w="15" w:type="dxa"/>
              <w:bottom w:w="15" w:type="dxa"/>
            </w:tcMar>
            <w:tcW w:w="4630" w:type="dxa"/>
            <w:vAlign w:val="center"/>
          </w:tcPr>
          <w:p w14:paraId="22F3B4F5">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1314" w:type="dxa"/>
            <w:vAlign w:val="center"/>
          </w:tcPr>
          <w:p w14:paraId="1DAB4C82">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302" w:type="dxa"/>
            <w:vAlign w:val="center"/>
          </w:tcPr>
          <w:p w14:paraId="658D1588">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729" w:type="dxa"/>
            <w:vAlign w:val="center"/>
          </w:tcPr>
          <w:p w14:paraId="64115819">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380" w:type="dxa"/>
            <w:vAlign w:val="center"/>
          </w:tcPr>
          <w:p w14:paraId="0FB9CEEE">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4630" w:type="dxa"/>
            <w:vAlign w:val="center"/>
          </w:tcPr>
          <w:p w14:paraId="4A81D9FA">
            <w:pPr>
              <w:pBdr/>
              <w:spacing w:after="0" w:before="0" w:line="240"/>
              <w:ind/>
              <w:rPr/>
            </w:pPr>
            <w:r>
              <w:rPr>
                <w:rFonts w:ascii="Courier New" w:hAnsi="Courier New" w:eastAsia="Courier New" w:cs="Courier New"/>
                <w:color w:val="000000"/>
                <w:sz w:val="20"/>
              </w:rPr>
              <w:t xml:space="preserve">derivatives.perpetual.funding_rate</w:t>
            </w:r>
            <w:r/>
          </w:p>
        </w:tc>
        <w:tc>
          <w:tcPr>
            <w:tcBorders/>
            <w:tcMar>
              <w:left w:w="15" w:type="dxa"/>
              <w:top w:w="15" w:type="dxa"/>
              <w:right w:w="15" w:type="dxa"/>
              <w:bottom w:w="15" w:type="dxa"/>
            </w:tcMar>
            <w:tcW w:w="1314" w:type="dxa"/>
            <w:vAlign w:val="center"/>
          </w:tcPr>
          <w:p w14:paraId="4C16ABB7">
            <w:pPr>
              <w:pBdr/>
              <w:spacing w:after="0" w:before="0" w:line="240"/>
              <w:ind/>
              <w:rPr/>
            </w:pPr>
            <w:r>
              <w:rPr>
                <w:rFonts w:ascii="Times New Roman" w:hAnsi="Times New Roman" w:eastAsia="Times New Roman" w:cs="Times New Roman"/>
                <w:color w:val="000000"/>
                <w:sz w:val="24"/>
              </w:rPr>
              <w:t xml:space="preserve">rate_per_8h</w:t>
            </w:r>
            <w:r/>
          </w:p>
        </w:tc>
        <w:tc>
          <w:tcPr>
            <w:tcBorders/>
            <w:tcMar>
              <w:left w:w="15" w:type="dxa"/>
              <w:top w:w="15" w:type="dxa"/>
              <w:right w:w="15" w:type="dxa"/>
              <w:bottom w:w="15" w:type="dxa"/>
            </w:tcMar>
            <w:tcW w:w="1302" w:type="dxa"/>
            <w:vAlign w:val="center"/>
          </w:tcPr>
          <w:p w14:paraId="1760EE41">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5A49B340">
            <w:pPr>
              <w:pBdr/>
              <w:spacing w:after="0" w:before="0" w:line="240"/>
              <w:ind/>
              <w:rPr/>
            </w:pPr>
            <w:r>
              <w:rPr>
                <w:rFonts w:ascii="Times New Roman" w:hAnsi="Times New Roman" w:eastAsia="Times New Roman" w:cs="Times New Roman"/>
                <w:color w:val="000000"/>
                <w:sz w:val="24"/>
              </w:rPr>
              <w:t xml:space="preserve">8 hours</w:t>
            </w:r>
            <w:r/>
          </w:p>
        </w:tc>
        <w:tc>
          <w:tcPr>
            <w:tcBorders/>
            <w:tcMar>
              <w:left w:w="15" w:type="dxa"/>
              <w:top w:w="15" w:type="dxa"/>
              <w:right w:w="15" w:type="dxa"/>
              <w:bottom w:w="15" w:type="dxa"/>
            </w:tcMar>
            <w:tcW w:w="1380" w:type="dxa"/>
            <w:vAlign w:val="center"/>
          </w:tcPr>
          <w:p w14:paraId="67E1BB66">
            <w:pPr>
              <w:pBdr/>
              <w:spacing w:after="0" w:before="0" w:line="240"/>
              <w:ind/>
              <w:rPr/>
            </w:pPr>
            <w:r>
              <w:rPr>
                <w:rFonts w:ascii="Times New Roman" w:hAnsi="Times New Roman" w:eastAsia="Times New Roman" w:cs="Times New Roman"/>
                <w:color w:val="000000"/>
                <w:sz w:val="24"/>
              </w:rPr>
              <w:t xml:space="preserve">[-0.05, 0.05]</w:t>
            </w:r>
            <w:r/>
          </w:p>
        </w:tc>
      </w:tr>
      <w:tr>
        <w:trPr/>
        <w:tc>
          <w:tcPr>
            <w:tcBorders/>
            <w:tcMar>
              <w:left w:w="15" w:type="dxa"/>
              <w:top w:w="15" w:type="dxa"/>
              <w:right w:w="15" w:type="dxa"/>
              <w:bottom w:w="15" w:type="dxa"/>
            </w:tcMar>
            <w:tcW w:w="4630" w:type="dxa"/>
            <w:vAlign w:val="center"/>
          </w:tcPr>
          <w:p w14:paraId="07FCB9DF">
            <w:pPr>
              <w:pBdr/>
              <w:spacing w:after="0" w:before="0" w:line="240"/>
              <w:ind/>
              <w:rPr/>
            </w:pPr>
            <w:r>
              <w:rPr>
                <w:rFonts w:ascii="Courier New" w:hAnsi="Courier New" w:eastAsia="Courier New" w:cs="Courier New"/>
                <w:color w:val="000000"/>
                <w:sz w:val="20"/>
              </w:rPr>
              <w:t xml:space="preserve">derivatives.perpetual.open_interest_usd</w:t>
            </w:r>
            <w:r/>
          </w:p>
        </w:tc>
        <w:tc>
          <w:tcPr>
            <w:tcBorders/>
            <w:tcMar>
              <w:left w:w="15" w:type="dxa"/>
              <w:top w:w="15" w:type="dxa"/>
              <w:right w:w="15" w:type="dxa"/>
              <w:bottom w:w="15" w:type="dxa"/>
            </w:tcMar>
            <w:tcW w:w="1314" w:type="dxa"/>
            <w:vAlign w:val="center"/>
          </w:tcPr>
          <w:p w14:paraId="516FF6DF">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302" w:type="dxa"/>
            <w:vAlign w:val="center"/>
          </w:tcPr>
          <w:p w14:paraId="37B0D6F8">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76E4EF13">
            <w:pPr>
              <w:pBdr/>
              <w:spacing w:after="0" w:before="0" w:line="240"/>
              <w:ind/>
              <w:rPr/>
            </w:pPr>
            <w:r>
              <w:rPr>
                <w:rFonts w:ascii="Times New Roman" w:hAnsi="Times New Roman" w:eastAsia="Times New Roman" w:cs="Times New Roman"/>
                <w:color w:val="000000"/>
                <w:sz w:val="24"/>
              </w:rPr>
              <w:t xml:space="preserve">8 hours</w:t>
            </w:r>
            <w:r/>
          </w:p>
        </w:tc>
        <w:tc>
          <w:tcPr>
            <w:tcBorders/>
            <w:tcMar>
              <w:left w:w="15" w:type="dxa"/>
              <w:top w:w="15" w:type="dxa"/>
              <w:right w:w="15" w:type="dxa"/>
              <w:bottom w:w="15" w:type="dxa"/>
            </w:tcMar>
            <w:tcW w:w="1380" w:type="dxa"/>
            <w:vAlign w:val="center"/>
          </w:tcPr>
          <w:p w14:paraId="2197F5A1">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4630" w:type="dxa"/>
            <w:vAlign w:val="center"/>
          </w:tcPr>
          <w:p w14:paraId="711124D8">
            <w:pPr>
              <w:pBdr/>
              <w:spacing w:after="0" w:before="0" w:line="240"/>
              <w:ind/>
              <w:rPr/>
            </w:pPr>
            <w:r>
              <w:rPr>
                <w:rFonts w:ascii="Courier New" w:hAnsi="Courier New" w:eastAsia="Courier New" w:cs="Courier New"/>
                <w:color w:val="000000"/>
                <w:sz w:val="20"/>
              </w:rPr>
              <w:t xml:space="preserve">derivatives.perpetual.liquidations_long_usd</w:t>
            </w:r>
            <w:r/>
          </w:p>
        </w:tc>
        <w:tc>
          <w:tcPr>
            <w:tcBorders/>
            <w:tcMar>
              <w:left w:w="15" w:type="dxa"/>
              <w:top w:w="15" w:type="dxa"/>
              <w:right w:w="15" w:type="dxa"/>
              <w:bottom w:w="15" w:type="dxa"/>
            </w:tcMar>
            <w:tcW w:w="1314" w:type="dxa"/>
            <w:vAlign w:val="center"/>
          </w:tcPr>
          <w:p w14:paraId="4F77A70B">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302" w:type="dxa"/>
            <w:vAlign w:val="center"/>
          </w:tcPr>
          <w:p w14:paraId="6FD46FD4">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227D0E6C">
            <w:pPr>
              <w:pBdr/>
              <w:spacing w:after="0" w:before="0" w:line="240"/>
              <w:ind/>
              <w:rPr/>
            </w:pPr>
            <w:r>
              <w:rPr>
                <w:rFonts w:ascii="Times New Roman" w:hAnsi="Times New Roman" w:eastAsia="Times New Roman" w:cs="Times New Roman"/>
                <w:color w:val="000000"/>
                <w:sz w:val="24"/>
              </w:rPr>
              <w:t xml:space="preserve">8 hours</w:t>
            </w:r>
            <w:r/>
          </w:p>
        </w:tc>
        <w:tc>
          <w:tcPr>
            <w:tcBorders/>
            <w:tcMar>
              <w:left w:w="15" w:type="dxa"/>
              <w:top w:w="15" w:type="dxa"/>
              <w:right w:w="15" w:type="dxa"/>
              <w:bottom w:w="15" w:type="dxa"/>
            </w:tcMar>
            <w:tcW w:w="1380" w:type="dxa"/>
            <w:vAlign w:val="center"/>
          </w:tcPr>
          <w:p w14:paraId="7295D75B">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4630" w:type="dxa"/>
            <w:vAlign w:val="center"/>
          </w:tcPr>
          <w:p w14:paraId="4CD41E53">
            <w:pPr>
              <w:pBdr/>
              <w:spacing w:after="0" w:before="0" w:line="240"/>
              <w:ind/>
              <w:rPr/>
            </w:pPr>
            <w:r>
              <w:rPr>
                <w:rFonts w:ascii="Courier New" w:hAnsi="Courier New" w:eastAsia="Courier New" w:cs="Courier New"/>
                <w:color w:val="000000"/>
                <w:sz w:val="20"/>
              </w:rPr>
              <w:t xml:space="preserve">derivatives.perpetual.liquidations_short_usd</w:t>
            </w:r>
            <w:r/>
          </w:p>
        </w:tc>
        <w:tc>
          <w:tcPr>
            <w:tcBorders/>
            <w:tcMar>
              <w:left w:w="15" w:type="dxa"/>
              <w:top w:w="15" w:type="dxa"/>
              <w:right w:w="15" w:type="dxa"/>
              <w:bottom w:w="15" w:type="dxa"/>
            </w:tcMar>
            <w:tcW w:w="1314" w:type="dxa"/>
            <w:vAlign w:val="center"/>
          </w:tcPr>
          <w:p w14:paraId="70594A11">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302" w:type="dxa"/>
            <w:vAlign w:val="center"/>
          </w:tcPr>
          <w:p w14:paraId="28514761">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5A251584">
            <w:pPr>
              <w:pBdr/>
              <w:spacing w:after="0" w:before="0" w:line="240"/>
              <w:ind/>
              <w:rPr/>
            </w:pPr>
            <w:r>
              <w:rPr>
                <w:rFonts w:ascii="Times New Roman" w:hAnsi="Times New Roman" w:eastAsia="Times New Roman" w:cs="Times New Roman"/>
                <w:color w:val="000000"/>
                <w:sz w:val="24"/>
              </w:rPr>
              <w:t xml:space="preserve">8 hours</w:t>
            </w:r>
            <w:r/>
          </w:p>
        </w:tc>
        <w:tc>
          <w:tcPr>
            <w:tcBorders/>
            <w:tcMar>
              <w:left w:w="15" w:type="dxa"/>
              <w:top w:w="15" w:type="dxa"/>
              <w:right w:w="15" w:type="dxa"/>
              <w:bottom w:w="15" w:type="dxa"/>
            </w:tcMar>
            <w:tcW w:w="1380" w:type="dxa"/>
            <w:vAlign w:val="center"/>
          </w:tcPr>
          <w:p w14:paraId="0ED86B1D">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4630" w:type="dxa"/>
            <w:vAlign w:val="center"/>
          </w:tcPr>
          <w:p w14:paraId="0481CCED">
            <w:pPr>
              <w:pBdr/>
              <w:spacing w:after="0" w:before="0" w:line="240"/>
              <w:ind/>
              <w:rPr/>
            </w:pPr>
            <w:r>
              <w:rPr>
                <w:rFonts w:ascii="Courier New" w:hAnsi="Courier New" w:eastAsia="Courier New" w:cs="Courier New"/>
                <w:color w:val="000000"/>
                <w:sz w:val="20"/>
              </w:rPr>
              <w:t xml:space="preserve">derivatives.perpetual.price_usd</w:t>
            </w:r>
            <w:r/>
          </w:p>
        </w:tc>
        <w:tc>
          <w:tcPr>
            <w:tcBorders/>
            <w:tcMar>
              <w:left w:w="15" w:type="dxa"/>
              <w:top w:w="15" w:type="dxa"/>
              <w:right w:w="15" w:type="dxa"/>
              <w:bottom w:w="15" w:type="dxa"/>
            </w:tcMar>
            <w:tcW w:w="1314" w:type="dxa"/>
            <w:vAlign w:val="center"/>
          </w:tcPr>
          <w:p w14:paraId="6E552F12">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302" w:type="dxa"/>
            <w:vAlign w:val="center"/>
          </w:tcPr>
          <w:p w14:paraId="4D6CA951">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58CD11AB">
            <w:pPr>
              <w:pBdr/>
              <w:spacing w:after="0" w:before="0" w:line="240"/>
              <w:ind/>
              <w:rPr/>
            </w:pPr>
            <w:r>
              <w:rPr>
                <w:rFonts w:ascii="Times New Roman" w:hAnsi="Times New Roman" w:eastAsia="Times New Roman" w:cs="Times New Roman"/>
                <w:color w:val="000000"/>
                <w:sz w:val="24"/>
              </w:rPr>
              <w:t xml:space="preserve">8 hours</w:t>
            </w:r>
            <w:r/>
          </w:p>
        </w:tc>
        <w:tc>
          <w:tcPr>
            <w:tcBorders/>
            <w:tcMar>
              <w:left w:w="15" w:type="dxa"/>
              <w:top w:w="15" w:type="dxa"/>
              <w:right w:w="15" w:type="dxa"/>
              <w:bottom w:w="15" w:type="dxa"/>
            </w:tcMar>
            <w:tcW w:w="1380" w:type="dxa"/>
            <w:vAlign w:val="center"/>
          </w:tcPr>
          <w:p w14:paraId="56BC6E38">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4630" w:type="dxa"/>
            <w:vAlign w:val="center"/>
          </w:tcPr>
          <w:p w14:paraId="0AD7648E">
            <w:pPr>
              <w:pBdr/>
              <w:spacing w:after="0" w:before="0" w:line="240"/>
              <w:ind/>
              <w:rPr/>
            </w:pPr>
            <w:r>
              <w:rPr>
                <w:rFonts w:ascii="Courier New" w:hAnsi="Courier New" w:eastAsia="Courier New" w:cs="Courier New"/>
                <w:color w:val="000000"/>
                <w:sz w:val="20"/>
              </w:rPr>
              <w:t xml:space="preserve">derivatives.options.delta_skew_25</w:t>
            </w:r>
            <w:r/>
          </w:p>
        </w:tc>
        <w:tc>
          <w:tcPr>
            <w:tcBorders/>
            <w:tcMar>
              <w:left w:w="15" w:type="dxa"/>
              <w:top w:w="15" w:type="dxa"/>
              <w:right w:w="15" w:type="dxa"/>
              <w:bottom w:w="15" w:type="dxa"/>
            </w:tcMar>
            <w:tcW w:w="1314" w:type="dxa"/>
            <w:vAlign w:val="center"/>
          </w:tcPr>
          <w:p w14:paraId="3403AE10">
            <w:pPr>
              <w:pBdr/>
              <w:spacing w:after="0" w:before="0" w:line="240"/>
              <w:ind/>
              <w:rPr/>
            </w:pPr>
            <w:r>
              <w:rPr>
                <w:rFonts w:ascii="Times New Roman" w:hAnsi="Times New Roman" w:eastAsia="Times New Roman" w:cs="Times New Roman"/>
                <w:color w:val="000000"/>
                <w:sz w:val="24"/>
              </w:rPr>
              <w:t xml:space="preserve">ratio</w:t>
            </w:r>
            <w:r/>
          </w:p>
        </w:tc>
        <w:tc>
          <w:tcPr>
            <w:tcBorders/>
            <w:tcMar>
              <w:left w:w="15" w:type="dxa"/>
              <w:top w:w="15" w:type="dxa"/>
              <w:right w:w="15" w:type="dxa"/>
              <w:bottom w:w="15" w:type="dxa"/>
            </w:tcMar>
            <w:tcW w:w="1302" w:type="dxa"/>
            <w:vAlign w:val="center"/>
          </w:tcPr>
          <w:p w14:paraId="68361893">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59FFFE95">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380" w:type="dxa"/>
            <w:vAlign w:val="center"/>
          </w:tcPr>
          <w:p w14:paraId="1BFBAE67">
            <w:pPr>
              <w:pBdr/>
              <w:spacing w:after="0" w:before="0" w:line="240"/>
              <w:ind/>
              <w:rPr/>
            </w:pPr>
            <w:r>
              <w:rPr>
                <w:rFonts w:ascii="Times New Roman" w:hAnsi="Times New Roman" w:eastAsia="Times New Roman" w:cs="Times New Roman"/>
                <w:color w:val="000000"/>
                <w:sz w:val="24"/>
              </w:rPr>
              <w:t xml:space="preserve">[-1, 1]</w:t>
            </w:r>
            <w:r/>
          </w:p>
        </w:tc>
      </w:tr>
      <w:tr>
        <w:trPr/>
        <w:tc>
          <w:tcPr>
            <w:tcBorders/>
            <w:tcMar>
              <w:left w:w="15" w:type="dxa"/>
              <w:top w:w="15" w:type="dxa"/>
              <w:right w:w="15" w:type="dxa"/>
              <w:bottom w:w="15" w:type="dxa"/>
            </w:tcMar>
            <w:tcW w:w="4630" w:type="dxa"/>
            <w:vAlign w:val="center"/>
          </w:tcPr>
          <w:p w14:paraId="7E5A8A2F">
            <w:pPr>
              <w:pBdr/>
              <w:spacing w:after="0" w:before="0" w:line="240"/>
              <w:ind/>
              <w:rPr/>
            </w:pPr>
            <w:r>
              <w:rPr>
                <w:rFonts w:ascii="Courier New" w:hAnsi="Courier New" w:eastAsia="Courier New" w:cs="Courier New"/>
                <w:color w:val="000000"/>
                <w:sz w:val="20"/>
              </w:rPr>
              <w:t xml:space="preserve">derivatives.options.iv_1w</w:t>
            </w:r>
            <w:r/>
          </w:p>
        </w:tc>
        <w:tc>
          <w:tcPr>
            <w:tcBorders/>
            <w:tcMar>
              <w:left w:w="15" w:type="dxa"/>
              <w:top w:w="15" w:type="dxa"/>
              <w:right w:w="15" w:type="dxa"/>
              <w:bottom w:w="15" w:type="dxa"/>
            </w:tcMar>
            <w:tcW w:w="1314" w:type="dxa"/>
            <w:vAlign w:val="center"/>
          </w:tcPr>
          <w:p w14:paraId="471EBFA0">
            <w:pPr>
              <w:pBdr/>
              <w:spacing w:after="0" w:before="0" w:line="240"/>
              <w:ind/>
              <w:rPr/>
            </w:pPr>
            <w:r>
              <w:rPr>
                <w:rFonts w:ascii="Times New Roman" w:hAnsi="Times New Roman" w:eastAsia="Times New Roman" w:cs="Times New Roman"/>
                <w:color w:val="000000"/>
                <w:sz w:val="24"/>
              </w:rPr>
              <w:t xml:space="preserve">annualized_vol</w:t>
            </w:r>
            <w:r/>
          </w:p>
        </w:tc>
        <w:tc>
          <w:tcPr>
            <w:tcBorders/>
            <w:tcMar>
              <w:left w:w="15" w:type="dxa"/>
              <w:top w:w="15" w:type="dxa"/>
              <w:right w:w="15" w:type="dxa"/>
              <w:bottom w:w="15" w:type="dxa"/>
            </w:tcMar>
            <w:tcW w:w="1302" w:type="dxa"/>
            <w:vAlign w:val="center"/>
          </w:tcPr>
          <w:p w14:paraId="3105F5B4">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4E51B82F">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380" w:type="dxa"/>
            <w:vAlign w:val="center"/>
          </w:tcPr>
          <w:p w14:paraId="7FB82AD2">
            <w:pPr>
              <w:pBdr/>
              <w:spacing w:after="0" w:before="0" w:line="240"/>
              <w:ind/>
              <w:rPr/>
            </w:pPr>
            <w:r>
              <w:rPr>
                <w:rFonts w:ascii="Times New Roman" w:hAnsi="Times New Roman" w:eastAsia="Times New Roman" w:cs="Times New Roman"/>
                <w:color w:val="000000"/>
                <w:sz w:val="24"/>
              </w:rPr>
              <w:t xml:space="preserve">[0, 5]</w:t>
            </w:r>
            <w:r/>
          </w:p>
        </w:tc>
      </w:tr>
      <w:tr>
        <w:trPr/>
        <w:tc>
          <w:tcPr>
            <w:tcBorders/>
            <w:tcMar>
              <w:left w:w="15" w:type="dxa"/>
              <w:top w:w="15" w:type="dxa"/>
              <w:right w:w="15" w:type="dxa"/>
              <w:bottom w:w="15" w:type="dxa"/>
            </w:tcMar>
            <w:tcW w:w="4630" w:type="dxa"/>
            <w:vAlign w:val="center"/>
          </w:tcPr>
          <w:p w14:paraId="7BF7C65F">
            <w:pPr>
              <w:pBdr/>
              <w:spacing w:after="0" w:before="0" w:line="240"/>
              <w:ind/>
              <w:rPr/>
            </w:pPr>
            <w:r>
              <w:rPr>
                <w:rFonts w:ascii="Courier New" w:hAnsi="Courier New" w:eastAsia="Courier New" w:cs="Courier New"/>
                <w:color w:val="000000"/>
                <w:sz w:val="20"/>
              </w:rPr>
              <w:t xml:space="preserve">derivatives.options.iv_1m</w:t>
            </w:r>
            <w:r/>
          </w:p>
        </w:tc>
        <w:tc>
          <w:tcPr>
            <w:tcBorders/>
            <w:tcMar>
              <w:left w:w="15" w:type="dxa"/>
              <w:top w:w="15" w:type="dxa"/>
              <w:right w:w="15" w:type="dxa"/>
              <w:bottom w:w="15" w:type="dxa"/>
            </w:tcMar>
            <w:tcW w:w="1314" w:type="dxa"/>
            <w:vAlign w:val="center"/>
          </w:tcPr>
          <w:p w14:paraId="37254502">
            <w:pPr>
              <w:pBdr/>
              <w:spacing w:after="0" w:before="0" w:line="240"/>
              <w:ind/>
              <w:rPr/>
            </w:pPr>
            <w:r>
              <w:rPr>
                <w:rFonts w:ascii="Times New Roman" w:hAnsi="Times New Roman" w:eastAsia="Times New Roman" w:cs="Times New Roman"/>
                <w:color w:val="000000"/>
                <w:sz w:val="24"/>
              </w:rPr>
              <w:t xml:space="preserve">annualized_vol</w:t>
            </w:r>
            <w:r/>
          </w:p>
        </w:tc>
        <w:tc>
          <w:tcPr>
            <w:tcBorders/>
            <w:tcMar>
              <w:left w:w="15" w:type="dxa"/>
              <w:top w:w="15" w:type="dxa"/>
              <w:right w:w="15" w:type="dxa"/>
              <w:bottom w:w="15" w:type="dxa"/>
            </w:tcMar>
            <w:tcW w:w="1302" w:type="dxa"/>
            <w:vAlign w:val="center"/>
          </w:tcPr>
          <w:p w14:paraId="5876CA7D">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729" w:type="dxa"/>
            <w:vAlign w:val="center"/>
          </w:tcPr>
          <w:p w14:paraId="0C165413">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380" w:type="dxa"/>
            <w:vAlign w:val="center"/>
          </w:tcPr>
          <w:p w14:paraId="386C9F15">
            <w:pPr>
              <w:pBdr/>
              <w:spacing w:after="0" w:before="0" w:line="240"/>
              <w:ind/>
              <w:rPr/>
            </w:pPr>
            <w:r>
              <w:rPr>
                <w:rFonts w:ascii="Times New Roman" w:hAnsi="Times New Roman" w:eastAsia="Times New Roman" w:cs="Times New Roman"/>
                <w:color w:val="000000"/>
                <w:sz w:val="24"/>
              </w:rPr>
              <w:t xml:space="preserve">[0, 5]</w:t>
            </w:r>
            <w:r/>
          </w:p>
        </w:tc>
      </w:tr>
    </w:tbl>
    <w:p w14:paraId="5ADF6A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Spot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48"/>
        <w:gridCol w:w="414"/>
        <w:gridCol w:w="1453"/>
        <w:gridCol w:w="813"/>
        <w:gridCol w:w="1539"/>
      </w:tblGrid>
      <w:tr>
        <w:trPr/>
        <w:tc>
          <w:tcPr>
            <w:tcBorders/>
            <w:tcMar>
              <w:left w:w="15" w:type="dxa"/>
              <w:top w:w="15" w:type="dxa"/>
              <w:right w:w="15" w:type="dxa"/>
              <w:bottom w:w="15" w:type="dxa"/>
            </w:tcMar>
            <w:tcW w:w="2348" w:type="dxa"/>
            <w:vAlign w:val="center"/>
          </w:tcPr>
          <w:p w14:paraId="5DDAE250">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414" w:type="dxa"/>
            <w:vAlign w:val="center"/>
          </w:tcPr>
          <w:p w14:paraId="4BA3812F">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453" w:type="dxa"/>
            <w:vAlign w:val="center"/>
          </w:tcPr>
          <w:p w14:paraId="1FB8E98A">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813" w:type="dxa"/>
            <w:vAlign w:val="center"/>
          </w:tcPr>
          <w:p w14:paraId="0E672CD5">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539" w:type="dxa"/>
            <w:vAlign w:val="center"/>
          </w:tcPr>
          <w:p w14:paraId="2F3F67E8">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2348" w:type="dxa"/>
            <w:vAlign w:val="center"/>
          </w:tcPr>
          <w:p w14:paraId="2EE19480">
            <w:pPr>
              <w:pBdr/>
              <w:spacing w:after="0" w:before="0" w:line="240"/>
              <w:ind/>
              <w:rPr/>
            </w:pPr>
            <w:r>
              <w:rPr>
                <w:rFonts w:ascii="Courier New" w:hAnsi="Courier New" w:eastAsia="Courier New" w:cs="Courier New"/>
                <w:color w:val="000000"/>
                <w:sz w:val="20"/>
              </w:rPr>
              <w:t xml:space="preserve">spot.price.close_usd</w:t>
            </w:r>
            <w:r/>
          </w:p>
        </w:tc>
        <w:tc>
          <w:tcPr>
            <w:tcBorders/>
            <w:tcMar>
              <w:left w:w="15" w:type="dxa"/>
              <w:top w:w="15" w:type="dxa"/>
              <w:right w:w="15" w:type="dxa"/>
              <w:bottom w:w="15" w:type="dxa"/>
            </w:tcMar>
            <w:tcW w:w="414" w:type="dxa"/>
            <w:vAlign w:val="center"/>
          </w:tcPr>
          <w:p w14:paraId="0EE1BF32">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1C52DCF4">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2E7FABB0">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4CBCE410">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2348" w:type="dxa"/>
            <w:vAlign w:val="center"/>
          </w:tcPr>
          <w:p w14:paraId="5A4C6894">
            <w:pPr>
              <w:pBdr/>
              <w:spacing w:after="0" w:before="0" w:line="240"/>
              <w:ind/>
              <w:rPr/>
            </w:pPr>
            <w:r>
              <w:rPr>
                <w:rFonts w:ascii="Courier New" w:hAnsi="Courier New" w:eastAsia="Courier New" w:cs="Courier New"/>
                <w:color w:val="000000"/>
                <w:sz w:val="20"/>
              </w:rPr>
              <w:t xml:space="preserve">spot.volume.usd_24h</w:t>
            </w:r>
            <w:r/>
          </w:p>
        </w:tc>
        <w:tc>
          <w:tcPr>
            <w:tcBorders/>
            <w:tcMar>
              <w:left w:w="15" w:type="dxa"/>
              <w:top w:w="15" w:type="dxa"/>
              <w:right w:w="15" w:type="dxa"/>
              <w:bottom w:w="15" w:type="dxa"/>
            </w:tcMar>
            <w:tcW w:w="414" w:type="dxa"/>
            <w:vAlign w:val="center"/>
          </w:tcPr>
          <w:p w14:paraId="57922D35">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798C28B3">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638A1199">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0FF82224">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2348" w:type="dxa"/>
            <w:vAlign w:val="center"/>
          </w:tcPr>
          <w:p w14:paraId="05D44D41">
            <w:pPr>
              <w:pBdr/>
              <w:spacing w:after="0" w:before="0" w:line="240"/>
              <w:ind/>
              <w:rPr/>
            </w:pPr>
            <w:r>
              <w:rPr>
                <w:rFonts w:ascii="Courier New" w:hAnsi="Courier New" w:eastAsia="Courier New" w:cs="Courier New"/>
                <w:color w:val="000000"/>
                <w:sz w:val="20"/>
              </w:rPr>
              <w:t xml:space="preserve">spot.market_cap.usd</w:t>
            </w:r>
            <w:r/>
          </w:p>
        </w:tc>
        <w:tc>
          <w:tcPr>
            <w:tcBorders/>
            <w:tcMar>
              <w:left w:w="15" w:type="dxa"/>
              <w:top w:w="15" w:type="dxa"/>
              <w:right w:w="15" w:type="dxa"/>
              <w:bottom w:w="15" w:type="dxa"/>
            </w:tcMar>
            <w:tcW w:w="414" w:type="dxa"/>
            <w:vAlign w:val="center"/>
          </w:tcPr>
          <w:p w14:paraId="1FDC0246">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5FA75292">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2518F4BC">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1482EC9B">
            <w:pPr>
              <w:pBdr/>
              <w:spacing w:after="0" w:before="0" w:line="240"/>
              <w:ind/>
              <w:rPr/>
            </w:pPr>
            <w:r>
              <w:rPr>
                <w:rFonts w:ascii="Times New Roman" w:hAnsi="Times New Roman" w:eastAsia="Times New Roman" w:cs="Times New Roman"/>
                <w:color w:val="000000"/>
                <w:sz w:val="24"/>
              </w:rPr>
              <w:t xml:space="preserve">[0, ∞)</w:t>
            </w:r>
            <w:r/>
          </w:p>
        </w:tc>
      </w:tr>
    </w:tbl>
    <w:p w14:paraId="3E70B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Flows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74"/>
        <w:gridCol w:w="414"/>
        <w:gridCol w:w="1453"/>
        <w:gridCol w:w="813"/>
        <w:gridCol w:w="1539"/>
      </w:tblGrid>
      <w:tr>
        <w:trPr/>
        <w:tc>
          <w:tcPr>
            <w:tcBorders/>
            <w:tcMar>
              <w:left w:w="15" w:type="dxa"/>
              <w:top w:w="15" w:type="dxa"/>
              <w:right w:w="15" w:type="dxa"/>
              <w:bottom w:w="15" w:type="dxa"/>
            </w:tcMar>
            <w:tcW w:w="3874" w:type="dxa"/>
            <w:vAlign w:val="center"/>
          </w:tcPr>
          <w:p w14:paraId="671B3D26">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414" w:type="dxa"/>
            <w:vAlign w:val="center"/>
          </w:tcPr>
          <w:p w14:paraId="76319978">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453" w:type="dxa"/>
            <w:vAlign w:val="center"/>
          </w:tcPr>
          <w:p w14:paraId="3016D7E0">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813" w:type="dxa"/>
            <w:vAlign w:val="center"/>
          </w:tcPr>
          <w:p w14:paraId="517025C9">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539" w:type="dxa"/>
            <w:vAlign w:val="center"/>
          </w:tcPr>
          <w:p w14:paraId="6661128D">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3874" w:type="dxa"/>
            <w:vAlign w:val="center"/>
          </w:tcPr>
          <w:p w14:paraId="2948F9C2">
            <w:pPr>
              <w:pBdr/>
              <w:spacing w:after="0" w:before="0" w:line="240"/>
              <w:ind/>
              <w:rPr/>
            </w:pPr>
            <w:r>
              <w:rPr>
                <w:rFonts w:ascii="Courier New" w:hAnsi="Courier New" w:eastAsia="Courier New" w:cs="Courier New"/>
                <w:color w:val="000000"/>
                <w:sz w:val="20"/>
              </w:rPr>
              <w:t xml:space="preserve">flows.exchange.inflow_usd</w:t>
            </w:r>
            <w:r/>
          </w:p>
        </w:tc>
        <w:tc>
          <w:tcPr>
            <w:tcBorders/>
            <w:tcMar>
              <w:left w:w="15" w:type="dxa"/>
              <w:top w:w="15" w:type="dxa"/>
              <w:right w:w="15" w:type="dxa"/>
              <w:bottom w:w="15" w:type="dxa"/>
            </w:tcMar>
            <w:tcW w:w="414" w:type="dxa"/>
            <w:vAlign w:val="center"/>
          </w:tcPr>
          <w:p w14:paraId="56CB7043">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1E8A8AF7">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7281439E">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67BDC1E7">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874" w:type="dxa"/>
            <w:vAlign w:val="center"/>
          </w:tcPr>
          <w:p w14:paraId="3588435F">
            <w:pPr>
              <w:pBdr/>
              <w:spacing w:after="0" w:before="0" w:line="240"/>
              <w:ind/>
              <w:rPr/>
            </w:pPr>
            <w:r>
              <w:rPr>
                <w:rFonts w:ascii="Courier New" w:hAnsi="Courier New" w:eastAsia="Courier New" w:cs="Courier New"/>
                <w:color w:val="000000"/>
                <w:sz w:val="20"/>
              </w:rPr>
              <w:t xml:space="preserve">flows.exchange.outflow_usd</w:t>
            </w:r>
            <w:r/>
          </w:p>
        </w:tc>
        <w:tc>
          <w:tcPr>
            <w:tcBorders/>
            <w:tcMar>
              <w:left w:w="15" w:type="dxa"/>
              <w:top w:w="15" w:type="dxa"/>
              <w:right w:w="15" w:type="dxa"/>
              <w:bottom w:w="15" w:type="dxa"/>
            </w:tcMar>
            <w:tcW w:w="414" w:type="dxa"/>
            <w:vAlign w:val="center"/>
          </w:tcPr>
          <w:p w14:paraId="38591D0A">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2675D8FB">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19EB02F5">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72105C57">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874" w:type="dxa"/>
            <w:vAlign w:val="center"/>
          </w:tcPr>
          <w:p w14:paraId="6FFE04FB">
            <w:pPr>
              <w:pBdr/>
              <w:spacing w:after="0" w:before="0" w:line="240"/>
              <w:ind/>
              <w:rPr/>
            </w:pPr>
            <w:r>
              <w:rPr>
                <w:rFonts w:ascii="Courier New" w:hAnsi="Courier New" w:eastAsia="Courier New" w:cs="Courier New"/>
                <w:color w:val="000000"/>
                <w:sz w:val="20"/>
              </w:rPr>
              <w:t xml:space="preserve">flows.onchain.transfer_volume_usd</w:t>
            </w:r>
            <w:r/>
          </w:p>
        </w:tc>
        <w:tc>
          <w:tcPr>
            <w:tcBorders/>
            <w:tcMar>
              <w:left w:w="15" w:type="dxa"/>
              <w:top w:w="15" w:type="dxa"/>
              <w:right w:w="15" w:type="dxa"/>
              <w:bottom w:w="15" w:type="dxa"/>
            </w:tcMar>
            <w:tcW w:w="414" w:type="dxa"/>
            <w:vAlign w:val="center"/>
          </w:tcPr>
          <w:p w14:paraId="64E00133">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62FD40C5">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18EC2D2B">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3E115254">
            <w:pPr>
              <w:pBdr/>
              <w:spacing w:after="0" w:before="0" w:line="240"/>
              <w:ind/>
              <w:rPr/>
            </w:pPr>
            <w:r>
              <w:rPr>
                <w:rFonts w:ascii="Times New Roman" w:hAnsi="Times New Roman" w:eastAsia="Times New Roman" w:cs="Times New Roman"/>
                <w:color w:val="000000"/>
                <w:sz w:val="24"/>
              </w:rPr>
              <w:t xml:space="preserve">[0, ∞)</w:t>
            </w:r>
            <w:r/>
          </w:p>
        </w:tc>
      </w:tr>
    </w:tbl>
    <w:p w14:paraId="1DC082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Stablecoin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39"/>
        <w:gridCol w:w="414"/>
        <w:gridCol w:w="1453"/>
        <w:gridCol w:w="813"/>
        <w:gridCol w:w="1539"/>
      </w:tblGrid>
      <w:tr>
        <w:trPr/>
        <w:tc>
          <w:tcPr>
            <w:tcBorders/>
            <w:tcMar>
              <w:left w:w="15" w:type="dxa"/>
              <w:top w:w="15" w:type="dxa"/>
              <w:right w:w="15" w:type="dxa"/>
              <w:bottom w:w="15" w:type="dxa"/>
            </w:tcMar>
            <w:tcW w:w="3639" w:type="dxa"/>
            <w:vAlign w:val="center"/>
          </w:tcPr>
          <w:p w14:paraId="1B65E191">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414" w:type="dxa"/>
            <w:vAlign w:val="center"/>
          </w:tcPr>
          <w:p w14:paraId="6C906C86">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453" w:type="dxa"/>
            <w:vAlign w:val="center"/>
          </w:tcPr>
          <w:p w14:paraId="5BB41475">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813" w:type="dxa"/>
            <w:vAlign w:val="center"/>
          </w:tcPr>
          <w:p w14:paraId="44458377">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539" w:type="dxa"/>
            <w:vAlign w:val="center"/>
          </w:tcPr>
          <w:p w14:paraId="6A725BAA">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3639" w:type="dxa"/>
            <w:vAlign w:val="center"/>
          </w:tcPr>
          <w:p w14:paraId="35B3144E">
            <w:pPr>
              <w:pBdr/>
              <w:spacing w:after="0" w:before="0" w:line="240"/>
              <w:ind/>
              <w:rPr/>
            </w:pPr>
            <w:r>
              <w:rPr>
                <w:rFonts w:ascii="Courier New" w:hAnsi="Courier New" w:eastAsia="Courier New" w:cs="Courier New"/>
                <w:color w:val="000000"/>
                <w:sz w:val="20"/>
              </w:rPr>
              <w:t xml:space="preserve">stablecoin.supply.total_usd</w:t>
            </w:r>
            <w:r/>
          </w:p>
        </w:tc>
        <w:tc>
          <w:tcPr>
            <w:tcBorders/>
            <w:tcMar>
              <w:left w:w="15" w:type="dxa"/>
              <w:top w:w="15" w:type="dxa"/>
              <w:right w:w="15" w:type="dxa"/>
              <w:bottom w:w="15" w:type="dxa"/>
            </w:tcMar>
            <w:tcW w:w="414" w:type="dxa"/>
            <w:vAlign w:val="center"/>
          </w:tcPr>
          <w:p w14:paraId="5202E057">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42605DAF">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3C0D253D">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38762BA7">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639" w:type="dxa"/>
            <w:vAlign w:val="center"/>
          </w:tcPr>
          <w:p w14:paraId="13D5EAF7">
            <w:pPr>
              <w:pBdr/>
              <w:spacing w:after="0" w:before="0" w:line="240"/>
              <w:ind/>
              <w:rPr/>
            </w:pPr>
            <w:r>
              <w:rPr>
                <w:rFonts w:ascii="Courier New" w:hAnsi="Courier New" w:eastAsia="Courier New" w:cs="Courier New"/>
                <w:color w:val="000000"/>
                <w:sz w:val="20"/>
              </w:rPr>
              <w:t xml:space="preserve">stablecoin.supply.per_asset_usd</w:t>
            </w:r>
            <w:r/>
          </w:p>
        </w:tc>
        <w:tc>
          <w:tcPr>
            <w:tcBorders/>
            <w:tcMar>
              <w:left w:w="15" w:type="dxa"/>
              <w:top w:w="15" w:type="dxa"/>
              <w:right w:w="15" w:type="dxa"/>
              <w:bottom w:w="15" w:type="dxa"/>
            </w:tcMar>
            <w:tcW w:w="414" w:type="dxa"/>
            <w:vAlign w:val="center"/>
          </w:tcPr>
          <w:p w14:paraId="4DA8CD38">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45411D48">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37E2B215">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5644DC0E">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639" w:type="dxa"/>
            <w:vAlign w:val="center"/>
          </w:tcPr>
          <w:p w14:paraId="255A6A2A">
            <w:pPr>
              <w:pBdr/>
              <w:spacing w:after="0" w:before="0" w:line="240"/>
              <w:ind/>
              <w:rPr/>
            </w:pPr>
            <w:r>
              <w:rPr>
                <w:rFonts w:ascii="Courier New" w:hAnsi="Courier New" w:eastAsia="Courier New" w:cs="Courier New"/>
                <w:color w:val="000000"/>
                <w:sz w:val="20"/>
              </w:rPr>
              <w:t xml:space="preserve">stablecoin.peg.price_usd</w:t>
            </w:r>
            <w:r/>
          </w:p>
        </w:tc>
        <w:tc>
          <w:tcPr>
            <w:tcBorders/>
            <w:tcMar>
              <w:left w:w="15" w:type="dxa"/>
              <w:top w:w="15" w:type="dxa"/>
              <w:right w:w="15" w:type="dxa"/>
              <w:bottom w:w="15" w:type="dxa"/>
            </w:tcMar>
            <w:tcW w:w="414" w:type="dxa"/>
            <w:vAlign w:val="center"/>
          </w:tcPr>
          <w:p w14:paraId="270062E9">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453" w:type="dxa"/>
            <w:vAlign w:val="center"/>
          </w:tcPr>
          <w:p w14:paraId="763C48DF">
            <w:pPr>
              <w:pBdr/>
              <w:spacing w:after="0" w:before="0" w:line="240"/>
              <w:ind/>
              <w:rPr/>
            </w:pPr>
            <w:r>
              <w:rPr>
                <w:rFonts w:ascii="Times New Roman" w:hAnsi="Times New Roman" w:eastAsia="Times New Roman" w:cs="Times New Roman"/>
                <w:color w:val="000000"/>
                <w:sz w:val="24"/>
              </w:rPr>
              <w:t xml:space="preserve">per_instrument</w:t>
            </w:r>
            <w:r/>
          </w:p>
        </w:tc>
        <w:tc>
          <w:tcPr>
            <w:tcBorders/>
            <w:tcMar>
              <w:left w:w="15" w:type="dxa"/>
              <w:top w:w="15" w:type="dxa"/>
              <w:right w:w="15" w:type="dxa"/>
              <w:bottom w:w="15" w:type="dxa"/>
            </w:tcMar>
            <w:tcW w:w="813" w:type="dxa"/>
            <w:vAlign w:val="center"/>
          </w:tcPr>
          <w:p w14:paraId="0024FAD1">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63C72D91">
            <w:pPr>
              <w:pBdr/>
              <w:spacing w:after="0" w:before="0" w:line="240"/>
              <w:ind/>
              <w:rPr/>
            </w:pPr>
            <w:r>
              <w:rPr>
                <w:rFonts w:ascii="Times New Roman" w:hAnsi="Times New Roman" w:eastAsia="Times New Roman" w:cs="Times New Roman"/>
                <w:color w:val="000000"/>
                <w:sz w:val="24"/>
              </w:rPr>
              <w:t xml:space="preserve">[0.90, 1.10]</w:t>
            </w:r>
            <w:r/>
          </w:p>
        </w:tc>
      </w:tr>
    </w:tbl>
    <w:p w14:paraId="7C3281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ETF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83"/>
        <w:gridCol w:w="414"/>
        <w:gridCol w:w="1173"/>
        <w:gridCol w:w="813"/>
        <w:gridCol w:w="1539"/>
      </w:tblGrid>
      <w:tr>
        <w:trPr/>
        <w:tc>
          <w:tcPr>
            <w:tcBorders/>
            <w:tcMar>
              <w:left w:w="15" w:type="dxa"/>
              <w:top w:w="15" w:type="dxa"/>
              <w:right w:w="15" w:type="dxa"/>
              <w:bottom w:w="15" w:type="dxa"/>
            </w:tcMar>
            <w:tcW w:w="2583" w:type="dxa"/>
            <w:vAlign w:val="center"/>
          </w:tcPr>
          <w:p w14:paraId="22ED3FB5">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414" w:type="dxa"/>
            <w:vAlign w:val="center"/>
          </w:tcPr>
          <w:p w14:paraId="75C1ED60">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173" w:type="dxa"/>
            <w:vAlign w:val="center"/>
          </w:tcPr>
          <w:p w14:paraId="33117C51">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813" w:type="dxa"/>
            <w:vAlign w:val="center"/>
          </w:tcPr>
          <w:p w14:paraId="31BECDC9">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539" w:type="dxa"/>
            <w:vAlign w:val="center"/>
          </w:tcPr>
          <w:p w14:paraId="179BBA90">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2583" w:type="dxa"/>
            <w:vAlign w:val="center"/>
          </w:tcPr>
          <w:p w14:paraId="3F3D6CDF">
            <w:pPr>
              <w:pBdr/>
              <w:spacing w:after="0" w:before="0" w:line="240"/>
              <w:ind/>
              <w:rPr/>
            </w:pPr>
            <w:r>
              <w:rPr>
                <w:rFonts w:ascii="Courier New" w:hAnsi="Courier New" w:eastAsia="Courier New" w:cs="Courier New"/>
                <w:color w:val="000000"/>
                <w:sz w:val="20"/>
              </w:rPr>
              <w:t xml:space="preserve">etf.flows.net_flow_usd</w:t>
            </w:r>
            <w:r/>
          </w:p>
        </w:tc>
        <w:tc>
          <w:tcPr>
            <w:tcBorders/>
            <w:tcMar>
              <w:left w:w="15" w:type="dxa"/>
              <w:top w:w="15" w:type="dxa"/>
              <w:right w:w="15" w:type="dxa"/>
              <w:bottom w:w="15" w:type="dxa"/>
            </w:tcMar>
            <w:tcW w:w="414" w:type="dxa"/>
            <w:vAlign w:val="center"/>
          </w:tcPr>
          <w:p w14:paraId="7B73DDEC">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173" w:type="dxa"/>
            <w:vAlign w:val="center"/>
          </w:tcPr>
          <w:p w14:paraId="0DCE1BF8">
            <w:pPr>
              <w:pBdr/>
              <w:spacing w:after="0" w:before="0" w:line="240"/>
              <w:ind/>
              <w:rPr/>
            </w:pPr>
            <w:r>
              <w:rPr>
                <w:rFonts w:ascii="Times New Roman" w:hAnsi="Times New Roman" w:eastAsia="Times New Roman" w:cs="Times New Roman"/>
                <w:color w:val="000000"/>
                <w:sz w:val="24"/>
              </w:rPr>
              <w:t xml:space="preserve">per_product</w:t>
            </w:r>
            <w:r/>
          </w:p>
        </w:tc>
        <w:tc>
          <w:tcPr>
            <w:tcBorders/>
            <w:tcMar>
              <w:left w:w="15" w:type="dxa"/>
              <w:top w:w="15" w:type="dxa"/>
              <w:right w:w="15" w:type="dxa"/>
              <w:bottom w:w="15" w:type="dxa"/>
            </w:tcMar>
            <w:tcW w:w="813" w:type="dxa"/>
            <w:vAlign w:val="center"/>
          </w:tcPr>
          <w:p w14:paraId="67098601">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74DA901D">
            <w:pPr>
              <w:pBdr/>
              <w:spacing w:after="0" w:before="0" w:line="240"/>
              <w:ind/>
              <w:rPr/>
            </w:pPr>
            <w:r>
              <w:rPr>
                <w:rFonts w:ascii="Times New Roman" w:hAnsi="Times New Roman" w:eastAsia="Times New Roman" w:cs="Times New Roman"/>
                <w:color w:val="000000"/>
                <w:sz w:val="24"/>
              </w:rPr>
              <w:t xml:space="preserve">(-∞, ∞)</w:t>
            </w:r>
            <w:r/>
          </w:p>
        </w:tc>
      </w:tr>
      <w:tr>
        <w:trPr/>
        <w:tc>
          <w:tcPr>
            <w:tcBorders/>
            <w:tcMar>
              <w:left w:w="15" w:type="dxa"/>
              <w:top w:w="15" w:type="dxa"/>
              <w:right w:w="15" w:type="dxa"/>
              <w:bottom w:w="15" w:type="dxa"/>
            </w:tcMar>
            <w:tcW w:w="2583" w:type="dxa"/>
            <w:vAlign w:val="center"/>
          </w:tcPr>
          <w:p w14:paraId="147D2A78">
            <w:pPr>
              <w:pBdr/>
              <w:spacing w:after="0" w:before="0" w:line="240"/>
              <w:ind/>
              <w:rPr/>
            </w:pPr>
            <w:r>
              <w:rPr>
                <w:rFonts w:ascii="Courier New" w:hAnsi="Courier New" w:eastAsia="Courier New" w:cs="Courier New"/>
                <w:color w:val="000000"/>
                <w:sz w:val="20"/>
              </w:rPr>
              <w:t xml:space="preserve">etf.aum.total_usd</w:t>
            </w:r>
            <w:r/>
          </w:p>
        </w:tc>
        <w:tc>
          <w:tcPr>
            <w:tcBorders/>
            <w:tcMar>
              <w:left w:w="15" w:type="dxa"/>
              <w:top w:w="15" w:type="dxa"/>
              <w:right w:w="15" w:type="dxa"/>
              <w:bottom w:w="15" w:type="dxa"/>
            </w:tcMar>
            <w:tcW w:w="414" w:type="dxa"/>
            <w:vAlign w:val="center"/>
          </w:tcPr>
          <w:p w14:paraId="389C8795">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173" w:type="dxa"/>
            <w:vAlign w:val="center"/>
          </w:tcPr>
          <w:p w14:paraId="3AD3B4A5">
            <w:pPr>
              <w:pBdr/>
              <w:spacing w:after="0" w:before="0" w:line="240"/>
              <w:ind/>
              <w:rPr/>
            </w:pPr>
            <w:r>
              <w:rPr>
                <w:rFonts w:ascii="Times New Roman" w:hAnsi="Times New Roman" w:eastAsia="Times New Roman" w:cs="Times New Roman"/>
                <w:color w:val="000000"/>
                <w:sz w:val="24"/>
              </w:rPr>
              <w:t xml:space="preserve">per_product</w:t>
            </w:r>
            <w:r/>
          </w:p>
        </w:tc>
        <w:tc>
          <w:tcPr>
            <w:tcBorders/>
            <w:tcMar>
              <w:left w:w="15" w:type="dxa"/>
              <w:top w:w="15" w:type="dxa"/>
              <w:right w:w="15" w:type="dxa"/>
              <w:bottom w:w="15" w:type="dxa"/>
            </w:tcMar>
            <w:tcW w:w="813" w:type="dxa"/>
            <w:vAlign w:val="center"/>
          </w:tcPr>
          <w:p w14:paraId="2314DAED">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367D88D5">
            <w:pPr>
              <w:pBdr/>
              <w:spacing w:after="0" w:before="0" w:line="240"/>
              <w:ind/>
              <w:rPr/>
            </w:pPr>
            <w:r>
              <w:rPr>
                <w:rFonts w:ascii="Times New Roman" w:hAnsi="Times New Roman" w:eastAsia="Times New Roman" w:cs="Times New Roman"/>
                <w:color w:val="000000"/>
                <w:sz w:val="24"/>
              </w:rPr>
              <w:t xml:space="preserve">[0, ∞)</w:t>
            </w:r>
            <w:r/>
          </w:p>
        </w:tc>
      </w:tr>
    </w:tbl>
    <w:p w14:paraId="6F832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DeFi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05"/>
        <w:gridCol w:w="440"/>
        <w:gridCol w:w="1253"/>
        <w:gridCol w:w="813"/>
        <w:gridCol w:w="1539"/>
      </w:tblGrid>
      <w:tr>
        <w:trPr/>
        <w:tc>
          <w:tcPr>
            <w:tcBorders/>
            <w:tcMar>
              <w:left w:w="15" w:type="dxa"/>
              <w:top w:w="15" w:type="dxa"/>
              <w:right w:w="15" w:type="dxa"/>
              <w:bottom w:w="15" w:type="dxa"/>
            </w:tcMar>
            <w:tcW w:w="3405" w:type="dxa"/>
            <w:vAlign w:val="center"/>
          </w:tcPr>
          <w:p w14:paraId="306F6155">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440" w:type="dxa"/>
            <w:vAlign w:val="center"/>
          </w:tcPr>
          <w:p w14:paraId="30261760">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253" w:type="dxa"/>
            <w:vAlign w:val="center"/>
          </w:tcPr>
          <w:p w14:paraId="38359D3B">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813" w:type="dxa"/>
            <w:vAlign w:val="center"/>
          </w:tcPr>
          <w:p w14:paraId="119C98EA">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539" w:type="dxa"/>
            <w:vAlign w:val="center"/>
          </w:tcPr>
          <w:p w14:paraId="23D2B279">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3405" w:type="dxa"/>
            <w:vAlign w:val="center"/>
          </w:tcPr>
          <w:p w14:paraId="41BACD0D">
            <w:pPr>
              <w:pBdr/>
              <w:spacing w:after="0" w:before="0" w:line="240"/>
              <w:ind/>
              <w:rPr/>
            </w:pPr>
            <w:r>
              <w:rPr>
                <w:rFonts w:ascii="Courier New" w:hAnsi="Courier New" w:eastAsia="Courier New" w:cs="Courier New"/>
                <w:color w:val="000000"/>
                <w:sz w:val="20"/>
              </w:rPr>
              <w:t xml:space="preserve">defi.aggregate.tvl_usd</w:t>
            </w:r>
            <w:r/>
          </w:p>
        </w:tc>
        <w:tc>
          <w:tcPr>
            <w:tcBorders/>
            <w:tcMar>
              <w:left w:w="15" w:type="dxa"/>
              <w:top w:w="15" w:type="dxa"/>
              <w:right w:w="15" w:type="dxa"/>
              <w:bottom w:w="15" w:type="dxa"/>
            </w:tcMar>
            <w:tcW w:w="440" w:type="dxa"/>
            <w:vAlign w:val="center"/>
          </w:tcPr>
          <w:p w14:paraId="1EFB4521">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253" w:type="dxa"/>
            <w:vAlign w:val="center"/>
          </w:tcPr>
          <w:p w14:paraId="7DBD5358">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01E75A6F">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42BA7733">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405" w:type="dxa"/>
            <w:vAlign w:val="center"/>
          </w:tcPr>
          <w:p w14:paraId="5012E2D5">
            <w:pPr>
              <w:pBdr/>
              <w:spacing w:after="0" w:before="0" w:line="240"/>
              <w:ind/>
              <w:rPr/>
            </w:pPr>
            <w:r>
              <w:rPr>
                <w:rFonts w:ascii="Courier New" w:hAnsi="Courier New" w:eastAsia="Courier New" w:cs="Courier New"/>
                <w:color w:val="000000"/>
                <w:sz w:val="20"/>
              </w:rPr>
              <w:t xml:space="preserve">defi.protocol.tvl_usd</w:t>
            </w:r>
            <w:r/>
          </w:p>
        </w:tc>
        <w:tc>
          <w:tcPr>
            <w:tcBorders/>
            <w:tcMar>
              <w:left w:w="15" w:type="dxa"/>
              <w:top w:w="15" w:type="dxa"/>
              <w:right w:w="15" w:type="dxa"/>
              <w:bottom w:w="15" w:type="dxa"/>
            </w:tcMar>
            <w:tcW w:w="440" w:type="dxa"/>
            <w:vAlign w:val="center"/>
          </w:tcPr>
          <w:p w14:paraId="1E551FC6">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253" w:type="dxa"/>
            <w:vAlign w:val="center"/>
          </w:tcPr>
          <w:p w14:paraId="15567EC3">
            <w:pPr>
              <w:pBdr/>
              <w:spacing w:after="0" w:before="0" w:line="240"/>
              <w:ind/>
              <w:rPr/>
            </w:pPr>
            <w:r>
              <w:rPr>
                <w:rFonts w:ascii="Times New Roman" w:hAnsi="Times New Roman" w:eastAsia="Times New Roman" w:cs="Times New Roman"/>
                <w:color w:val="000000"/>
                <w:sz w:val="24"/>
              </w:rPr>
              <w:t xml:space="preserve">per_protocol</w:t>
            </w:r>
            <w:r/>
          </w:p>
        </w:tc>
        <w:tc>
          <w:tcPr>
            <w:tcBorders/>
            <w:tcMar>
              <w:left w:w="15" w:type="dxa"/>
              <w:top w:w="15" w:type="dxa"/>
              <w:right w:w="15" w:type="dxa"/>
              <w:bottom w:w="15" w:type="dxa"/>
            </w:tcMar>
            <w:tcW w:w="813" w:type="dxa"/>
            <w:vAlign w:val="center"/>
          </w:tcPr>
          <w:p w14:paraId="4D82AB7F">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5E112679">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405" w:type="dxa"/>
            <w:vAlign w:val="center"/>
          </w:tcPr>
          <w:p w14:paraId="143D5DA5">
            <w:pPr>
              <w:pBdr/>
              <w:spacing w:after="0" w:before="0" w:line="240"/>
              <w:ind/>
              <w:rPr/>
            </w:pPr>
            <w:r>
              <w:rPr>
                <w:rFonts w:ascii="Courier New" w:hAnsi="Courier New" w:eastAsia="Courier New" w:cs="Courier New"/>
                <w:color w:val="000000"/>
                <w:sz w:val="20"/>
              </w:rPr>
              <w:t xml:space="preserve">defi.dex.volume_usd_24h</w:t>
            </w:r>
            <w:r/>
          </w:p>
        </w:tc>
        <w:tc>
          <w:tcPr>
            <w:tcBorders/>
            <w:tcMar>
              <w:left w:w="15" w:type="dxa"/>
              <w:top w:w="15" w:type="dxa"/>
              <w:right w:w="15" w:type="dxa"/>
              <w:bottom w:w="15" w:type="dxa"/>
            </w:tcMar>
            <w:tcW w:w="440" w:type="dxa"/>
            <w:vAlign w:val="center"/>
          </w:tcPr>
          <w:p w14:paraId="66933748">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253" w:type="dxa"/>
            <w:vAlign w:val="center"/>
          </w:tcPr>
          <w:p w14:paraId="6B741E40">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78F9E68C">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3B7DCDAA">
            <w:pPr>
              <w:pBdr/>
              <w:spacing w:after="0" w:before="0" w:line="240"/>
              <w:ind/>
              <w:rPr/>
            </w:pPr>
            <w:r>
              <w:rPr>
                <w:rFonts w:ascii="Times New Roman" w:hAnsi="Times New Roman" w:eastAsia="Times New Roman" w:cs="Times New Roman"/>
                <w:color w:val="000000"/>
                <w:sz w:val="24"/>
              </w:rPr>
              <w:t xml:space="preserve">[0, ∞)</w:t>
            </w:r>
            <w:r/>
          </w:p>
        </w:tc>
      </w:tr>
      <w:tr>
        <w:trPr/>
        <w:tc>
          <w:tcPr>
            <w:tcBorders/>
            <w:tcMar>
              <w:left w:w="15" w:type="dxa"/>
              <w:top w:w="15" w:type="dxa"/>
              <w:right w:w="15" w:type="dxa"/>
              <w:bottom w:w="15" w:type="dxa"/>
            </w:tcMar>
            <w:tcW w:w="3405" w:type="dxa"/>
            <w:vAlign w:val="center"/>
          </w:tcPr>
          <w:p w14:paraId="239BDCC6">
            <w:pPr>
              <w:pBdr/>
              <w:spacing w:after="0" w:before="0" w:line="240"/>
              <w:ind/>
              <w:rPr/>
            </w:pPr>
            <w:r>
              <w:rPr>
                <w:rFonts w:ascii="Courier New" w:hAnsi="Courier New" w:eastAsia="Courier New" w:cs="Courier New"/>
                <w:color w:val="000000"/>
                <w:sz w:val="20"/>
              </w:rPr>
              <w:t xml:space="preserve">defi.lending.utilization_rate</w:t>
            </w:r>
            <w:r/>
          </w:p>
        </w:tc>
        <w:tc>
          <w:tcPr>
            <w:tcBorders/>
            <w:tcMar>
              <w:left w:w="15" w:type="dxa"/>
              <w:top w:w="15" w:type="dxa"/>
              <w:right w:w="15" w:type="dxa"/>
              <w:bottom w:w="15" w:type="dxa"/>
            </w:tcMar>
            <w:tcW w:w="440" w:type="dxa"/>
            <w:vAlign w:val="center"/>
          </w:tcPr>
          <w:p w14:paraId="04F7F2C1">
            <w:pPr>
              <w:pBdr/>
              <w:spacing w:after="0" w:before="0" w:line="240"/>
              <w:ind/>
              <w:rPr/>
            </w:pPr>
            <w:r>
              <w:rPr>
                <w:rFonts w:ascii="Times New Roman" w:hAnsi="Times New Roman" w:eastAsia="Times New Roman" w:cs="Times New Roman"/>
                <w:color w:val="000000"/>
                <w:sz w:val="24"/>
              </w:rPr>
              <w:t xml:space="preserve">ratio</w:t>
            </w:r>
            <w:r/>
          </w:p>
        </w:tc>
        <w:tc>
          <w:tcPr>
            <w:tcBorders/>
            <w:tcMar>
              <w:left w:w="15" w:type="dxa"/>
              <w:top w:w="15" w:type="dxa"/>
              <w:right w:w="15" w:type="dxa"/>
              <w:bottom w:w="15" w:type="dxa"/>
            </w:tcMar>
            <w:tcW w:w="1253" w:type="dxa"/>
            <w:vAlign w:val="center"/>
          </w:tcPr>
          <w:p w14:paraId="3755486B">
            <w:pPr>
              <w:pBdr/>
              <w:spacing w:after="0" w:before="0" w:line="240"/>
              <w:ind/>
              <w:rPr/>
            </w:pPr>
            <w:r>
              <w:rPr>
                <w:rFonts w:ascii="Times New Roman" w:hAnsi="Times New Roman" w:eastAsia="Times New Roman" w:cs="Times New Roman"/>
                <w:color w:val="000000"/>
                <w:sz w:val="24"/>
              </w:rPr>
              <w:t xml:space="preserve">per_protocol</w:t>
            </w:r>
            <w:r/>
          </w:p>
        </w:tc>
        <w:tc>
          <w:tcPr>
            <w:tcBorders/>
            <w:tcMar>
              <w:left w:w="15" w:type="dxa"/>
              <w:top w:w="15" w:type="dxa"/>
              <w:right w:w="15" w:type="dxa"/>
              <w:bottom w:w="15" w:type="dxa"/>
            </w:tcMar>
            <w:tcW w:w="813" w:type="dxa"/>
            <w:vAlign w:val="center"/>
          </w:tcPr>
          <w:p w14:paraId="69CB77C9">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48FE0566">
            <w:pPr>
              <w:pBdr/>
              <w:spacing w:after="0" w:before="0" w:line="240"/>
              <w:ind/>
              <w:rPr/>
            </w:pPr>
            <w:r>
              <w:rPr>
                <w:rFonts w:ascii="Times New Roman" w:hAnsi="Times New Roman" w:eastAsia="Times New Roman" w:cs="Times New Roman"/>
                <w:color w:val="000000"/>
                <w:sz w:val="24"/>
              </w:rPr>
              <w:t xml:space="preserve">[0, 1]</w:t>
            </w:r>
            <w:r/>
          </w:p>
        </w:tc>
      </w:tr>
    </w:tbl>
    <w:p w14:paraId="12C36E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Macro domain: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39"/>
        <w:gridCol w:w="1187"/>
        <w:gridCol w:w="1253"/>
        <w:gridCol w:w="813"/>
        <w:gridCol w:w="1539"/>
      </w:tblGrid>
      <w:tr>
        <w:trPr/>
        <w:tc>
          <w:tcPr>
            <w:tcBorders/>
            <w:tcMar>
              <w:left w:w="15" w:type="dxa"/>
              <w:top w:w="15" w:type="dxa"/>
              <w:right w:w="15" w:type="dxa"/>
              <w:bottom w:w="15" w:type="dxa"/>
            </w:tcMar>
            <w:tcW w:w="3639" w:type="dxa"/>
            <w:vAlign w:val="center"/>
          </w:tcPr>
          <w:p w14:paraId="21E64231">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1187" w:type="dxa"/>
            <w:vAlign w:val="center"/>
          </w:tcPr>
          <w:p w14:paraId="1C71168F">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253" w:type="dxa"/>
            <w:vAlign w:val="center"/>
          </w:tcPr>
          <w:p w14:paraId="66D1C8DB">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813" w:type="dxa"/>
            <w:vAlign w:val="center"/>
          </w:tcPr>
          <w:p w14:paraId="2CEE2C5A">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1539" w:type="dxa"/>
            <w:vAlign w:val="center"/>
          </w:tcPr>
          <w:p w14:paraId="262A7B0D">
            <w:pPr>
              <w:pBdr/>
              <w:spacing w:after="0" w:before="0" w:line="240"/>
              <w:ind/>
              <w:jc w:val="center"/>
              <w:rPr/>
            </w:pPr>
            <w:r>
              <w:rPr>
                <w:rFonts w:ascii="Times New Roman" w:hAnsi="Times New Roman" w:eastAsia="Times New Roman" w:cs="Times New Roman"/>
                <w:b/>
                <w:color w:val="000000"/>
                <w:sz w:val="24"/>
              </w:rPr>
              <w:t xml:space="preserve">expected range</w:t>
            </w:r>
            <w:r/>
          </w:p>
        </w:tc>
      </w:tr>
      <w:tr>
        <w:trPr/>
        <w:tc>
          <w:tcPr>
            <w:tcBorders/>
            <w:tcMar>
              <w:left w:w="15" w:type="dxa"/>
              <w:top w:w="15" w:type="dxa"/>
              <w:right w:w="15" w:type="dxa"/>
              <w:bottom w:w="15" w:type="dxa"/>
            </w:tcMar>
            <w:tcW w:w="3639" w:type="dxa"/>
            <w:vAlign w:val="center"/>
          </w:tcPr>
          <w:p w14:paraId="786E1621">
            <w:pPr>
              <w:pBdr/>
              <w:spacing w:after="0" w:before="0" w:line="240"/>
              <w:ind/>
              <w:rPr/>
            </w:pPr>
            <w:r>
              <w:rPr>
                <w:rFonts w:ascii="Courier New" w:hAnsi="Courier New" w:eastAsia="Courier New" w:cs="Courier New"/>
                <w:color w:val="000000"/>
                <w:sz w:val="20"/>
              </w:rPr>
              <w:t xml:space="preserve">macro.rates.yield_10y</w:t>
            </w:r>
            <w:r/>
          </w:p>
        </w:tc>
        <w:tc>
          <w:tcPr>
            <w:tcBorders/>
            <w:tcMar>
              <w:left w:w="15" w:type="dxa"/>
              <w:top w:w="15" w:type="dxa"/>
              <w:right w:w="15" w:type="dxa"/>
              <w:bottom w:w="15" w:type="dxa"/>
            </w:tcMar>
            <w:tcW w:w="1187" w:type="dxa"/>
            <w:vAlign w:val="center"/>
          </w:tcPr>
          <w:p w14:paraId="00931647">
            <w:pPr>
              <w:pBdr/>
              <w:spacing w:after="0" w:before="0" w:line="240"/>
              <w:ind/>
              <w:rPr/>
            </w:pPr>
            <w:r>
              <w:rPr>
                <w:rFonts w:ascii="Times New Roman" w:hAnsi="Times New Roman" w:eastAsia="Times New Roman" w:cs="Times New Roman"/>
                <w:color w:val="000000"/>
                <w:sz w:val="24"/>
              </w:rPr>
              <w:t xml:space="preserve">percentage</w:t>
            </w:r>
            <w:r/>
          </w:p>
        </w:tc>
        <w:tc>
          <w:tcPr>
            <w:tcBorders/>
            <w:tcMar>
              <w:left w:w="15" w:type="dxa"/>
              <w:top w:w="15" w:type="dxa"/>
              <w:right w:w="15" w:type="dxa"/>
              <w:bottom w:w="15" w:type="dxa"/>
            </w:tcMar>
            <w:tcW w:w="1253" w:type="dxa"/>
            <w:vAlign w:val="center"/>
          </w:tcPr>
          <w:p w14:paraId="73342DF0">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49CFFE8B">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21E61538">
            <w:pPr>
              <w:pBdr/>
              <w:spacing w:after="0" w:before="0" w:line="240"/>
              <w:ind/>
              <w:rPr/>
            </w:pPr>
            <w:r>
              <w:rPr>
                <w:rFonts w:ascii="Times New Roman" w:hAnsi="Times New Roman" w:eastAsia="Times New Roman" w:cs="Times New Roman"/>
                <w:color w:val="000000"/>
                <w:sz w:val="24"/>
              </w:rPr>
              <w:t xml:space="preserve">[-1, 25]</w:t>
            </w:r>
            <w:r/>
          </w:p>
        </w:tc>
      </w:tr>
      <w:tr>
        <w:trPr/>
        <w:tc>
          <w:tcPr>
            <w:tcBorders/>
            <w:tcMar>
              <w:left w:w="15" w:type="dxa"/>
              <w:top w:w="15" w:type="dxa"/>
              <w:right w:w="15" w:type="dxa"/>
              <w:bottom w:w="15" w:type="dxa"/>
            </w:tcMar>
            <w:tcW w:w="3639" w:type="dxa"/>
            <w:vAlign w:val="center"/>
          </w:tcPr>
          <w:p w14:paraId="42E5510C">
            <w:pPr>
              <w:pBdr/>
              <w:spacing w:after="0" w:before="0" w:line="240"/>
              <w:ind/>
              <w:rPr/>
            </w:pPr>
            <w:r>
              <w:rPr>
                <w:rFonts w:ascii="Courier New" w:hAnsi="Courier New" w:eastAsia="Courier New" w:cs="Courier New"/>
                <w:color w:val="000000"/>
                <w:sz w:val="20"/>
              </w:rPr>
              <w:t xml:space="preserve">macro.rates.yield_2y</w:t>
            </w:r>
            <w:r/>
          </w:p>
        </w:tc>
        <w:tc>
          <w:tcPr>
            <w:tcBorders/>
            <w:tcMar>
              <w:left w:w="15" w:type="dxa"/>
              <w:top w:w="15" w:type="dxa"/>
              <w:right w:w="15" w:type="dxa"/>
              <w:bottom w:w="15" w:type="dxa"/>
            </w:tcMar>
            <w:tcW w:w="1187" w:type="dxa"/>
            <w:vAlign w:val="center"/>
          </w:tcPr>
          <w:p w14:paraId="3A3E95BA">
            <w:pPr>
              <w:pBdr/>
              <w:spacing w:after="0" w:before="0" w:line="240"/>
              <w:ind/>
              <w:rPr/>
            </w:pPr>
            <w:r>
              <w:rPr>
                <w:rFonts w:ascii="Times New Roman" w:hAnsi="Times New Roman" w:eastAsia="Times New Roman" w:cs="Times New Roman"/>
                <w:color w:val="000000"/>
                <w:sz w:val="24"/>
              </w:rPr>
              <w:t xml:space="preserve">percentage</w:t>
            </w:r>
            <w:r/>
          </w:p>
        </w:tc>
        <w:tc>
          <w:tcPr>
            <w:tcBorders/>
            <w:tcMar>
              <w:left w:w="15" w:type="dxa"/>
              <w:top w:w="15" w:type="dxa"/>
              <w:right w:w="15" w:type="dxa"/>
              <w:bottom w:w="15" w:type="dxa"/>
            </w:tcMar>
            <w:tcW w:w="1253" w:type="dxa"/>
            <w:vAlign w:val="center"/>
          </w:tcPr>
          <w:p w14:paraId="6B1331FE">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605EDE5D">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169A2AB5">
            <w:pPr>
              <w:pBdr/>
              <w:spacing w:after="0" w:before="0" w:line="240"/>
              <w:ind/>
              <w:rPr/>
            </w:pPr>
            <w:r>
              <w:rPr>
                <w:rFonts w:ascii="Times New Roman" w:hAnsi="Times New Roman" w:eastAsia="Times New Roman" w:cs="Times New Roman"/>
                <w:color w:val="000000"/>
                <w:sz w:val="24"/>
              </w:rPr>
              <w:t xml:space="preserve">[-1, 25]</w:t>
            </w:r>
            <w:r/>
          </w:p>
        </w:tc>
      </w:tr>
      <w:tr>
        <w:trPr/>
        <w:tc>
          <w:tcPr>
            <w:tcBorders/>
            <w:tcMar>
              <w:left w:w="15" w:type="dxa"/>
              <w:top w:w="15" w:type="dxa"/>
              <w:right w:w="15" w:type="dxa"/>
              <w:bottom w:w="15" w:type="dxa"/>
            </w:tcMar>
            <w:tcW w:w="3639" w:type="dxa"/>
            <w:vAlign w:val="center"/>
          </w:tcPr>
          <w:p w14:paraId="53AAB67A">
            <w:pPr>
              <w:pBdr/>
              <w:spacing w:after="0" w:before="0" w:line="240"/>
              <w:ind/>
              <w:rPr/>
            </w:pPr>
            <w:r>
              <w:rPr>
                <w:rFonts w:ascii="Courier New" w:hAnsi="Courier New" w:eastAsia="Courier New" w:cs="Courier New"/>
                <w:color w:val="000000"/>
                <w:sz w:val="20"/>
              </w:rPr>
              <w:t xml:space="preserve">macro.fx.dxy</w:t>
            </w:r>
            <w:r/>
          </w:p>
        </w:tc>
        <w:tc>
          <w:tcPr>
            <w:tcBorders/>
            <w:tcMar>
              <w:left w:w="15" w:type="dxa"/>
              <w:top w:w="15" w:type="dxa"/>
              <w:right w:w="15" w:type="dxa"/>
              <w:bottom w:w="15" w:type="dxa"/>
            </w:tcMar>
            <w:tcW w:w="1187" w:type="dxa"/>
            <w:vAlign w:val="center"/>
          </w:tcPr>
          <w:p w14:paraId="19817424">
            <w:pPr>
              <w:pBdr/>
              <w:spacing w:after="0" w:before="0" w:line="240"/>
              <w:ind/>
              <w:rPr/>
            </w:pPr>
            <w:r>
              <w:rPr>
                <w:rFonts w:ascii="Times New Roman" w:hAnsi="Times New Roman" w:eastAsia="Times New Roman" w:cs="Times New Roman"/>
                <w:color w:val="000000"/>
                <w:sz w:val="24"/>
              </w:rPr>
              <w:t xml:space="preserve">index</w:t>
            </w:r>
            <w:r/>
          </w:p>
        </w:tc>
        <w:tc>
          <w:tcPr>
            <w:tcBorders/>
            <w:tcMar>
              <w:left w:w="15" w:type="dxa"/>
              <w:top w:w="15" w:type="dxa"/>
              <w:right w:w="15" w:type="dxa"/>
              <w:bottom w:w="15" w:type="dxa"/>
            </w:tcMar>
            <w:tcW w:w="1253" w:type="dxa"/>
            <w:vAlign w:val="center"/>
          </w:tcPr>
          <w:p w14:paraId="24326CC0">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395E5473">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166B66A2">
            <w:pPr>
              <w:pBdr/>
              <w:spacing w:after="0" w:before="0" w:line="240"/>
              <w:ind/>
              <w:rPr/>
            </w:pPr>
            <w:r>
              <w:rPr>
                <w:rFonts w:ascii="Times New Roman" w:hAnsi="Times New Roman" w:eastAsia="Times New Roman" w:cs="Times New Roman"/>
                <w:color w:val="000000"/>
                <w:sz w:val="24"/>
              </w:rPr>
              <w:t xml:space="preserve">[50, 150]</w:t>
            </w:r>
            <w:r/>
          </w:p>
        </w:tc>
      </w:tr>
      <w:tr>
        <w:trPr/>
        <w:tc>
          <w:tcPr>
            <w:tcBorders/>
            <w:tcMar>
              <w:left w:w="15" w:type="dxa"/>
              <w:top w:w="15" w:type="dxa"/>
              <w:right w:w="15" w:type="dxa"/>
              <w:bottom w:w="15" w:type="dxa"/>
            </w:tcMar>
            <w:tcW w:w="3639" w:type="dxa"/>
            <w:vAlign w:val="center"/>
          </w:tcPr>
          <w:p w14:paraId="78ECFFC7">
            <w:pPr>
              <w:pBdr/>
              <w:spacing w:after="0" w:before="0" w:line="240"/>
              <w:ind/>
              <w:rPr/>
            </w:pPr>
            <w:r>
              <w:rPr>
                <w:rFonts w:ascii="Courier New" w:hAnsi="Courier New" w:eastAsia="Courier New" w:cs="Courier New"/>
                <w:color w:val="000000"/>
                <w:sz w:val="20"/>
              </w:rPr>
              <w:t xml:space="preserve">macro.credit.hy_oas</w:t>
            </w:r>
            <w:r/>
          </w:p>
        </w:tc>
        <w:tc>
          <w:tcPr>
            <w:tcBorders/>
            <w:tcMar>
              <w:left w:w="15" w:type="dxa"/>
              <w:top w:w="15" w:type="dxa"/>
              <w:right w:w="15" w:type="dxa"/>
              <w:bottom w:w="15" w:type="dxa"/>
            </w:tcMar>
            <w:tcW w:w="1187" w:type="dxa"/>
            <w:vAlign w:val="center"/>
          </w:tcPr>
          <w:p w14:paraId="08FCF33D">
            <w:pPr>
              <w:pBdr/>
              <w:spacing w:after="0" w:before="0" w:line="240"/>
              <w:ind/>
              <w:rPr/>
            </w:pPr>
            <w:r>
              <w:rPr>
                <w:rFonts w:ascii="Times New Roman" w:hAnsi="Times New Roman" w:eastAsia="Times New Roman" w:cs="Times New Roman"/>
                <w:color w:val="000000"/>
                <w:sz w:val="24"/>
              </w:rPr>
              <w:t xml:space="preserve">basis_points</w:t>
            </w:r>
            <w:r/>
          </w:p>
        </w:tc>
        <w:tc>
          <w:tcPr>
            <w:tcBorders/>
            <w:tcMar>
              <w:left w:w="15" w:type="dxa"/>
              <w:top w:w="15" w:type="dxa"/>
              <w:right w:w="15" w:type="dxa"/>
              <w:bottom w:w="15" w:type="dxa"/>
            </w:tcMar>
            <w:tcW w:w="1253" w:type="dxa"/>
            <w:vAlign w:val="center"/>
          </w:tcPr>
          <w:p w14:paraId="0917554F">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0E662452">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79CF63A3">
            <w:pPr>
              <w:pBdr/>
              <w:spacing w:after="0" w:before="0" w:line="240"/>
              <w:ind/>
              <w:rPr/>
            </w:pPr>
            <w:r>
              <w:rPr>
                <w:rFonts w:ascii="Times New Roman" w:hAnsi="Times New Roman" w:eastAsia="Times New Roman" w:cs="Times New Roman"/>
                <w:color w:val="000000"/>
                <w:sz w:val="24"/>
              </w:rPr>
              <w:t xml:space="preserve">[0, 2500]</w:t>
            </w:r>
            <w:r/>
          </w:p>
        </w:tc>
      </w:tr>
      <w:tr>
        <w:trPr/>
        <w:tc>
          <w:tcPr>
            <w:tcBorders/>
            <w:tcMar>
              <w:left w:w="15" w:type="dxa"/>
              <w:top w:w="15" w:type="dxa"/>
              <w:right w:w="15" w:type="dxa"/>
              <w:bottom w:w="15" w:type="dxa"/>
            </w:tcMar>
            <w:tcW w:w="3639" w:type="dxa"/>
            <w:vAlign w:val="center"/>
          </w:tcPr>
          <w:p w14:paraId="00D5C1ED">
            <w:pPr>
              <w:pBdr/>
              <w:spacing w:after="0" w:before="0" w:line="240"/>
              <w:ind/>
              <w:rPr/>
            </w:pPr>
            <w:r>
              <w:rPr>
                <w:rFonts w:ascii="Courier New" w:hAnsi="Courier New" w:eastAsia="Courier New" w:cs="Courier New"/>
                <w:color w:val="000000"/>
                <w:sz w:val="20"/>
              </w:rPr>
              <w:t xml:space="preserve">macro.rates.fed_funds_effective</w:t>
            </w:r>
            <w:r/>
          </w:p>
        </w:tc>
        <w:tc>
          <w:tcPr>
            <w:tcBorders/>
            <w:tcMar>
              <w:left w:w="15" w:type="dxa"/>
              <w:top w:w="15" w:type="dxa"/>
              <w:right w:w="15" w:type="dxa"/>
              <w:bottom w:w="15" w:type="dxa"/>
            </w:tcMar>
            <w:tcW w:w="1187" w:type="dxa"/>
            <w:vAlign w:val="center"/>
          </w:tcPr>
          <w:p w14:paraId="7E8E74FC">
            <w:pPr>
              <w:pBdr/>
              <w:spacing w:after="0" w:before="0" w:line="240"/>
              <w:ind/>
              <w:rPr/>
            </w:pPr>
            <w:r>
              <w:rPr>
                <w:rFonts w:ascii="Times New Roman" w:hAnsi="Times New Roman" w:eastAsia="Times New Roman" w:cs="Times New Roman"/>
                <w:color w:val="000000"/>
                <w:sz w:val="24"/>
              </w:rPr>
              <w:t xml:space="preserve">percentage</w:t>
            </w:r>
            <w:r/>
          </w:p>
        </w:tc>
        <w:tc>
          <w:tcPr>
            <w:tcBorders/>
            <w:tcMar>
              <w:left w:w="15" w:type="dxa"/>
              <w:top w:w="15" w:type="dxa"/>
              <w:right w:w="15" w:type="dxa"/>
              <w:bottom w:w="15" w:type="dxa"/>
            </w:tcMar>
            <w:tcW w:w="1253" w:type="dxa"/>
            <w:vAlign w:val="center"/>
          </w:tcPr>
          <w:p w14:paraId="01199CDA">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813" w:type="dxa"/>
            <w:vAlign w:val="center"/>
          </w:tcPr>
          <w:p w14:paraId="56C75A4F">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1539" w:type="dxa"/>
            <w:vAlign w:val="center"/>
          </w:tcPr>
          <w:p w14:paraId="7CD25D97">
            <w:pPr>
              <w:pBdr/>
              <w:spacing w:after="0" w:before="0" w:line="240"/>
              <w:ind/>
              <w:rPr/>
            </w:pPr>
            <w:r>
              <w:rPr>
                <w:rFonts w:ascii="Times New Roman" w:hAnsi="Times New Roman" w:eastAsia="Times New Roman" w:cs="Times New Roman"/>
                <w:color w:val="000000"/>
                <w:sz w:val="24"/>
              </w:rPr>
              <w:t xml:space="preserve">[0, 25]</w:t>
            </w:r>
            <w:r/>
          </w:p>
        </w:tc>
      </w:tr>
    </w:tbl>
    <w:p w14:paraId="46394B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Derived market metrics: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75"/>
        <w:gridCol w:w="878"/>
        <w:gridCol w:w="1059"/>
        <w:gridCol w:w="687"/>
        <w:gridCol w:w="3556"/>
      </w:tblGrid>
      <w:tr>
        <w:trPr/>
        <w:tc>
          <w:tcPr>
            <w:tcBorders/>
            <w:tcMar>
              <w:left w:w="15" w:type="dxa"/>
              <w:top w:w="15" w:type="dxa"/>
              <w:right w:w="15" w:type="dxa"/>
              <w:bottom w:w="15" w:type="dxa"/>
            </w:tcMar>
            <w:tcW w:w="3175" w:type="dxa"/>
            <w:vAlign w:val="center"/>
          </w:tcPr>
          <w:p w14:paraId="083DA27B">
            <w:pPr>
              <w:pBdr/>
              <w:spacing w:after="0" w:before="0" w:line="240"/>
              <w:ind/>
              <w:jc w:val="center"/>
              <w:rPr/>
            </w:pPr>
            <w:r>
              <w:rPr>
                <w:rFonts w:ascii="Times New Roman" w:hAnsi="Times New Roman" w:eastAsia="Times New Roman" w:cs="Times New Roman"/>
                <w:b/>
                <w:color w:val="000000"/>
                <w:sz w:val="24"/>
              </w:rPr>
              <w:t xml:space="preserve">canonical_name</w:t>
            </w:r>
            <w:r/>
          </w:p>
        </w:tc>
        <w:tc>
          <w:tcPr>
            <w:tcBorders/>
            <w:tcMar>
              <w:left w:w="15" w:type="dxa"/>
              <w:top w:w="15" w:type="dxa"/>
              <w:right w:w="15" w:type="dxa"/>
              <w:bottom w:w="15" w:type="dxa"/>
            </w:tcMar>
            <w:tcW w:w="878" w:type="dxa"/>
            <w:vAlign w:val="center"/>
          </w:tcPr>
          <w:p w14:paraId="64AAFBCD">
            <w:pPr>
              <w:pBdr/>
              <w:spacing w:after="0" w:before="0" w:line="240"/>
              <w:ind/>
              <w:jc w:val="center"/>
              <w:rPr/>
            </w:pPr>
            <w:r>
              <w:rPr>
                <w:rFonts w:ascii="Times New Roman" w:hAnsi="Times New Roman" w:eastAsia="Times New Roman" w:cs="Times New Roman"/>
                <w:b/>
                <w:color w:val="000000"/>
                <w:sz w:val="24"/>
              </w:rPr>
              <w:t xml:space="preserve">unit</w:t>
            </w:r>
            <w:r/>
          </w:p>
        </w:tc>
        <w:tc>
          <w:tcPr>
            <w:tcBorders/>
            <w:tcMar>
              <w:left w:w="15" w:type="dxa"/>
              <w:top w:w="15" w:type="dxa"/>
              <w:right w:w="15" w:type="dxa"/>
              <w:bottom w:w="15" w:type="dxa"/>
            </w:tcMar>
            <w:tcW w:w="1059" w:type="dxa"/>
            <w:vAlign w:val="center"/>
          </w:tcPr>
          <w:p w14:paraId="6BA73E35">
            <w:pPr>
              <w:pBdr/>
              <w:spacing w:after="0" w:before="0" w:line="240"/>
              <w:ind/>
              <w:jc w:val="center"/>
              <w:rPr/>
            </w:pPr>
            <w:r>
              <w:rPr>
                <w:rFonts w:ascii="Times New Roman" w:hAnsi="Times New Roman" w:eastAsia="Times New Roman" w:cs="Times New Roman"/>
                <w:b/>
                <w:color w:val="000000"/>
                <w:sz w:val="24"/>
              </w:rPr>
              <w:t xml:space="preserve">granularity</w:t>
            </w:r>
            <w:r/>
          </w:p>
        </w:tc>
        <w:tc>
          <w:tcPr>
            <w:tcBorders/>
            <w:tcMar>
              <w:left w:w="15" w:type="dxa"/>
              <w:top w:w="15" w:type="dxa"/>
              <w:right w:w="15" w:type="dxa"/>
              <w:bottom w:w="15" w:type="dxa"/>
            </w:tcMar>
            <w:tcW w:w="687" w:type="dxa"/>
            <w:vAlign w:val="center"/>
          </w:tcPr>
          <w:p w14:paraId="1AE27E92">
            <w:pPr>
              <w:pBdr/>
              <w:spacing w:after="0" w:before="0" w:line="240"/>
              <w:ind/>
              <w:jc w:val="center"/>
              <w:rPr/>
            </w:pPr>
            <w:r>
              <w:rPr>
                <w:rFonts w:ascii="Times New Roman" w:hAnsi="Times New Roman" w:eastAsia="Times New Roman" w:cs="Times New Roman"/>
                <w:b/>
                <w:color w:val="000000"/>
                <w:sz w:val="24"/>
              </w:rPr>
              <w:t xml:space="preserve">cadence</w:t>
            </w:r>
            <w:r/>
          </w:p>
        </w:tc>
        <w:tc>
          <w:tcPr>
            <w:tcBorders/>
            <w:tcMar>
              <w:left w:w="15" w:type="dxa"/>
              <w:top w:w="15" w:type="dxa"/>
              <w:right w:w="15" w:type="dxa"/>
              <w:bottom w:w="15" w:type="dxa"/>
            </w:tcMar>
            <w:tcW w:w="3556" w:type="dxa"/>
            <w:vAlign w:val="center"/>
          </w:tcPr>
          <w:p w14:paraId="20CC97AB">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3175" w:type="dxa"/>
            <w:vAlign w:val="center"/>
          </w:tcPr>
          <w:p w14:paraId="293731BA">
            <w:pPr>
              <w:pBdr/>
              <w:spacing w:after="0" w:before="0" w:line="240"/>
              <w:ind/>
              <w:rPr/>
            </w:pPr>
            <w:r>
              <w:rPr>
                <w:rFonts w:ascii="Courier New" w:hAnsi="Courier New" w:eastAsia="Courier New" w:cs="Courier New"/>
                <w:color w:val="000000"/>
                <w:sz w:val="20"/>
              </w:rPr>
              <w:t xml:space="preserve">spot.market_cap.total_crypto_usd</w:t>
            </w:r>
            <w:r/>
          </w:p>
        </w:tc>
        <w:tc>
          <w:tcPr>
            <w:tcBorders/>
            <w:tcMar>
              <w:left w:w="15" w:type="dxa"/>
              <w:top w:w="15" w:type="dxa"/>
              <w:right w:w="15" w:type="dxa"/>
              <w:bottom w:w="15" w:type="dxa"/>
            </w:tcMar>
            <w:tcW w:w="878" w:type="dxa"/>
            <w:vAlign w:val="center"/>
          </w:tcPr>
          <w:p w14:paraId="0F8B20F6">
            <w:pPr>
              <w:pBdr/>
              <w:spacing w:after="0" w:before="0" w:line="240"/>
              <w:ind/>
              <w:rPr/>
            </w:pPr>
            <w:r>
              <w:rPr>
                <w:rFonts w:ascii="Times New Roman" w:hAnsi="Times New Roman" w:eastAsia="Times New Roman" w:cs="Times New Roman"/>
                <w:color w:val="000000"/>
                <w:sz w:val="24"/>
              </w:rPr>
              <w:t xml:space="preserve">usd</w:t>
            </w:r>
            <w:r/>
          </w:p>
        </w:tc>
        <w:tc>
          <w:tcPr>
            <w:tcBorders/>
            <w:tcMar>
              <w:left w:w="15" w:type="dxa"/>
              <w:top w:w="15" w:type="dxa"/>
              <w:right w:w="15" w:type="dxa"/>
              <w:bottom w:w="15" w:type="dxa"/>
            </w:tcMar>
            <w:tcW w:w="1059" w:type="dxa"/>
            <w:vAlign w:val="center"/>
          </w:tcPr>
          <w:p w14:paraId="1F4D81BC">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687" w:type="dxa"/>
            <w:vAlign w:val="center"/>
          </w:tcPr>
          <w:p w14:paraId="7B48D627">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3556" w:type="dxa"/>
            <w:vAlign w:val="center"/>
          </w:tcPr>
          <w:p w14:paraId="4FB537C9">
            <w:pPr>
              <w:pBdr/>
              <w:spacing w:after="0" w:before="0" w:line="240"/>
              <w:ind/>
              <w:rPr/>
            </w:pPr>
            <w:r>
              <w:rPr>
                <w:rFonts w:ascii="Times New Roman" w:hAnsi="Times New Roman" w:eastAsia="Times New Roman" w:cs="Times New Roman"/>
                <w:color w:val="000000"/>
                <w:sz w:val="24"/>
              </w:rPr>
              <w:t xml:space="preserve">Computed from per-instrument market caps</w:t>
            </w:r>
            <w:r/>
          </w:p>
        </w:tc>
      </w:tr>
      <w:tr>
        <w:trPr/>
        <w:tc>
          <w:tcPr>
            <w:tcBorders/>
            <w:tcMar>
              <w:left w:w="15" w:type="dxa"/>
              <w:top w:w="15" w:type="dxa"/>
              <w:right w:w="15" w:type="dxa"/>
              <w:bottom w:w="15" w:type="dxa"/>
            </w:tcMar>
            <w:tcW w:w="3175" w:type="dxa"/>
            <w:vAlign w:val="center"/>
          </w:tcPr>
          <w:p w14:paraId="482C5ADE">
            <w:pPr>
              <w:pBdr/>
              <w:spacing w:after="0" w:before="0" w:line="240"/>
              <w:ind/>
              <w:rPr/>
            </w:pPr>
            <w:r>
              <w:rPr>
                <w:rFonts w:ascii="Courier New" w:hAnsi="Courier New" w:eastAsia="Courier New" w:cs="Courier New"/>
                <w:color w:val="000000"/>
                <w:sz w:val="20"/>
              </w:rPr>
              <w:t xml:space="preserve">spot.dominance.btc_pct</w:t>
            </w:r>
            <w:r/>
          </w:p>
        </w:tc>
        <w:tc>
          <w:tcPr>
            <w:tcBorders/>
            <w:tcMar>
              <w:left w:w="15" w:type="dxa"/>
              <w:top w:w="15" w:type="dxa"/>
              <w:right w:w="15" w:type="dxa"/>
              <w:bottom w:w="15" w:type="dxa"/>
            </w:tcMar>
            <w:tcW w:w="878" w:type="dxa"/>
            <w:vAlign w:val="center"/>
          </w:tcPr>
          <w:p w14:paraId="698F1A08">
            <w:pPr>
              <w:pBdr/>
              <w:spacing w:after="0" w:before="0" w:line="240"/>
              <w:ind/>
              <w:rPr/>
            </w:pPr>
            <w:r>
              <w:rPr>
                <w:rFonts w:ascii="Times New Roman" w:hAnsi="Times New Roman" w:eastAsia="Times New Roman" w:cs="Times New Roman"/>
                <w:color w:val="000000"/>
                <w:sz w:val="24"/>
              </w:rPr>
              <w:t xml:space="preserve">percentage</w:t>
            </w:r>
            <w:r/>
          </w:p>
        </w:tc>
        <w:tc>
          <w:tcPr>
            <w:tcBorders/>
            <w:tcMar>
              <w:left w:w="15" w:type="dxa"/>
              <w:top w:w="15" w:type="dxa"/>
              <w:right w:w="15" w:type="dxa"/>
              <w:bottom w:w="15" w:type="dxa"/>
            </w:tcMar>
            <w:tcW w:w="1059" w:type="dxa"/>
            <w:vAlign w:val="center"/>
          </w:tcPr>
          <w:p w14:paraId="753133B9">
            <w:pPr>
              <w:pBdr/>
              <w:spacing w:after="0" w:before="0" w:line="240"/>
              <w:ind/>
              <w:rPr/>
            </w:pPr>
            <w:r>
              <w:rPr>
                <w:rFonts w:ascii="Times New Roman" w:hAnsi="Times New Roman" w:eastAsia="Times New Roman" w:cs="Times New Roman"/>
                <w:color w:val="000000"/>
                <w:sz w:val="24"/>
              </w:rPr>
              <w:t xml:space="preserve">market_level</w:t>
            </w:r>
            <w:r/>
          </w:p>
        </w:tc>
        <w:tc>
          <w:tcPr>
            <w:tcBorders/>
            <w:tcMar>
              <w:left w:w="15" w:type="dxa"/>
              <w:top w:w="15" w:type="dxa"/>
              <w:right w:w="15" w:type="dxa"/>
              <w:bottom w:w="15" w:type="dxa"/>
            </w:tcMar>
            <w:tcW w:w="687" w:type="dxa"/>
            <w:vAlign w:val="center"/>
          </w:tcPr>
          <w:p w14:paraId="01FAB5E6">
            <w:pPr>
              <w:pBdr/>
              <w:spacing w:after="0" w:before="0" w:line="240"/>
              <w:ind/>
              <w:rPr/>
            </w:pPr>
            <w:r>
              <w:rPr>
                <w:rFonts w:ascii="Times New Roman" w:hAnsi="Times New Roman" w:eastAsia="Times New Roman" w:cs="Times New Roman"/>
                <w:color w:val="000000"/>
                <w:sz w:val="24"/>
              </w:rPr>
              <w:t xml:space="preserve">1 day</w:t>
            </w:r>
            <w:r/>
          </w:p>
        </w:tc>
        <w:tc>
          <w:tcPr>
            <w:tcBorders/>
            <w:tcMar>
              <w:left w:w="15" w:type="dxa"/>
              <w:top w:w="15" w:type="dxa"/>
              <w:right w:w="15" w:type="dxa"/>
              <w:bottom w:w="15" w:type="dxa"/>
            </w:tcMar>
            <w:tcW w:w="3556" w:type="dxa"/>
            <w:vAlign w:val="center"/>
          </w:tcPr>
          <w:p w14:paraId="359C921A">
            <w:pPr>
              <w:pBdr/>
              <w:spacing w:after="0" w:before="0" w:line="240"/>
              <w:ind/>
              <w:rPr/>
            </w:pPr>
            <w:r>
              <w:rPr>
                <w:rFonts w:ascii="Times New Roman" w:hAnsi="Times New Roman" w:eastAsia="Times New Roman" w:cs="Times New Roman"/>
                <w:color w:val="000000"/>
                <w:sz w:val="24"/>
              </w:rPr>
              <w:t xml:space="preserve">BTC market cap / total</w:t>
            </w:r>
            <w:r/>
          </w:p>
        </w:tc>
      </w:tr>
    </w:tbl>
    <w:p w14:paraId="04981C1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Query Pattern Verification</w:t>
      </w:r>
      <w:r/>
    </w:p>
    <w:p w14:paraId="62C70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consumer of Layer 3 must be able to get what it needs without knowing source structure. Verification that each required query pattern is supported:</w:t>
      </w:r>
      <w:r/>
    </w:p>
    <w:p w14:paraId="717BF0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Feature Engineering — rolling window read:</w:t>
      </w:r>
      <w:r/>
    </w:p>
    <w:p w14:paraId="0D8658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655EC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valid_from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value_numeric</w:t>
      </w:r>
      <w:r/>
    </w:p>
    <w:p w14:paraId="017F3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w:t>
      </w:r>
      <w:r/>
    </w:p>
    <w:p w14:paraId="615166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metric_id =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metric_id </w:t>
      </w: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metrics</w:t>
      </w:r>
      <w:r/>
    </w:p>
    <w:p w14:paraId="44F3D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canonical_name = </w:t>
      </w:r>
      <w:r>
        <w:rPr>
          <w:rFonts w:ascii="Times New Roman" w:hAnsi="Times New Roman" w:eastAsia="Times New Roman" w:cs="Times New Roman"/>
          <w:color w:val="9be963"/>
          <w:sz w:val="24"/>
        </w:rPr>
        <w:t xml:space="preserve">'derivatives.perpetual.funding_rate'</w:t>
      </w:r>
      <w:r>
        <w:rPr>
          <w:rFonts w:ascii="Times New Roman" w:hAnsi="Times New Roman" w:eastAsia="Times New Roman" w:cs="Times New Roman"/>
          <w:color w:val="d3d7de"/>
          <w:sz w:val="24"/>
        </w:rPr>
        <w:t xml:space="preserve">)</w:t>
      </w:r>
      <w:r/>
    </w:p>
    <w:p w14:paraId="4969A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instrument_id =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instrument_id </w:t>
      </w: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instruments</w:t>
      </w:r>
      <w:r/>
    </w:p>
    <w:p w14:paraId="091F2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canonical_symbol = </w:t>
      </w:r>
      <w:r>
        <w:rPr>
          <w:rFonts w:ascii="Times New Roman" w:hAnsi="Times New Roman" w:eastAsia="Times New Roman" w:cs="Times New Roman"/>
          <w:color w:val="9be963"/>
          <w:sz w:val="24"/>
        </w:rPr>
        <w:t xml:space="preserve">'BTC'</w:t>
      </w:r>
      <w:r>
        <w:rPr>
          <w:rFonts w:ascii="Times New Roman" w:hAnsi="Times New Roman" w:eastAsia="Times New Roman" w:cs="Times New Roman"/>
          <w:color w:val="d3d7de"/>
          <w:sz w:val="24"/>
        </w:rPr>
        <w:t xml:space="preserve">)</w:t>
      </w:r>
      <w:r/>
    </w:p>
    <w:p w14:paraId="4FE0A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valid_from &gt;=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 </w:t>
      </w:r>
      <w:r>
        <w:rPr>
          <w:rFonts w:ascii="Times New Roman" w:hAnsi="Times New Roman" w:eastAsia="Times New Roman" w:cs="Times New Roman"/>
          <w:color w:val="cc7bf4"/>
          <w:sz w:val="24"/>
        </w:rPr>
        <w:t xml:space="preserve">INTERVAL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'30 days'</w:t>
      </w:r>
      <w:r/>
    </w:p>
    <w:p w14:paraId="230F3A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valid_to IS </w:t>
      </w:r>
      <w:r>
        <w:rPr>
          <w:rFonts w:ascii="Times New Roman" w:hAnsi="Times New Roman" w:eastAsia="Times New Roman" w:cs="Times New Roman"/>
          <w:color w:val="5eeded"/>
          <w:sz w:val="24"/>
        </w:rPr>
        <w:t xml:space="preserve">NULL</w:t>
      </w:r>
      <w:r/>
    </w:p>
    <w:p w14:paraId="495C3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is_validated = </w:t>
      </w:r>
      <w:r>
        <w:rPr>
          <w:rFonts w:ascii="Times New Roman" w:hAnsi="Times New Roman" w:eastAsia="Times New Roman" w:cs="Times New Roman"/>
          <w:color w:val="5eeded"/>
          <w:sz w:val="24"/>
        </w:rPr>
        <w:t xml:space="preserve">true</w:t>
      </w:r>
      <w:r/>
    </w:p>
    <w:p w14:paraId="32E1DE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ORDER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BY</w:t>
      </w:r>
      <w:r>
        <w:rPr>
          <w:rFonts w:ascii="Times New Roman" w:hAnsi="Times New Roman" w:eastAsia="Times New Roman" w:cs="Times New Roman"/>
          <w:color w:val="eaecf0"/>
          <w:sz w:val="24"/>
        </w:rPr>
        <w:t xml:space="preserve"> valid_from </w:t>
      </w:r>
      <w:r>
        <w:rPr>
          <w:rFonts w:ascii="Times New Roman" w:hAnsi="Times New Roman" w:eastAsia="Times New Roman" w:cs="Times New Roman"/>
          <w:color w:val="cc7bf4"/>
          <w:sz w:val="24"/>
        </w:rPr>
        <w:t xml:space="preserve">ASC</w:t>
      </w:r>
      <w:r>
        <w:rPr>
          <w:rFonts w:ascii="Times New Roman" w:hAnsi="Times New Roman" w:eastAsia="Times New Roman" w:cs="Times New Roman"/>
          <w:color w:val="d3d7de"/>
          <w:sz w:val="24"/>
        </w:rPr>
        <w:t xml:space="preserve">;</w:t>
      </w:r>
      <w:r/>
    </w:p>
    <w:p w14:paraId="7B7B5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Served by: composite index on </w:t>
      </w:r>
      <w:r>
        <w:rPr>
          <w:rFonts w:ascii="Courier New" w:hAnsi="Courier New" w:eastAsia="Courier New" w:cs="Courier New"/>
          <w:color w:val="000000"/>
          <w:sz w:val="20"/>
        </w:rPr>
        <w:t xml:space="preserve">(metric_id, instrument_id, valid_from DESC)</w:t>
      </w:r>
      <w:r>
        <w:rPr>
          <w:rFonts w:ascii="Times New Roman" w:hAnsi="Times New Roman" w:eastAsia="Times New Roman" w:cs="Times New Roman"/>
          <w:color w:val="000000"/>
          <w:sz w:val="24"/>
        </w:rPr>
        <w:t xml:space="preserve">. ✓</w:t>
      </w:r>
      <w:r/>
    </w:p>
    <w:p w14:paraId="65CD7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Feature Engineering — cross-sectional read (all instruments, one metric, one timestamp):</w:t>
      </w:r>
      <w:r/>
    </w:p>
    <w:p w14:paraId="579AD4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411D3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canonical_symbol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value_numeric</w:t>
      </w:r>
      <w:r/>
    </w:p>
    <w:p w14:paraId="2D76F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 o</w:t>
      </w:r>
      <w:r/>
    </w:p>
    <w:p w14:paraId="673413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instruments i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p>
    <w:p w14:paraId="0DD12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:funding_rate_metric_id</w:t>
      </w:r>
      <w:r/>
    </w:p>
    <w:p w14:paraId="288A9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 = :target_timestamp</w:t>
      </w:r>
      <w:r/>
    </w:p>
    <w:p w14:paraId="0773A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 IS </w:t>
      </w:r>
      <w:r>
        <w:rPr>
          <w:rFonts w:ascii="Times New Roman" w:hAnsi="Times New Roman" w:eastAsia="Times New Roman" w:cs="Times New Roman"/>
          <w:color w:val="5eeded"/>
          <w:sz w:val="24"/>
        </w:rPr>
        <w:t xml:space="preserve">NULL</w:t>
      </w:r>
      <w:r/>
    </w:p>
    <w:p w14:paraId="6F3242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is_validated = </w:t>
      </w:r>
      <w:r>
        <w:rPr>
          <w:rFonts w:ascii="Times New Roman" w:hAnsi="Times New Roman" w:eastAsia="Times New Roman" w:cs="Times New Roman"/>
          <w:color w:val="5eeded"/>
          <w:sz w:val="24"/>
        </w:rPr>
        <w:t xml:space="preserve">true</w:t>
      </w:r>
      <w:r/>
    </w:p>
    <w:p w14:paraId="49AAC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collection_tier = </w:t>
      </w:r>
      <w:r>
        <w:rPr>
          <w:rFonts w:ascii="Times New Roman" w:hAnsi="Times New Roman" w:eastAsia="Times New Roman" w:cs="Times New Roman"/>
          <w:color w:val="9be963"/>
          <w:sz w:val="24"/>
        </w:rPr>
        <w:t xml:space="preserve">'signal_eligible'</w:t>
      </w:r>
      <w:r>
        <w:rPr>
          <w:rFonts w:ascii="Times New Roman" w:hAnsi="Times New Roman" w:eastAsia="Times New Roman" w:cs="Times New Roman"/>
          <w:color w:val="d3d7de"/>
          <w:sz w:val="24"/>
        </w:rPr>
        <w:t xml:space="preserve">;</w:t>
      </w:r>
      <w:r/>
    </w:p>
    <w:p w14:paraId="20371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Served by: </w:t>
      </w:r>
      <w:r>
        <w:rPr>
          <w:rFonts w:ascii="Courier New" w:hAnsi="Courier New" w:eastAsia="Courier New" w:cs="Courier New"/>
          <w:color w:val="000000"/>
          <w:sz w:val="20"/>
        </w:rPr>
        <w:t xml:space="preserve">observations_current</w:t>
      </w:r>
      <w:r>
        <w:rPr>
          <w:rFonts w:ascii="Times New Roman" w:hAnsi="Times New Roman" w:eastAsia="Times New Roman" w:cs="Times New Roman"/>
          <w:color w:val="000000"/>
          <w:sz w:val="24"/>
        </w:rPr>
        <w:t xml:space="preserve"> materialized view + instruments tier index. ✓</w:t>
      </w:r>
      <w:r/>
    </w:p>
    <w:p w14:paraId="5583F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Signal Generation — latest all-metric snapshot for one instrument:</w:t>
      </w:r>
      <w:r/>
    </w:p>
    <w:p w14:paraId="16C89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5C314B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value_numeric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w:t>
      </w:r>
      <w:r/>
    </w:p>
    <w:p w14:paraId="71427D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observations_current oc</w:t>
      </w:r>
      <w:r/>
    </w:p>
    <w:p w14:paraId="760D98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metrics m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p>
    <w:p w14:paraId="1593B0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oc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:btc_instrument_id</w:t>
      </w:r>
      <w:r>
        <w:rPr>
          <w:rFonts w:ascii="Times New Roman" w:hAnsi="Times New Roman" w:eastAsia="Times New Roman" w:cs="Times New Roman"/>
          <w:color w:val="d3d7de"/>
          <w:sz w:val="24"/>
        </w:rPr>
        <w:t xml:space="preserve">;</w:t>
      </w:r>
      <w:r/>
    </w:p>
    <w:p w14:paraId="6E8C9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Served by: </w:t>
      </w:r>
      <w:r>
        <w:rPr>
          <w:rFonts w:ascii="Courier New" w:hAnsi="Courier New" w:eastAsia="Courier New" w:cs="Courier New"/>
          <w:color w:val="000000"/>
          <w:sz w:val="20"/>
        </w:rPr>
        <w:t xml:space="preserve">observations_current</w:t>
      </w:r>
      <w:r>
        <w:rPr>
          <w:rFonts w:ascii="Times New Roman" w:hAnsi="Times New Roman" w:eastAsia="Times New Roman" w:cs="Times New Roman"/>
          <w:color w:val="000000"/>
          <w:sz w:val="24"/>
        </w:rPr>
        <w:t xml:space="preserve"> materialized view. ✓</w:t>
      </w:r>
      <w:r/>
    </w:p>
    <w:p w14:paraId="3329FB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 API — arbitrary time range, multiple metrics:</w:t>
      </w:r>
      <w:r/>
    </w:p>
    <w:p w14:paraId="66280F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475424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value_numeric</w:t>
      </w:r>
      <w:r/>
    </w:p>
    <w:p w14:paraId="2EFB77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 o</w:t>
      </w:r>
      <w:r/>
    </w:p>
    <w:p w14:paraId="52668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metrics m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p>
    <w:p w14:paraId="63CF7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:instrument_id</w:t>
      </w:r>
      <w:r/>
    </w:p>
    <w:p w14:paraId="78D03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 = </w:t>
      </w:r>
      <w:r>
        <w:rPr>
          <w:rFonts w:ascii="Times New Roman" w:hAnsi="Times New Roman" w:eastAsia="Times New Roman" w:cs="Times New Roman"/>
          <w:color w:val="cc7bf4"/>
          <w:sz w:val="24"/>
        </w:rPr>
        <w:t xml:space="preserve">ANY</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:metric_names</w:t>
      </w:r>
      <w:r>
        <w:rPr>
          <w:rFonts w:ascii="Times New Roman" w:hAnsi="Times New Roman" w:eastAsia="Times New Roman" w:cs="Times New Roman"/>
          <w:color w:val="d3d7de"/>
          <w:sz w:val="24"/>
        </w:rPr>
        <w:t xml:space="preserve">)</w:t>
      </w:r>
      <w:r/>
    </w:p>
    <w:p w14:paraId="590BE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 BETWEEN :</w:t>
      </w:r>
      <w:r>
        <w:rPr>
          <w:rFonts w:ascii="Times New Roman" w:hAnsi="Times New Roman" w:eastAsia="Times New Roman" w:cs="Times New Roman"/>
          <w:color w:val="cc7bf4"/>
          <w:sz w:val="24"/>
        </w:rPr>
        <w:t xml:space="preserve">start</w:t>
      </w:r>
      <w:r>
        <w:rPr>
          <w:rFonts w:ascii="Times New Roman" w:hAnsi="Times New Roman" w:eastAsia="Times New Roman" w:cs="Times New Roman"/>
          <w:color w:val="eaecf0"/>
          <w:sz w:val="24"/>
        </w:rPr>
        <w:t xml:space="preserve"> AND :</w:t>
      </w:r>
      <w:r>
        <w:rPr>
          <w:rFonts w:ascii="Times New Roman" w:hAnsi="Times New Roman" w:eastAsia="Times New Roman" w:cs="Times New Roman"/>
          <w:color w:val="cc7bf4"/>
          <w:sz w:val="24"/>
        </w:rPr>
        <w:t xml:space="preserve">end</w:t>
      </w:r>
      <w:r/>
    </w:p>
    <w:p w14:paraId="07FE7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 IS </w:t>
      </w:r>
      <w:r>
        <w:rPr>
          <w:rFonts w:ascii="Times New Roman" w:hAnsi="Times New Roman" w:eastAsia="Times New Roman" w:cs="Times New Roman"/>
          <w:color w:val="5eeded"/>
          <w:sz w:val="24"/>
        </w:rPr>
        <w:t xml:space="preserve">NULL</w:t>
      </w:r>
      <w:r/>
    </w:p>
    <w:p w14:paraId="43B28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is_validated = </w:t>
      </w:r>
      <w:r>
        <w:rPr>
          <w:rFonts w:ascii="Times New Roman" w:hAnsi="Times New Roman" w:eastAsia="Times New Roman" w:cs="Times New Roman"/>
          <w:color w:val="5eeded"/>
          <w:sz w:val="24"/>
        </w:rPr>
        <w:t xml:space="preserve">true</w:t>
      </w:r>
      <w:r/>
    </w:p>
    <w:p w14:paraId="3BDA59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ORDER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BY</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 </w:t>
      </w:r>
      <w:r>
        <w:rPr>
          <w:rFonts w:ascii="Times New Roman" w:hAnsi="Times New Roman" w:eastAsia="Times New Roman" w:cs="Times New Roman"/>
          <w:color w:val="cc7bf4"/>
          <w:sz w:val="24"/>
        </w:rPr>
        <w:t xml:space="preserve">ASC</w:t>
      </w:r>
      <w:r>
        <w:rPr>
          <w:rFonts w:ascii="Times New Roman" w:hAnsi="Times New Roman" w:eastAsia="Times New Roman" w:cs="Times New Roman"/>
          <w:color w:val="d3d7de"/>
          <w:sz w:val="24"/>
        </w:rPr>
        <w:t xml:space="preserve">;</w:t>
      </w:r>
      <w:r/>
    </w:p>
    <w:p w14:paraId="777B2B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Served by: hypertable time partitioning + composite index. ✓</w:t>
      </w:r>
      <w:r/>
    </w:p>
    <w:p w14:paraId="1B8A5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Audit — provenance trace from output back to source:</w:t>
      </w:r>
      <w:r/>
    </w:p>
    <w:p w14:paraId="72F633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33CE6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p>
    <w:p w14:paraId="6DC43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value_numeric</w:t>
      </w:r>
      <w:r>
        <w:rPr>
          <w:rFonts w:ascii="Times New Roman" w:hAnsi="Times New Roman" w:eastAsia="Times New Roman" w:cs="Times New Roman"/>
          <w:color w:val="d3d7de"/>
          <w:sz w:val="24"/>
        </w:rPr>
        <w:t xml:space="preserve">,</w:t>
      </w:r>
      <w:r/>
    </w:p>
    <w:p w14:paraId="1E763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w:t>
      </w:r>
      <w:r>
        <w:rPr>
          <w:rFonts w:ascii="Times New Roman" w:hAnsi="Times New Roman" w:eastAsia="Times New Roman" w:cs="Times New Roman"/>
          <w:color w:val="d3d7de"/>
          <w:sz w:val="24"/>
        </w:rPr>
        <w:t xml:space="preserve">,</w:t>
      </w:r>
      <w:r/>
    </w:p>
    <w:p w14:paraId="7186BB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collected_at</w:t>
      </w:r>
      <w:r>
        <w:rPr>
          <w:rFonts w:ascii="Times New Roman" w:hAnsi="Times New Roman" w:eastAsia="Times New Roman" w:cs="Times New Roman"/>
          <w:color w:val="d3d7de"/>
          <w:sz w:val="24"/>
        </w:rPr>
        <w:t xml:space="preserve">,</w:t>
      </w:r>
      <w:r/>
    </w:p>
    <w:p w14:paraId="56A2FA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ingested_at</w:t>
      </w:r>
      <w:r>
        <w:rPr>
          <w:rFonts w:ascii="Times New Roman" w:hAnsi="Times New Roman" w:eastAsia="Times New Roman" w:cs="Times New Roman"/>
          <w:color w:val="d3d7de"/>
          <w:sz w:val="24"/>
        </w:rPr>
        <w:t xml:space="preserve">,</w:t>
      </w:r>
      <w:r/>
    </w:p>
    <w:p w14:paraId="59D2F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 </w:t>
      </w:r>
      <w:r>
        <w:rPr>
          <w:rFonts w:ascii="Times New Roman" w:hAnsi="Times New Roman" w:eastAsia="Times New Roman" w:cs="Times New Roman"/>
          <w:color w:val="cc7bf4"/>
          <w:sz w:val="24"/>
        </w:rPr>
        <w:t xml:space="preserve">AS</w:t>
      </w:r>
      <w:r>
        <w:rPr>
          <w:rFonts w:ascii="Times New Roman" w:hAnsi="Times New Roman" w:eastAsia="Times New Roman" w:cs="Times New Roman"/>
          <w:color w:val="eaecf0"/>
          <w:sz w:val="24"/>
        </w:rPr>
        <w:t xml:space="preserve"> source</w:t>
      </w:r>
      <w:r>
        <w:rPr>
          <w:rFonts w:ascii="Times New Roman" w:hAnsi="Times New Roman" w:eastAsia="Times New Roman" w:cs="Times New Roman"/>
          <w:color w:val="d3d7de"/>
          <w:sz w:val="24"/>
        </w:rPr>
        <w:t xml:space="preserve">,</w:t>
      </w:r>
      <w:r/>
    </w:p>
    <w:p w14:paraId="7C4A38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is_validated</w:t>
      </w:r>
      <w:r>
        <w:rPr>
          <w:rFonts w:ascii="Times New Roman" w:hAnsi="Times New Roman" w:eastAsia="Times New Roman" w:cs="Times New Roman"/>
          <w:color w:val="d3d7de"/>
          <w:sz w:val="24"/>
        </w:rPr>
        <w:t xml:space="preserve">,</w:t>
      </w:r>
      <w:r/>
    </w:p>
    <w:p w14:paraId="32F17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validation_flags</w:t>
      </w:r>
      <w:r>
        <w:rPr>
          <w:rFonts w:ascii="Times New Roman" w:hAnsi="Times New Roman" w:eastAsia="Times New Roman" w:cs="Times New Roman"/>
          <w:color w:val="d3d7de"/>
          <w:sz w:val="24"/>
        </w:rPr>
        <w:t xml:space="preserve">,</w:t>
      </w:r>
      <w:r/>
    </w:p>
    <w:p w14:paraId="65EAF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valid_to</w:t>
      </w:r>
      <w:r/>
    </w:p>
    <w:p w14:paraId="2F373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observations o</w:t>
      </w:r>
      <w:r/>
    </w:p>
    <w:p w14:paraId="15EAB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sources s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 = 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p>
    <w:p w14:paraId="43C80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:metric_id</w:t>
      </w:r>
      <w:r/>
    </w:p>
    <w:p w14:paraId="31F80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:instrument_id</w:t>
      </w:r>
      <w:r/>
    </w:p>
    <w:p w14:paraId="1F87F4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valid_from = :target_timestamp</w:t>
      </w:r>
      <w:r/>
    </w:p>
    <w:p w14:paraId="506A88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ORDER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BY</w:t>
      </w:r>
      <w:r>
        <w:rPr>
          <w:rFonts w:ascii="Times New Roman" w:hAnsi="Times New Roman" w:eastAsia="Times New Roman" w:cs="Times New Roman"/>
          <w:color w:val="eaecf0"/>
          <w:sz w:val="24"/>
        </w:rPr>
        <w:t xml:space="preserve"> o</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ingested_at </w:t>
      </w:r>
      <w:r>
        <w:rPr>
          <w:rFonts w:ascii="Times New Roman" w:hAnsi="Times New Roman" w:eastAsia="Times New Roman" w:cs="Times New Roman"/>
          <w:color w:val="cc7bf4"/>
          <w:sz w:val="24"/>
        </w:rPr>
        <w:t xml:space="preserve">DESC</w:t>
      </w:r>
      <w:r>
        <w:rPr>
          <w:rFonts w:ascii="Times New Roman" w:hAnsi="Times New Roman" w:eastAsia="Times New Roman" w:cs="Times New Roman"/>
          <w:color w:val="d3d7de"/>
          <w:sz w:val="24"/>
        </w:rPr>
        <w:t xml:space="preserve">;</w:t>
      </w:r>
      <w:r/>
    </w:p>
    <w:p w14:paraId="09BC9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revisions visible. Full provenance in a single query. ✓</w:t>
      </w:r>
      <w:r/>
    </w:p>
    <w:p w14:paraId="0EDDE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Health monitoring — completeness check:</w:t>
      </w:r>
      <w:r/>
    </w:p>
    <w:p w14:paraId="2941B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24EAE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p>
    <w:p w14:paraId="73C4C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canonical_symbol</w:t>
      </w:r>
      <w:r>
        <w:rPr>
          <w:rFonts w:ascii="Times New Roman" w:hAnsi="Times New Roman" w:eastAsia="Times New Roman" w:cs="Times New Roman"/>
          <w:color w:val="d3d7de"/>
          <w:sz w:val="24"/>
        </w:rPr>
        <w:t xml:space="preserve">,</w:t>
      </w:r>
      <w:r/>
    </w:p>
    <w:p w14:paraId="1D28BC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w:t>
      </w:r>
      <w:r>
        <w:rPr>
          <w:rFonts w:ascii="Times New Roman" w:hAnsi="Times New Roman" w:eastAsia="Times New Roman" w:cs="Times New Roman"/>
          <w:color w:val="d3d7de"/>
          <w:sz w:val="24"/>
        </w:rPr>
        <w:t xml:space="preserve">,</w:t>
      </w:r>
      <w:r/>
    </w:p>
    <w:p w14:paraId="21D4A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w:t>
      </w:r>
      <w:r>
        <w:rPr>
          <w:rFonts w:ascii="Times New Roman" w:hAnsi="Times New Roman" w:eastAsia="Times New Roman" w:cs="Times New Roman"/>
          <w:color w:val="d3d7de"/>
          <w:sz w:val="24"/>
        </w:rPr>
        <w:t xml:space="preserve">,</w:t>
      </w:r>
      <w:r/>
    </w:p>
    <w:p w14:paraId="46C472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latest_observation</w:t>
      </w:r>
      <w:r>
        <w:rPr>
          <w:rFonts w:ascii="Times New Roman" w:hAnsi="Times New Roman" w:eastAsia="Times New Roman" w:cs="Times New Roman"/>
          <w:color w:val="d3d7de"/>
          <w:sz w:val="24"/>
        </w:rPr>
        <w:t xml:space="preserve">,</w:t>
      </w:r>
      <w:r/>
    </w:p>
    <w:p w14:paraId="3E51EC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now</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latest_observation </w:t>
      </w:r>
      <w:r>
        <w:rPr>
          <w:rFonts w:ascii="Times New Roman" w:hAnsi="Times New Roman" w:eastAsia="Times New Roman" w:cs="Times New Roman"/>
          <w:color w:val="cc7bf4"/>
          <w:sz w:val="24"/>
        </w:rPr>
        <w:t xml:space="preserve">AS</w:t>
      </w:r>
      <w:r>
        <w:rPr>
          <w:rFonts w:ascii="Times New Roman" w:hAnsi="Times New Roman" w:eastAsia="Times New Roman" w:cs="Times New Roman"/>
          <w:color w:val="eaecf0"/>
          <w:sz w:val="24"/>
        </w:rPr>
        <w:t xml:space="preserve"> staleness</w:t>
      </w:r>
      <w:r/>
    </w:p>
    <w:p w14:paraId="0E04E8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instrument_metric_coverage imc</w:t>
      </w:r>
      <w:r/>
    </w:p>
    <w:p w14:paraId="230C57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instruments i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 =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instrument_id</w:t>
      </w:r>
      <w:r/>
    </w:p>
    <w:p w14:paraId="2F41B3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metrics m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p>
    <w:p w14:paraId="466B0E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i</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collection_tier = </w:t>
      </w:r>
      <w:r>
        <w:rPr>
          <w:rFonts w:ascii="Times New Roman" w:hAnsi="Times New Roman" w:eastAsia="Times New Roman" w:cs="Times New Roman"/>
          <w:color w:val="9be963"/>
          <w:sz w:val="24"/>
        </w:rPr>
        <w:t xml:space="preserve">'signal_eligible'</w:t>
      </w:r>
      <w:r/>
    </w:p>
    <w:p w14:paraId="6634D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 &lt; </w:t>
      </w:r>
      <w:r>
        <w:rPr>
          <w:rFonts w:ascii="Times New Roman" w:hAnsi="Times New Roman" w:eastAsia="Times New Roman" w:cs="Times New Roman"/>
          <w:color w:val="5eeded"/>
          <w:sz w:val="24"/>
        </w:rPr>
        <w:t xml:space="preserve">0.95</w:t>
      </w:r>
      <w:r/>
    </w:p>
    <w:p w14:paraId="145B0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ORDER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BY</w:t>
      </w: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 </w:t>
      </w:r>
      <w:r>
        <w:rPr>
          <w:rFonts w:ascii="Times New Roman" w:hAnsi="Times New Roman" w:eastAsia="Times New Roman" w:cs="Times New Roman"/>
          <w:color w:val="cc7bf4"/>
          <w:sz w:val="24"/>
        </w:rPr>
        <w:t xml:space="preserve">ASC</w:t>
      </w:r>
      <w:r>
        <w:rPr>
          <w:rFonts w:ascii="Times New Roman" w:hAnsi="Times New Roman" w:eastAsia="Times New Roman" w:cs="Times New Roman"/>
          <w:color w:val="d3d7de"/>
          <w:sz w:val="24"/>
        </w:rPr>
        <w:t xml:space="preserve">;</w:t>
      </w:r>
      <w:r/>
    </w:p>
    <w:p w14:paraId="473AC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Served by: </w:t>
      </w:r>
      <w:r>
        <w:rPr>
          <w:rFonts w:ascii="Courier New" w:hAnsi="Courier New" w:eastAsia="Courier New" w:cs="Courier New"/>
          <w:color w:val="000000"/>
          <w:sz w:val="20"/>
        </w:rPr>
        <w:t xml:space="preserve">instrument_metric_coverage</w:t>
      </w:r>
      <w:r>
        <w:rPr>
          <w:rFonts w:ascii="Times New Roman" w:hAnsi="Times New Roman" w:eastAsia="Times New Roman" w:cs="Times New Roman"/>
          <w:color w:val="000000"/>
          <w:sz w:val="24"/>
        </w:rPr>
        <w:t xml:space="preserve"> summary table. No full observations scan. ✓</w:t>
      </w:r>
      <w:r/>
    </w:p>
    <w:p w14:paraId="4EB7F13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Asset-Class Extensibility Proof</w:t>
      </w:r>
      <w:r/>
    </w:p>
    <w:p w14:paraId="11F09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design document requires that adding equities, commodities, or forex requires zero schema changes. Demonstrate it:</w:t>
      </w:r>
      <w:r/>
    </w:p>
    <w:p w14:paraId="49A20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Adding equities:</w:t>
      </w:r>
      <w:r>
        <w:rPr>
          <w:rFonts w:ascii="Times New Roman" w:hAnsi="Times New Roman" w:eastAsia="Times New Roman" w:cs="Times New Roman"/>
          <w:color w:val="000000"/>
          <w:sz w:val="24"/>
        </w:rPr>
        <w:t xml:space="preserve"> Register instruments with </w:t>
      </w:r>
      <w:r>
        <w:rPr>
          <w:rFonts w:ascii="Courier New" w:hAnsi="Courier New" w:eastAsia="Courier New" w:cs="Courier New"/>
          <w:color w:val="000000"/>
          <w:sz w:val="20"/>
        </w:rPr>
        <w:t xml:space="preserve">asset_class = 'equity'</w:t>
      </w:r>
      <w:r>
        <w:rPr>
          <w:rFonts w:ascii="Times New Roman" w:hAnsi="Times New Roman" w:eastAsia="Times New Roman" w:cs="Times New Roman"/>
          <w:color w:val="000000"/>
          <w:sz w:val="24"/>
        </w:rPr>
        <w:t xml:space="preserve">. Register any equity-specific metrics in the </w:t>
      </w:r>
      <w:r>
        <w:rPr>
          <w:rFonts w:ascii="Courier New" w:hAnsi="Courier New" w:eastAsia="Courier New" w:cs="Courier New"/>
          <w:color w:val="000000"/>
          <w:sz w:val="20"/>
        </w:rPr>
        <w:t xml:space="preserve">metrics</w:t>
      </w:r>
      <w:r>
        <w:rPr>
          <w:rFonts w:ascii="Times New Roman" w:hAnsi="Times New Roman" w:eastAsia="Times New Roman" w:cs="Times New Roman"/>
          <w:color w:val="000000"/>
          <w:sz w:val="24"/>
        </w:rPr>
        <w:t xml:space="preserve"> catalog (e.g., </w:t>
      </w:r>
      <w:r>
        <w:rPr>
          <w:rFonts w:ascii="Courier New" w:hAnsi="Courier New" w:eastAsia="Courier New" w:cs="Courier New"/>
          <w:color w:val="000000"/>
          <w:sz w:val="20"/>
        </w:rPr>
        <w:t xml:space="preserve">equity.fundamentals.pe_ratio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equity.flows.short_interest_pct</w:t>
      </w:r>
      <w:r>
        <w:rPr>
          <w:rFonts w:ascii="Times New Roman" w:hAnsi="Times New Roman" w:eastAsia="Times New Roman" w:cs="Times New Roman"/>
          <w:color w:val="000000"/>
          <w:sz w:val="24"/>
        </w:rPr>
        <w:t xml:space="preserve">). Write adapters that produce </w:t>
      </w:r>
      <w:r>
        <w:rPr>
          <w:rFonts w:ascii="Courier New" w:hAnsi="Courier New" w:eastAsia="Courier New" w:cs="Courier New"/>
          <w:color w:val="000000"/>
          <w:sz w:val="20"/>
        </w:rPr>
        <w:t xml:space="preserve">(instrument_id, metric_id, valid_from, value_numeric, ...)</w:t>
      </w:r>
      <w:r>
        <w:rPr>
          <w:rFonts w:ascii="Times New Roman" w:hAnsi="Times New Roman" w:eastAsia="Times New Roman" w:cs="Times New Roman"/>
          <w:color w:val="000000"/>
          <w:sz w:val="24"/>
        </w:rPr>
        <w:t xml:space="preserve"> rows. The observations table, PIT logic, feature engineering layer, and signal architecture are unchanged.</w:t>
      </w:r>
      <w:r/>
    </w:p>
    <w:p w14:paraId="53A15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Adding a metric concept that didn't exist before:</w:t>
      </w:r>
      <w:r>
        <w:rPr>
          <w:rFonts w:ascii="Times New Roman" w:hAnsi="Times New Roman" w:eastAsia="Times New Roman" w:cs="Times New Roman"/>
          <w:color w:val="000000"/>
          <w:sz w:val="24"/>
        </w:rPr>
        <w:t xml:space="preserve"> Add a row to </w:t>
      </w:r>
      <w:r>
        <w:rPr>
          <w:rFonts w:ascii="Courier New" w:hAnsi="Courier New" w:eastAsia="Courier New" w:cs="Courier New"/>
          <w:color w:val="000000"/>
          <w:sz w:val="20"/>
        </w:rPr>
        <w:t xml:space="preserve">metrics</w:t>
      </w:r>
      <w:r>
        <w:rPr>
          <w:rFonts w:ascii="Times New Roman" w:hAnsi="Times New Roman" w:eastAsia="Times New Roman" w:cs="Times New Roman"/>
          <w:color w:val="000000"/>
          <w:sz w:val="24"/>
        </w:rPr>
        <w:t xml:space="preserve">. Write the feature catalog entry in Layer 4. Write the adapter mapping in Layer 2. Zero DDL changes to any existing table.</w:t>
      </w:r>
      <w:r/>
    </w:p>
    <w:p w14:paraId="5D5B1B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Adding a new source for an existing metric:</w:t>
      </w:r>
      <w:r>
        <w:rPr>
          <w:rFonts w:ascii="Times New Roman" w:hAnsi="Times New Roman" w:eastAsia="Times New Roman" w:cs="Times New Roman"/>
          <w:color w:val="000000"/>
          <w:sz w:val="24"/>
        </w:rPr>
        <w:t xml:space="preserve"> Add a row to </w:t>
      </w:r>
      <w:r>
        <w:rPr>
          <w:rFonts w:ascii="Courier New" w:hAnsi="Courier New" w:eastAsia="Courier New" w:cs="Courier New"/>
          <w:color w:val="000000"/>
          <w:sz w:val="20"/>
        </w:rPr>
        <w:t xml:space="preserve">sources</w:t>
      </w:r>
      <w:r>
        <w:rPr>
          <w:rFonts w:ascii="Times New Roman" w:hAnsi="Times New Roman" w:eastAsia="Times New Roman" w:cs="Times New Roman"/>
          <w:color w:val="000000"/>
          <w:sz w:val="24"/>
        </w:rPr>
        <w:t xml:space="preserve">. Write the adapter. Observations from the new source appear in the table with their </w:t>
      </w:r>
      <w:r>
        <w:rPr>
          <w:rFonts w:ascii="Courier New" w:hAnsi="Courier New" w:eastAsia="Courier New" w:cs="Courier New"/>
          <w:color w:val="000000"/>
          <w:sz w:val="20"/>
        </w:rPr>
        <w:t xml:space="preserve">source_id</w:t>
      </w:r>
      <w:r>
        <w:rPr>
          <w:rFonts w:ascii="Times New Roman" w:hAnsi="Times New Roman" w:eastAsia="Times New Roman" w:cs="Times New Roman"/>
          <w:color w:val="000000"/>
          <w:sz w:val="24"/>
        </w:rPr>
        <w:t xml:space="preserve">. Conflict resolution policy (which source wins when two provide the same metric for the same instrument at the same timestamp) is defined in the adapter layer, not in the schema. Zero DDL changes.</w:t>
      </w:r>
      <w:r/>
    </w:p>
    <w:p w14:paraId="738273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Schema change required under this design:</w:t>
      </w:r>
      <w:r>
        <w:rPr>
          <w:rFonts w:ascii="Times New Roman" w:hAnsi="Times New Roman" w:eastAsia="Times New Roman" w:cs="Times New Roman"/>
          <w:color w:val="000000"/>
          <w:sz w:val="24"/>
        </w:rPr>
        <w:t xml:space="preserve"> None of the above. The only scenario that requires DDL is adding a new storage type beyond </w:t>
      </w:r>
      <w:r>
        <w:rPr>
          <w:rFonts w:ascii="Courier New" w:hAnsi="Courier New" w:eastAsia="Courier New" w:cs="Courier New"/>
          <w:color w:val="000000"/>
          <w:sz w:val="20"/>
        </w:rPr>
        <w:t xml:space="preserve">value_numeric</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value_text</w:t>
      </w:r>
      <w:r>
        <w:rPr>
          <w:rFonts w:ascii="Times New Roman" w:hAnsi="Times New Roman" w:eastAsia="Times New Roman" w:cs="Times New Roman"/>
          <w:color w:val="000000"/>
          <w:sz w:val="24"/>
        </w:rPr>
        <w:t xml:space="preserve"> — for example, if a future metric has a vector value (unlikely). That would add a </w:t>
      </w:r>
      <w:r>
        <w:rPr>
          <w:rFonts w:ascii="Courier New" w:hAnsi="Courier New" w:eastAsia="Courier New" w:cs="Courier New"/>
          <w:color w:val="000000"/>
          <w:sz w:val="20"/>
        </w:rPr>
        <w:t xml:space="preserve">value_vector</w:t>
      </w:r>
      <w:r>
        <w:rPr>
          <w:rFonts w:ascii="Times New Roman" w:hAnsi="Times New Roman" w:eastAsia="Times New Roman" w:cs="Times New Roman"/>
          <w:color w:val="000000"/>
          <w:sz w:val="24"/>
        </w:rPr>
        <w:t xml:space="preserve"> column. That is not a structural change to any existing data.</w:t>
      </w:r>
      <w:r/>
    </w:p>
    <w:p w14:paraId="509005F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Database Engine Recommendation</w:t>
      </w:r>
      <w:r/>
    </w:p>
    <w:p w14:paraId="33740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canonical store requires: ACID transactions for PIT correctness, time-series partitioning for query performance, rich indexing, JSON support for metadata, and operational simplicity for a one-operator system.</w:t>
      </w:r>
      <w:r/>
    </w:p>
    <w:p w14:paraId="26A968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Primary store: PostgreSQL 16 with TimescaleDB extension.</w:t>
      </w:r>
      <w:r/>
    </w:p>
    <w:p w14:paraId="1B0C6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Reasons:</w:t>
      </w:r>
      <w:r/>
    </w:p>
    <w:p w14:paraId="4FF39CE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TimescaleDB hypertables provide native time-series partitioning and compression with standard SQL interface</w:t>
      </w:r>
      <w:r/>
    </w:p>
    <w:p w14:paraId="0CF787B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ACID guarantees on all writes — PIT correctness requires this</w:t>
      </w:r>
      <w:r/>
    </w:p>
    <w:p w14:paraId="3006A4E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Mature, well-documented, operationally straightforward</w:t>
      </w:r>
      <w:r/>
    </w:p>
    <w:p w14:paraId="39C8AB0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Already in the existing infrastructure as a known quantity (evaluation only — adoption here is justified independently)</w:t>
      </w:r>
      <w:r/>
    </w:p>
    <w:p w14:paraId="027C5F1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Compression on cold chunks (data older than 90 days) reduces storage cost significantly without query changes</w:t>
      </w:r>
      <w:r/>
    </w:p>
    <w:p w14:paraId="5FECD1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Analytical replica: DuckDB (embedded, query-time).</w:t>
      </w:r>
      <w:r/>
    </w:p>
    <w:p w14:paraId="504D16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engineering rolling window queries and backtesting queries scan large time ranges across many instruments. PostgreSQL handles these correctly but not at analytical query speed. DuckDB runs against the same Parquet exports of the observations table </w:t>
      </w:r>
      <w:r>
        <w:rPr>
          <w:rFonts w:ascii="Times New Roman" w:hAnsi="Times New Roman" w:eastAsia="Times New Roman" w:cs="Times New Roman"/>
          <w:color w:val="000000"/>
          <w:sz w:val="24"/>
        </w:rPr>
        <w:t xml:space="preserve">and delivers sub-second query performance on multi-year scans. It is not a separate operational database — it is a query engine pointed at exported snapshots of the canonical store.</w:t>
      </w:r>
      <w:r/>
    </w:p>
    <w:p w14:paraId="10A829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Operational pattern:</w:t>
      </w:r>
      <w:r/>
    </w:p>
    <w:p w14:paraId="162499A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Canonical store (PostgreSQL/TimescaleDB): writes, PIT queries, audit, API serving</w:t>
      </w:r>
      <w:r/>
    </w:p>
    <w:p w14:paraId="03D47B0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Analytical layer (DuckDB): feature engineering batch jobs, backtesting, research queries</w:t>
      </w:r>
      <w:r/>
    </w:p>
    <w:p w14:paraId="7EC83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separation keeps the canonical store simple and correct. DuckDB adds no operational burden — it is a library, not a service.</w:t>
      </w:r>
      <w:r/>
    </w:p>
    <w:p w14:paraId="36B7B19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Decisions Locked by Thread 4</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49"/>
        <w:gridCol w:w="6806"/>
      </w:tblGrid>
      <w:tr>
        <w:trPr/>
        <w:tc>
          <w:tcPr>
            <w:tcBorders/>
            <w:tcMar>
              <w:left w:w="15" w:type="dxa"/>
              <w:top w:w="15" w:type="dxa"/>
              <w:right w:w="15" w:type="dxa"/>
              <w:bottom w:w="15" w:type="dxa"/>
            </w:tcMar>
            <w:tcW w:w="2549" w:type="dxa"/>
            <w:vAlign w:val="center"/>
          </w:tcPr>
          <w:p w14:paraId="787E27E0">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6806" w:type="dxa"/>
            <w:vAlign w:val="center"/>
          </w:tcPr>
          <w:p w14:paraId="0D7F3B31">
            <w:pPr>
              <w:pBdr/>
              <w:spacing w:after="0" w:before="0" w:line="240"/>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2549" w:type="dxa"/>
            <w:vAlign w:val="center"/>
          </w:tcPr>
          <w:p w14:paraId="16E1D8E5">
            <w:pPr>
              <w:pBdr/>
              <w:spacing w:after="0" w:before="0" w:line="240"/>
              <w:ind/>
              <w:rPr/>
            </w:pPr>
            <w:r>
              <w:rPr>
                <w:rFonts w:ascii="Times New Roman" w:hAnsi="Times New Roman" w:eastAsia="Times New Roman" w:cs="Times New Roman"/>
                <w:color w:val="000000"/>
                <w:sz w:val="24"/>
              </w:rPr>
              <w:t xml:space="preserve">Schema model</w:t>
            </w:r>
            <w:r/>
          </w:p>
        </w:tc>
        <w:tc>
          <w:tcPr>
            <w:tcBorders/>
            <w:tcMar>
              <w:left w:w="15" w:type="dxa"/>
              <w:top w:w="15" w:type="dxa"/>
              <w:right w:w="15" w:type="dxa"/>
              <w:bottom w:w="15" w:type="dxa"/>
            </w:tcMar>
            <w:tcW w:w="6806" w:type="dxa"/>
            <w:vAlign w:val="center"/>
          </w:tcPr>
          <w:p w14:paraId="0C0238D7">
            <w:pPr>
              <w:pBdr/>
              <w:spacing w:after="0" w:before="0" w:line="240"/>
              <w:ind/>
              <w:rPr/>
            </w:pPr>
            <w:r>
              <w:rPr>
                <w:rFonts w:ascii="Times New Roman" w:hAnsi="Times New Roman" w:eastAsia="Times New Roman" w:cs="Times New Roman"/>
                <w:color w:val="000000"/>
                <w:sz w:val="24"/>
              </w:rPr>
              <w:t xml:space="preserve">EAV observations table with metric catalog and materialized current-value view</w:t>
            </w:r>
            <w:r/>
          </w:p>
        </w:tc>
      </w:tr>
      <w:tr>
        <w:trPr/>
        <w:tc>
          <w:tcPr>
            <w:tcBorders/>
            <w:tcMar>
              <w:left w:w="15" w:type="dxa"/>
              <w:top w:w="15" w:type="dxa"/>
              <w:right w:w="15" w:type="dxa"/>
              <w:bottom w:w="15" w:type="dxa"/>
            </w:tcMar>
            <w:tcW w:w="2549" w:type="dxa"/>
            <w:vAlign w:val="center"/>
          </w:tcPr>
          <w:p w14:paraId="471F1F0E">
            <w:pPr>
              <w:pBdr/>
              <w:spacing w:after="0" w:before="0" w:line="240"/>
              <w:ind/>
              <w:rPr/>
            </w:pPr>
            <w:r>
              <w:rPr>
                <w:rFonts w:ascii="Times New Roman" w:hAnsi="Times New Roman" w:eastAsia="Times New Roman" w:cs="Times New Roman"/>
                <w:color w:val="000000"/>
                <w:sz w:val="24"/>
              </w:rPr>
              <w:t xml:space="preserve">Primary key for observations</w:t>
            </w:r>
            <w:r/>
          </w:p>
        </w:tc>
        <w:tc>
          <w:tcPr>
            <w:tcBorders/>
            <w:tcMar>
              <w:left w:w="15" w:type="dxa"/>
              <w:top w:w="15" w:type="dxa"/>
              <w:right w:w="15" w:type="dxa"/>
              <w:bottom w:w="15" w:type="dxa"/>
            </w:tcMar>
            <w:tcW w:w="6806" w:type="dxa"/>
            <w:vAlign w:val="center"/>
          </w:tcPr>
          <w:p w14:paraId="1F04C4F8">
            <w:pPr>
              <w:pBdr/>
              <w:spacing w:after="0" w:before="0" w:line="240"/>
              <w:ind/>
              <w:rPr/>
            </w:pPr>
            <w:r>
              <w:rPr>
                <w:rFonts w:ascii="Courier New" w:hAnsi="Courier New" w:eastAsia="Courier New" w:cs="Courier New"/>
                <w:color w:val="000000"/>
                <w:sz w:val="20"/>
              </w:rPr>
              <w:t xml:space="preserve">(metric_id, valid_from, instrument_id, source_id)</w:t>
            </w:r>
            <w:r/>
          </w:p>
        </w:tc>
      </w:tr>
      <w:tr>
        <w:trPr/>
        <w:tc>
          <w:tcPr>
            <w:tcBorders/>
            <w:tcMar>
              <w:left w:w="15" w:type="dxa"/>
              <w:top w:w="15" w:type="dxa"/>
              <w:right w:w="15" w:type="dxa"/>
              <w:bottom w:w="15" w:type="dxa"/>
            </w:tcMar>
            <w:tcW w:w="2549" w:type="dxa"/>
            <w:vAlign w:val="center"/>
          </w:tcPr>
          <w:p w14:paraId="4EB7560C">
            <w:pPr>
              <w:pBdr/>
              <w:spacing w:after="0" w:before="0" w:line="240"/>
              <w:ind/>
              <w:rPr/>
            </w:pPr>
            <w:r>
              <w:rPr>
                <w:rFonts w:ascii="Times New Roman" w:hAnsi="Times New Roman" w:eastAsia="Times New Roman" w:cs="Times New Roman"/>
                <w:color w:val="000000"/>
                <w:sz w:val="24"/>
              </w:rPr>
              <w:t xml:space="preserve">Null instrument_id</w:t>
            </w:r>
            <w:r/>
          </w:p>
        </w:tc>
        <w:tc>
          <w:tcPr>
            <w:tcBorders/>
            <w:tcMar>
              <w:left w:w="15" w:type="dxa"/>
              <w:top w:w="15" w:type="dxa"/>
              <w:right w:w="15" w:type="dxa"/>
              <w:bottom w:w="15" w:type="dxa"/>
            </w:tcMar>
            <w:tcW w:w="6806" w:type="dxa"/>
            <w:vAlign w:val="center"/>
          </w:tcPr>
          <w:p w14:paraId="14691E13">
            <w:pPr>
              <w:pBdr/>
              <w:spacing w:after="0" w:before="0" w:line="240"/>
              <w:ind/>
              <w:rPr/>
            </w:pPr>
            <w:r>
              <w:rPr>
                <w:rFonts w:ascii="Times New Roman" w:hAnsi="Times New Roman" w:eastAsia="Times New Roman" w:cs="Times New Roman"/>
                <w:color w:val="000000"/>
                <w:sz w:val="24"/>
              </w:rPr>
              <w:t xml:space="preserve">Permitted and correct for market-level metrics</w:t>
            </w:r>
            <w:r/>
          </w:p>
        </w:tc>
      </w:tr>
      <w:tr>
        <w:trPr/>
        <w:tc>
          <w:tcPr>
            <w:tcBorders/>
            <w:tcMar>
              <w:left w:w="15" w:type="dxa"/>
              <w:top w:w="15" w:type="dxa"/>
              <w:right w:w="15" w:type="dxa"/>
              <w:bottom w:w="15" w:type="dxa"/>
            </w:tcMar>
            <w:tcW w:w="2549" w:type="dxa"/>
            <w:vAlign w:val="center"/>
          </w:tcPr>
          <w:p w14:paraId="686C5FA7">
            <w:pPr>
              <w:pBdr/>
              <w:spacing w:after="0" w:before="0" w:line="240"/>
              <w:ind/>
              <w:rPr/>
            </w:pPr>
            <w:r>
              <w:rPr>
                <w:rFonts w:ascii="Times New Roman" w:hAnsi="Times New Roman" w:eastAsia="Times New Roman" w:cs="Times New Roman"/>
                <w:color w:val="000000"/>
                <w:sz w:val="24"/>
              </w:rPr>
              <w:t xml:space="preserve">PIT model</w:t>
            </w:r>
            <w:r/>
          </w:p>
        </w:tc>
        <w:tc>
          <w:tcPr>
            <w:tcBorders/>
            <w:tcMar>
              <w:left w:w="15" w:type="dxa"/>
              <w:top w:w="15" w:type="dxa"/>
              <w:right w:w="15" w:type="dxa"/>
              <w:bottom w:w="15" w:type="dxa"/>
            </w:tcMar>
            <w:tcW w:w="6806" w:type="dxa"/>
            <w:vAlign w:val="center"/>
          </w:tcPr>
          <w:p w14:paraId="7FA9950B">
            <w:pPr>
              <w:pBdr/>
              <w:spacing w:after="0" w:before="0" w:line="240"/>
              <w:ind/>
              <w:rPr/>
            </w:pPr>
            <w:r>
              <w:rPr>
                <w:rFonts w:ascii="Times New Roman" w:hAnsi="Times New Roman" w:eastAsia="Times New Roman" w:cs="Times New Roman"/>
                <w:color w:val="000000"/>
                <w:sz w:val="24"/>
              </w:rPr>
              <w:t xml:space="preserve">Bitemporal: valid_from/valid_to + ingested_at + collected_at</w:t>
            </w:r>
            <w:r/>
          </w:p>
        </w:tc>
      </w:tr>
      <w:tr>
        <w:trPr/>
        <w:tc>
          <w:tcPr>
            <w:tcBorders/>
            <w:tcMar>
              <w:left w:w="15" w:type="dxa"/>
              <w:top w:w="15" w:type="dxa"/>
              <w:right w:w="15" w:type="dxa"/>
              <w:bottom w:w="15" w:type="dxa"/>
            </w:tcMar>
            <w:tcW w:w="2549" w:type="dxa"/>
            <w:vAlign w:val="center"/>
          </w:tcPr>
          <w:p w14:paraId="5AEEA738">
            <w:pPr>
              <w:pBdr/>
              <w:spacing w:after="0" w:before="0" w:line="240"/>
              <w:ind/>
              <w:rPr/>
            </w:pPr>
            <w:r>
              <w:rPr>
                <w:rFonts w:ascii="Times New Roman" w:hAnsi="Times New Roman" w:eastAsia="Times New Roman" w:cs="Times New Roman"/>
                <w:color w:val="000000"/>
                <w:sz w:val="24"/>
              </w:rPr>
              <w:t xml:space="preserve">Revision handling</w:t>
            </w:r>
            <w:r/>
          </w:p>
        </w:tc>
        <w:tc>
          <w:tcPr>
            <w:tcBorders/>
            <w:tcMar>
              <w:left w:w="15" w:type="dxa"/>
              <w:top w:w="15" w:type="dxa"/>
              <w:right w:w="15" w:type="dxa"/>
              <w:bottom w:w="15" w:type="dxa"/>
            </w:tcMar>
            <w:tcW w:w="6806" w:type="dxa"/>
            <w:vAlign w:val="center"/>
          </w:tcPr>
          <w:p w14:paraId="40999A37">
            <w:pPr>
              <w:pBdr/>
              <w:spacing w:after="0" w:before="0" w:line="240"/>
              <w:ind/>
              <w:rPr/>
            </w:pPr>
            <w:r>
              <w:rPr>
                <w:rFonts w:ascii="Times New Roman" w:hAnsi="Times New Roman" w:eastAsia="Times New Roman" w:cs="Times New Roman"/>
                <w:color w:val="000000"/>
                <w:sz w:val="24"/>
              </w:rPr>
              <w:t xml:space="preserve">Close old row (set valid_to), insert new row. Both preserved.</w:t>
            </w:r>
            <w:r/>
          </w:p>
        </w:tc>
      </w:tr>
      <w:tr>
        <w:trPr/>
        <w:tc>
          <w:tcPr>
            <w:tcBorders/>
            <w:tcMar>
              <w:left w:w="15" w:type="dxa"/>
              <w:top w:w="15" w:type="dxa"/>
              <w:right w:w="15" w:type="dxa"/>
              <w:bottom w:w="15" w:type="dxa"/>
            </w:tcMar>
            <w:tcW w:w="2549" w:type="dxa"/>
            <w:vAlign w:val="center"/>
          </w:tcPr>
          <w:p w14:paraId="2369E8D4">
            <w:pPr>
              <w:pBdr/>
              <w:spacing w:after="0" w:before="0" w:line="240"/>
              <w:ind/>
              <w:rPr/>
            </w:pPr>
            <w:r>
              <w:rPr>
                <w:rFonts w:ascii="Times New Roman" w:hAnsi="Times New Roman" w:eastAsia="Times New Roman" w:cs="Times New Roman"/>
                <w:color w:val="000000"/>
                <w:sz w:val="24"/>
              </w:rPr>
              <w:t xml:space="preserve">Backfill PIT semantics</w:t>
            </w:r>
            <w:r/>
          </w:p>
        </w:tc>
        <w:tc>
          <w:tcPr>
            <w:tcBorders/>
            <w:tcMar>
              <w:left w:w="15" w:type="dxa"/>
              <w:top w:w="15" w:type="dxa"/>
              <w:right w:w="15" w:type="dxa"/>
              <w:bottom w:w="15" w:type="dxa"/>
            </w:tcMar>
            <w:tcW w:w="6806" w:type="dxa"/>
            <w:vAlign w:val="center"/>
          </w:tcPr>
          <w:p w14:paraId="038B9E72">
            <w:pPr>
              <w:pBdr/>
              <w:spacing w:after="0" w:before="0" w:line="240"/>
              <w:ind/>
              <w:rPr/>
            </w:pPr>
            <w:r>
              <w:rPr>
                <w:rFonts w:ascii="Times New Roman" w:hAnsi="Times New Roman" w:eastAsia="Times New Roman" w:cs="Times New Roman"/>
                <w:color w:val="000000"/>
                <w:sz w:val="24"/>
              </w:rPr>
              <w:t xml:space="preserve">ingested_at = load time. Backtests at time T exclude data ingested after T.</w:t>
            </w:r>
            <w:r/>
          </w:p>
        </w:tc>
      </w:tr>
      <w:tr>
        <w:trPr/>
        <w:tc>
          <w:tcPr>
            <w:tcBorders/>
            <w:tcMar>
              <w:left w:w="15" w:type="dxa"/>
              <w:top w:w="15" w:type="dxa"/>
              <w:right w:w="15" w:type="dxa"/>
              <w:bottom w:w="15" w:type="dxa"/>
            </w:tcMar>
            <w:tcW w:w="2549" w:type="dxa"/>
            <w:vAlign w:val="center"/>
          </w:tcPr>
          <w:p w14:paraId="6196CB70">
            <w:pPr>
              <w:pBdr/>
              <w:spacing w:after="0" w:before="0" w:line="240"/>
              <w:ind/>
              <w:rPr/>
            </w:pPr>
            <w:r>
              <w:rPr>
                <w:rFonts w:ascii="Times New Roman" w:hAnsi="Times New Roman" w:eastAsia="Times New Roman" w:cs="Times New Roman"/>
                <w:color w:val="000000"/>
                <w:sz w:val="24"/>
              </w:rPr>
              <w:t xml:space="preserve">Rejected observations</w:t>
            </w:r>
            <w:r/>
          </w:p>
        </w:tc>
        <w:tc>
          <w:tcPr>
            <w:tcBorders/>
            <w:tcMar>
              <w:left w:w="15" w:type="dxa"/>
              <w:top w:w="15" w:type="dxa"/>
              <w:right w:w="15" w:type="dxa"/>
              <w:bottom w:w="15" w:type="dxa"/>
            </w:tcMar>
            <w:tcW w:w="6806" w:type="dxa"/>
            <w:vAlign w:val="center"/>
          </w:tcPr>
          <w:p w14:paraId="284109C9">
            <w:pPr>
              <w:pBdr/>
              <w:spacing w:after="0" w:before="0" w:line="240"/>
              <w:ind/>
              <w:rPr/>
            </w:pPr>
            <w:r>
              <w:rPr>
                <w:rFonts w:ascii="Times New Roman" w:hAnsi="Times New Roman" w:eastAsia="Times New Roman" w:cs="Times New Roman"/>
                <w:color w:val="000000"/>
                <w:sz w:val="24"/>
              </w:rPr>
              <w:t xml:space="preserve">Dead letter table, never silently dropped</w:t>
            </w:r>
            <w:r/>
          </w:p>
        </w:tc>
      </w:tr>
      <w:tr>
        <w:trPr/>
        <w:tc>
          <w:tcPr>
            <w:tcBorders/>
            <w:tcMar>
              <w:left w:w="15" w:type="dxa"/>
              <w:top w:w="15" w:type="dxa"/>
              <w:right w:w="15" w:type="dxa"/>
              <w:bottom w:w="15" w:type="dxa"/>
            </w:tcMar>
            <w:tcW w:w="2549" w:type="dxa"/>
            <w:vAlign w:val="center"/>
          </w:tcPr>
          <w:p w14:paraId="1F0042A3">
            <w:pPr>
              <w:pBdr/>
              <w:spacing w:after="0" w:before="0" w:line="240"/>
              <w:ind/>
              <w:rPr/>
            </w:pPr>
            <w:r>
              <w:rPr>
                <w:rFonts w:ascii="Times New Roman" w:hAnsi="Times New Roman" w:eastAsia="Times New Roman" w:cs="Times New Roman"/>
                <w:color w:val="000000"/>
                <w:sz w:val="24"/>
              </w:rPr>
              <w:t xml:space="preserve">Canonical naming convention</w:t>
            </w:r>
            <w:r/>
          </w:p>
        </w:tc>
        <w:tc>
          <w:tcPr>
            <w:tcBorders/>
            <w:tcMar>
              <w:left w:w="15" w:type="dxa"/>
              <w:top w:w="15" w:type="dxa"/>
              <w:right w:w="15" w:type="dxa"/>
              <w:bottom w:w="15" w:type="dxa"/>
            </w:tcMar>
            <w:tcW w:w="6806" w:type="dxa"/>
            <w:vAlign w:val="center"/>
          </w:tcPr>
          <w:p w14:paraId="175EF2E3">
            <w:pPr>
              <w:pBdr/>
              <w:spacing w:after="0" w:before="0" w:line="240"/>
              <w:ind/>
              <w:rPr/>
            </w:pPr>
            <w:r>
              <w:rPr>
                <w:rFonts w:ascii="Times New Roman" w:hAnsi="Times New Roman" w:eastAsia="Times New Roman" w:cs="Times New Roman"/>
                <w:color w:val="000000"/>
                <w:sz w:val="24"/>
              </w:rPr>
              <w:t xml:space="preserve">domain.subdomain.metric_name — hierarchical, no abbreviations</w:t>
            </w:r>
            <w:r/>
          </w:p>
        </w:tc>
      </w:tr>
      <w:tr>
        <w:trPr/>
        <w:tc>
          <w:tcPr>
            <w:tcBorders/>
            <w:tcMar>
              <w:left w:w="15" w:type="dxa"/>
              <w:top w:w="15" w:type="dxa"/>
              <w:right w:w="15" w:type="dxa"/>
              <w:bottom w:w="15" w:type="dxa"/>
            </w:tcMar>
            <w:tcW w:w="2549" w:type="dxa"/>
            <w:vAlign w:val="center"/>
          </w:tcPr>
          <w:p w14:paraId="1FC8ACFF">
            <w:pPr>
              <w:pBdr/>
              <w:spacing w:after="0" w:before="0" w:line="240"/>
              <w:ind/>
              <w:rPr/>
            </w:pPr>
            <w:r>
              <w:rPr>
                <w:rFonts w:ascii="Times New Roman" w:hAnsi="Times New Roman" w:eastAsia="Times New Roman" w:cs="Times New Roman"/>
                <w:color w:val="000000"/>
                <w:sz w:val="24"/>
              </w:rPr>
              <w:t xml:space="preserve">Instrument tiers</w:t>
            </w:r>
            <w:r/>
          </w:p>
        </w:tc>
        <w:tc>
          <w:tcPr>
            <w:tcBorders/>
            <w:tcMar>
              <w:left w:w="15" w:type="dxa"/>
              <w:top w:w="15" w:type="dxa"/>
              <w:right w:w="15" w:type="dxa"/>
              <w:bottom w:w="15" w:type="dxa"/>
            </w:tcMar>
            <w:tcW w:w="6806" w:type="dxa"/>
            <w:vAlign w:val="center"/>
          </w:tcPr>
          <w:p w14:paraId="2683ABE1">
            <w:pPr>
              <w:pBdr/>
              <w:spacing w:after="0" w:before="0" w:line="240"/>
              <w:ind/>
              <w:rPr/>
            </w:pPr>
            <w:r>
              <w:rPr>
                <w:rFonts w:ascii="Times New Roman" w:hAnsi="Times New Roman" w:eastAsia="Times New Roman" w:cs="Times New Roman"/>
                <w:color w:val="000000"/>
                <w:sz w:val="24"/>
              </w:rPr>
              <w:t xml:space="preserve">collection → scoring → signal_eligible, rule-driven promotion</w:t>
            </w:r>
            <w:r/>
          </w:p>
        </w:tc>
      </w:tr>
      <w:tr>
        <w:trPr/>
        <w:tc>
          <w:tcPr>
            <w:tcBorders/>
            <w:tcMar>
              <w:left w:w="15" w:type="dxa"/>
              <w:top w:w="15" w:type="dxa"/>
              <w:right w:w="15" w:type="dxa"/>
              <w:bottom w:w="15" w:type="dxa"/>
            </w:tcMar>
            <w:tcW w:w="2549" w:type="dxa"/>
            <w:vAlign w:val="center"/>
          </w:tcPr>
          <w:p w14:paraId="53EB25AF">
            <w:pPr>
              <w:pBdr/>
              <w:spacing w:after="0" w:before="0" w:line="240"/>
              <w:ind/>
              <w:rPr/>
            </w:pPr>
            <w:r>
              <w:rPr>
                <w:rFonts w:ascii="Times New Roman" w:hAnsi="Times New Roman" w:eastAsia="Times New Roman" w:cs="Times New Roman"/>
                <w:color w:val="000000"/>
                <w:sz w:val="24"/>
              </w:rPr>
              <w:t xml:space="preserve">Coverage tracking</w:t>
            </w:r>
            <w:r/>
          </w:p>
        </w:tc>
        <w:tc>
          <w:tcPr>
            <w:tcBorders/>
            <w:tcMar>
              <w:left w:w="15" w:type="dxa"/>
              <w:top w:w="15" w:type="dxa"/>
              <w:right w:w="15" w:type="dxa"/>
              <w:bottom w:w="15" w:type="dxa"/>
            </w:tcMar>
            <w:tcW w:w="6806" w:type="dxa"/>
            <w:vAlign w:val="center"/>
          </w:tcPr>
          <w:p w14:paraId="74B0CD80">
            <w:pPr>
              <w:pBdr/>
              <w:spacing w:after="0" w:before="0" w:line="240"/>
              <w:ind/>
              <w:rPr/>
            </w:pPr>
            <w:r>
              <w:rPr>
                <w:rFonts w:ascii="Times New Roman" w:hAnsi="Times New Roman" w:eastAsia="Times New Roman" w:cs="Times New Roman"/>
                <w:color w:val="000000"/>
                <w:sz w:val="24"/>
              </w:rPr>
              <w:t xml:space="preserve">Materialized in instrument_metric_coverage, not queried from observations</w:t>
            </w:r>
            <w:r/>
          </w:p>
        </w:tc>
      </w:tr>
      <w:tr>
        <w:trPr/>
        <w:tc>
          <w:tcPr>
            <w:tcBorders/>
            <w:tcMar>
              <w:left w:w="15" w:type="dxa"/>
              <w:top w:w="15" w:type="dxa"/>
              <w:right w:w="15" w:type="dxa"/>
              <w:bottom w:w="15" w:type="dxa"/>
            </w:tcMar>
            <w:tcW w:w="2549" w:type="dxa"/>
            <w:vAlign w:val="center"/>
          </w:tcPr>
          <w:p w14:paraId="5B5F7A45">
            <w:pPr>
              <w:pBdr/>
              <w:spacing w:after="0" w:before="0" w:line="240"/>
              <w:ind/>
              <w:rPr/>
            </w:pPr>
            <w:r>
              <w:rPr>
                <w:rFonts w:ascii="Times New Roman" w:hAnsi="Times New Roman" w:eastAsia="Times New Roman" w:cs="Times New Roman"/>
                <w:color w:val="000000"/>
                <w:sz w:val="24"/>
              </w:rPr>
              <w:t xml:space="preserve">Primary database engine</w:t>
            </w:r>
            <w:r/>
          </w:p>
        </w:tc>
        <w:tc>
          <w:tcPr>
            <w:tcBorders/>
            <w:tcMar>
              <w:left w:w="15" w:type="dxa"/>
              <w:top w:w="15" w:type="dxa"/>
              <w:right w:w="15" w:type="dxa"/>
              <w:bottom w:w="15" w:type="dxa"/>
            </w:tcMar>
            <w:tcW w:w="6806" w:type="dxa"/>
            <w:vAlign w:val="center"/>
          </w:tcPr>
          <w:p w14:paraId="1EF52DCD">
            <w:pPr>
              <w:pBdr/>
              <w:spacing w:after="0" w:before="0" w:line="240"/>
              <w:ind/>
              <w:rPr/>
            </w:pPr>
            <w:r>
              <w:rPr>
                <w:rFonts w:ascii="Times New Roman" w:hAnsi="Times New Roman" w:eastAsia="Times New Roman" w:cs="Times New Roman"/>
                <w:color w:val="000000"/>
                <w:sz w:val="24"/>
              </w:rPr>
              <w:t xml:space="preserve">PostgreSQL 16 + TimescaleDB</w:t>
            </w:r>
            <w:r/>
          </w:p>
        </w:tc>
      </w:tr>
      <w:tr>
        <w:trPr/>
        <w:tc>
          <w:tcPr>
            <w:tcBorders/>
            <w:tcMar>
              <w:left w:w="15" w:type="dxa"/>
              <w:top w:w="15" w:type="dxa"/>
              <w:right w:w="15" w:type="dxa"/>
              <w:bottom w:w="15" w:type="dxa"/>
            </w:tcMar>
            <w:tcW w:w="2549" w:type="dxa"/>
            <w:vAlign w:val="center"/>
          </w:tcPr>
          <w:p w14:paraId="1F457B7F">
            <w:pPr>
              <w:pBdr/>
              <w:spacing w:after="0" w:before="0" w:line="240"/>
              <w:ind/>
              <w:rPr/>
            </w:pPr>
            <w:r>
              <w:rPr>
                <w:rFonts w:ascii="Times New Roman" w:hAnsi="Times New Roman" w:eastAsia="Times New Roman" w:cs="Times New Roman"/>
                <w:color w:val="000000"/>
                <w:sz w:val="24"/>
              </w:rPr>
              <w:t xml:space="preserve">Analytical query layer</w:t>
            </w:r>
            <w:r/>
          </w:p>
        </w:tc>
        <w:tc>
          <w:tcPr>
            <w:tcBorders/>
            <w:tcMar>
              <w:left w:w="15" w:type="dxa"/>
              <w:top w:w="15" w:type="dxa"/>
              <w:right w:w="15" w:type="dxa"/>
              <w:bottom w:w="15" w:type="dxa"/>
            </w:tcMar>
            <w:tcW w:w="6806" w:type="dxa"/>
            <w:vAlign w:val="center"/>
          </w:tcPr>
          <w:p w14:paraId="49145825">
            <w:pPr>
              <w:pBdr/>
              <w:spacing w:after="0" w:before="0" w:line="240"/>
              <w:ind/>
              <w:rPr/>
            </w:pPr>
            <w:r>
              <w:rPr>
                <w:rFonts w:ascii="Times New Roman" w:hAnsi="Times New Roman" w:eastAsia="Times New Roman" w:cs="Times New Roman"/>
                <w:color w:val="000000"/>
                <w:sz w:val="24"/>
              </w:rPr>
              <w:t xml:space="preserve">DuckDB against Parquet exports</w:t>
            </w:r>
            <w:r/>
          </w:p>
        </w:tc>
      </w:tr>
      <w:tr>
        <w:trPr/>
        <w:tc>
          <w:tcPr>
            <w:tcBorders/>
            <w:tcMar>
              <w:left w:w="15" w:type="dxa"/>
              <w:top w:w="15" w:type="dxa"/>
              <w:right w:w="15" w:type="dxa"/>
              <w:bottom w:w="15" w:type="dxa"/>
            </w:tcMar>
            <w:tcW w:w="2549" w:type="dxa"/>
            <w:vAlign w:val="center"/>
          </w:tcPr>
          <w:p w14:paraId="0C2ED878">
            <w:pPr>
              <w:pBdr/>
              <w:spacing w:after="0" w:before="0" w:line="240"/>
              <w:ind/>
              <w:rPr/>
            </w:pPr>
            <w:r>
              <w:rPr>
                <w:rFonts w:ascii="Times New Roman" w:hAnsi="Times New Roman" w:eastAsia="Times New Roman" w:cs="Times New Roman"/>
                <w:color w:val="000000"/>
                <w:sz w:val="24"/>
              </w:rPr>
              <w:t xml:space="preserve">Schema immutability</w:t>
            </w:r>
            <w:r/>
          </w:p>
        </w:tc>
        <w:tc>
          <w:tcPr>
            <w:tcBorders/>
            <w:tcMar>
              <w:left w:w="15" w:type="dxa"/>
              <w:top w:w="15" w:type="dxa"/>
              <w:right w:w="15" w:type="dxa"/>
              <w:bottom w:w="15" w:type="dxa"/>
            </w:tcMar>
            <w:tcW w:w="6806" w:type="dxa"/>
            <w:vAlign w:val="center"/>
          </w:tcPr>
          <w:p w14:paraId="39D60E43">
            <w:pPr>
              <w:pBdr/>
              <w:spacing w:after="0" w:before="0" w:line="240"/>
              <w:ind/>
              <w:rPr/>
            </w:pPr>
            <w:r>
              <w:rPr>
                <w:rFonts w:ascii="Times New Roman" w:hAnsi="Times New Roman" w:eastAsia="Times New Roman" w:cs="Times New Roman"/>
                <w:color w:val="000000"/>
                <w:sz w:val="24"/>
              </w:rPr>
              <w:t xml:space="preserve">New metric = catalog row. New source = catalog row. Zero DDL for either.</w:t>
            </w:r>
            <w:r/>
          </w:p>
        </w:tc>
      </w:tr>
      <w:tr>
        <w:trPr/>
        <w:tc>
          <w:tcPr>
            <w:tcBorders/>
            <w:tcMar>
              <w:left w:w="15" w:type="dxa"/>
              <w:top w:w="15" w:type="dxa"/>
              <w:right w:w="15" w:type="dxa"/>
              <w:bottom w:w="15" w:type="dxa"/>
            </w:tcMar>
            <w:tcW w:w="2549" w:type="dxa"/>
            <w:vAlign w:val="center"/>
          </w:tcPr>
          <w:p w14:paraId="2805590B">
            <w:pPr>
              <w:pBdr/>
              <w:spacing w:after="0" w:before="0" w:line="240"/>
              <w:ind/>
              <w:rPr/>
            </w:pPr>
            <w:r>
              <w:rPr>
                <w:rFonts w:ascii="Times New Roman" w:hAnsi="Times New Roman" w:eastAsia="Times New Roman" w:cs="Times New Roman"/>
                <w:color w:val="000000"/>
                <w:sz w:val="24"/>
              </w:rPr>
              <w:t xml:space="preserve">Extensibility proof</w:t>
            </w:r>
            <w:r/>
          </w:p>
        </w:tc>
        <w:tc>
          <w:tcPr>
            <w:tcBorders/>
            <w:tcMar>
              <w:left w:w="15" w:type="dxa"/>
              <w:top w:w="15" w:type="dxa"/>
              <w:right w:w="15" w:type="dxa"/>
              <w:bottom w:w="15" w:type="dxa"/>
            </w:tcMar>
            <w:tcW w:w="6806" w:type="dxa"/>
            <w:vAlign w:val="center"/>
          </w:tcPr>
          <w:p w14:paraId="2397FF48">
            <w:pPr>
              <w:pBdr/>
              <w:spacing w:after="0" w:before="0" w:line="240"/>
              <w:ind/>
              <w:rPr/>
            </w:pPr>
            <w:r>
              <w:rPr>
                <w:rFonts w:ascii="Times New Roman" w:hAnsi="Times New Roman" w:eastAsia="Times New Roman" w:cs="Times New Roman"/>
                <w:color w:val="000000"/>
                <w:sz w:val="24"/>
              </w:rPr>
              <w:t xml:space="preserve">Verified: equities, new metrics, new sources all require zero DDL changes</w:t>
            </w:r>
            <w:r/>
          </w:p>
        </w:tc>
      </w:tr>
    </w:tbl>
    <w:p w14:paraId="0F49E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4 is the gate. The schema is locked. Thread 5 takes this schema as immutable input and specifies how existing sources are adapted to fill it — collection agents, adapter contracts, landing zone design, gap analysis, and migration plan from any salva</w:t>
      </w:r>
      <w:r>
        <w:rPr>
          <w:rFonts w:ascii="Times New Roman" w:hAnsi="Times New Roman" w:eastAsia="Times New Roman" w:cs="Times New Roman"/>
          <w:color w:val="000000"/>
          <w:sz w:val="24"/>
        </w:rPr>
        <w:t xml:space="preserve">geable existing data.</w:t>
      </w:r>
      <w:r/>
    </w:p>
    <w:p w14:paraId="17F041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Ready to proceed to Thread 5?</w:t>
      </w:r>
      <w:r/>
    </w:p>
    <w:p w14:paraId="29669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Proceed</w:t>
      </w:r>
      <w:r/>
    </w:p>
    <w:p w14:paraId="666CB4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12:18 PM</w:t>
      </w:r>
      <w:r/>
    </w:p>
    <w:p w14:paraId="2AD106CB">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Architected data pipeline framework with standardized adapter contracts</w:t>
      </w:r>
      <w:r/>
    </w:p>
    <w:p w14:paraId="44B88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Architected data pipeline framework with standardized adapter contracts</w:t>
      </w:r>
      <w:r/>
    </w:p>
    <w:p w14:paraId="0439C0D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Thread 5: Normalization &amp; Collection (Layers 1 + 2)</w:t>
      </w:r>
      <w:r/>
    </w:p>
    <w:p w14:paraId="232054C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This Thread Produces</w:t>
      </w:r>
      <w:r/>
    </w:p>
    <w:p w14:paraId="6DFFE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Thread 4 locked the canonical schema. Thread 5 specifies everything below it:</w:t>
      </w:r>
      <w:r/>
    </w:p>
    <w:p w14:paraId="77FF7D72">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landing zone — where raw source data lives before normalization</w:t>
      </w:r>
      <w:r/>
    </w:p>
    <w:p w14:paraId="2F27A12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adapter contract — the exact interface every adapter must implement</w:t>
      </w:r>
      <w:r/>
    </w:p>
    <w:p w14:paraId="6731780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Per-source adapter specifications — field mappings, unit conversions, validation rules</w:t>
      </w:r>
      <w:r/>
    </w:p>
    <w:p w14:paraId="37BCBFF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gap analysis — what the canonical metric catalog requires vs. what sources provide</w:t>
      </w:r>
      <w:r/>
    </w:p>
    <w:p w14:paraId="059FB0A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Collection agent specifications — cadence, failure handling, retry logic</w:t>
      </w:r>
      <w:r/>
    </w:p>
    <w:p w14:paraId="40CDA4E5">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Migration plan — what salvageable data exists and how it enters the canonical store</w:t>
      </w:r>
      <w:r/>
    </w:p>
    <w:p w14:paraId="714F9A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governing principle of this entire thread:</w:t>
      </w:r>
      <w:r>
        <w:rPr>
          <w:rFonts w:ascii="Times New Roman" w:hAnsi="Times New Roman" w:eastAsia="Times New Roman" w:cs="Times New Roman"/>
          <w:color w:val="000000"/>
          <w:sz w:val="24"/>
        </w:rPr>
        <w:t xml:space="preserve"> Source structure is quarantined below the adapter layer. Nothing above Layer 2 ever sees a source-specific field name, unit, or identifier. When a source changes its API, only its adapter changes. When a source disappears, only its adapter and collection </w:t>
      </w:r>
      <w:r>
        <w:rPr>
          <w:rFonts w:ascii="Times New Roman" w:hAnsi="Times New Roman" w:eastAsia="Times New Roman" w:cs="Times New Roman"/>
          <w:color w:val="000000"/>
          <w:sz w:val="24"/>
        </w:rPr>
        <w:t xml:space="preserve">agent are replaced.</w:t>
      </w:r>
      <w:r/>
    </w:p>
    <w:p w14:paraId="30C95F0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Layer 1: Landing Zone Design</w:t>
      </w:r>
      <w:r/>
    </w:p>
    <w:p w14:paraId="2891F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landing zone is where collection agents write raw source data. It is append-only. Data is never modified after it lands. It is the audit trail of exactly what sources sent.</w:t>
      </w:r>
      <w:r/>
    </w:p>
    <w:p w14:paraId="056E8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Design decision: Schema-per-source landing tables, not a single raw table.</w:t>
      </w:r>
      <w:r/>
    </w:p>
    <w:p w14:paraId="6D054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Rationale: Raw source data is heterogeneous. Coinalyze sends different fields than FRED. Forcing both into a generic </w:t>
      </w:r>
      <w:r>
        <w:rPr>
          <w:rFonts w:ascii="Courier New" w:hAnsi="Courier New" w:eastAsia="Courier New" w:cs="Courier New"/>
          <w:color w:val="000000"/>
          <w:sz w:val="20"/>
        </w:rPr>
        <w:t xml:space="preserve">raw_payload JSONB</w:t>
      </w:r>
      <w:r>
        <w:rPr>
          <w:rFonts w:ascii="Times New Roman" w:hAnsi="Times New Roman" w:eastAsia="Times New Roman" w:cs="Times New Roman"/>
          <w:color w:val="000000"/>
          <w:sz w:val="24"/>
        </w:rPr>
        <w:t xml:space="preserve"> table works but makes the adapter's job harder and makes debugging opaque. Per-source landing tables preserve source structure exactly, make adapter mapping explicit, and make data quality issues immediately visible.</w:t>
      </w:r>
      <w:r/>
    </w:p>
    <w:p w14:paraId="43D8B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tradeoff: adding a new source requires a new landing table. This is acceptable — new sources are infrequent and the table is created once.</w:t>
      </w:r>
      <w:r/>
    </w:p>
    <w:p w14:paraId="47EA3D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 contract:</w:t>
      </w:r>
      <w:r/>
    </w:p>
    <w:p w14:paraId="610C3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landing table must have these columns regardless of what else it contains:</w:t>
      </w:r>
      <w:r/>
    </w:p>
    <w:p w14:paraId="62A9E7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651F8F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Required on every landing table</w:t>
      </w:r>
      <w:r/>
    </w:p>
    <w:p w14:paraId="00989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when the agent fetched this</w:t>
      </w:r>
      <w:r/>
    </w:p>
    <w:p w14:paraId="343BD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FK to collection_events</w:t>
      </w:r>
      <w:r/>
    </w:p>
    <w:p w14:paraId="275750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p>
    <w:p w14:paraId="56831E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processed_at    TIMESTAMPTZ</w:t>
      </w:r>
      <w:r/>
    </w:p>
    <w:p w14:paraId="726D1F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is_processed</w:t>
      </w:r>
      <w:r>
        <w:rPr>
          <w:rFonts w:ascii="Times New Roman" w:hAnsi="Times New Roman" w:eastAsia="Times New Roman" w:cs="Times New Roman"/>
          <w:color w:val="000000"/>
          <w:sz w:val="24"/>
        </w:rPr>
        <w:t xml:space="preserve"> is set to true by the adapter after successful normalization. This allows the adapter to resume from the last unprocessed record after a failure. It also allows auditing of adapter lag: </w:t>
      </w:r>
      <w:r>
        <w:rPr>
          <w:rFonts w:ascii="Courier New" w:hAnsi="Courier New" w:eastAsia="Courier New" w:cs="Courier New"/>
          <w:color w:val="000000"/>
          <w:sz w:val="20"/>
        </w:rPr>
        <w:t xml:space="preserve">WHERE is_processed = false</w:t>
      </w:r>
      <w:r>
        <w:rPr>
          <w:rFonts w:ascii="Times New Roman" w:hAnsi="Times New Roman" w:eastAsia="Times New Roman" w:cs="Times New Roman"/>
          <w:color w:val="000000"/>
          <w:sz w:val="24"/>
        </w:rPr>
        <w:t xml:space="preserve"> shows the backlog.</w:t>
      </w:r>
      <w:r/>
    </w:p>
    <w:p w14:paraId="22EF3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Landing data is retained for 90 days then archived to cold storage. The canonical observations table is the record of truth — landing zone is the ingestion buffer and short-term audit trail.</w:t>
      </w:r>
      <w:r/>
    </w:p>
    <w:p w14:paraId="536AF20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Layer 2: Adapter Contract</w:t>
      </w:r>
      <w:r/>
    </w:p>
    <w:p w14:paraId="562D0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adapter implements the same interface. This is the contract between the collection layer and the canonical store.</w:t>
      </w:r>
      <w:r/>
    </w:p>
    <w:p w14:paraId="2F0160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Adapter responsibilities (exactly these, no more, no less):</w:t>
      </w:r>
      <w:r/>
    </w:p>
    <w:p w14:paraId="613BBE3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 unprocessed records from its landing table</w:t>
      </w:r>
      <w:r/>
    </w:p>
    <w:p w14:paraId="0D5E3C0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 source-specific field names to canonical metric names</w:t>
      </w:r>
      <w:r/>
    </w:p>
    <w:p w14:paraId="3E25C52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Convert units to canonical units</w:t>
      </w:r>
      <w:r/>
    </w:p>
    <w:p w14:paraId="7A4C8B92">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Resolve source instrument identifiers to canonical </w:t>
      </w:r>
      <w:r>
        <w:rPr>
          <w:rFonts w:ascii="Courier New" w:hAnsi="Courier New" w:eastAsia="Courier New" w:cs="Courier New"/>
          <w:color w:val="000000"/>
          <w:sz w:val="20"/>
        </w:rPr>
        <w:t xml:space="preserve">instrument_id</w:t>
      </w:r>
      <w:r/>
    </w:p>
    <w:p w14:paraId="20F2D4C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Resolve source metric identifiers to canonical </w:t>
      </w:r>
      <w:r>
        <w:rPr>
          <w:rFonts w:ascii="Courier New" w:hAnsi="Courier New" w:eastAsia="Courier New" w:cs="Courier New"/>
          <w:color w:val="000000"/>
          <w:sz w:val="20"/>
        </w:rPr>
        <w:t xml:space="preserve">metric_id</w:t>
      </w:r>
      <w:r/>
    </w:p>
    <w:p w14:paraId="36E7B0D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Validate values against metric catalog definitions (range, type, nullability)</w:t>
      </w:r>
      <w:r/>
    </w:p>
    <w:p w14:paraId="03E1E62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Write validated observations to the canonical </w:t>
      </w:r>
      <w:r>
        <w:rPr>
          <w:rFonts w:ascii="Courier New" w:hAnsi="Courier New" w:eastAsia="Courier New" w:cs="Courier New"/>
          <w:color w:val="000000"/>
          <w:sz w:val="20"/>
        </w:rPr>
        <w:t xml:space="preserve">observations</w:t>
      </w:r>
      <w:r>
        <w:rPr>
          <w:rFonts w:ascii="Times New Roman" w:hAnsi="Times New Roman" w:eastAsia="Times New Roman" w:cs="Times New Roman"/>
          <w:color w:val="000000"/>
          <w:sz w:val="24"/>
        </w:rPr>
        <w:t xml:space="preserve"> table</w:t>
      </w:r>
      <w:r/>
    </w:p>
    <w:p w14:paraId="0FB42F75">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Write rejected observations to </w:t>
      </w:r>
      <w:r>
        <w:rPr>
          <w:rFonts w:ascii="Courier New" w:hAnsi="Courier New" w:eastAsia="Courier New" w:cs="Courier New"/>
          <w:color w:val="000000"/>
          <w:sz w:val="20"/>
        </w:rPr>
        <w:t xml:space="preserve">observations_rejected</w:t>
      </w:r>
      <w:r>
        <w:rPr>
          <w:rFonts w:ascii="Times New Roman" w:hAnsi="Times New Roman" w:eastAsia="Times New Roman" w:cs="Times New Roman"/>
          <w:color w:val="000000"/>
          <w:sz w:val="24"/>
        </w:rPr>
        <w:t xml:space="preserve"> with rejection code and raw payload</w:t>
      </w:r>
      <w:r/>
    </w:p>
    <w:p w14:paraId="387D3D6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processed landing records as </w:t>
      </w:r>
      <w:r>
        <w:rPr>
          <w:rFonts w:ascii="Courier New" w:hAnsi="Courier New" w:eastAsia="Courier New" w:cs="Courier New"/>
          <w:color w:val="000000"/>
          <w:sz w:val="20"/>
        </w:rPr>
        <w:t xml:space="preserve">is_processed = true</w:t>
      </w:r>
      <w:r/>
    </w:p>
    <w:p w14:paraId="7252828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Write a </w:t>
      </w:r>
      <w:r>
        <w:rPr>
          <w:rFonts w:ascii="Courier New" w:hAnsi="Courier New" w:eastAsia="Courier New" w:cs="Courier New"/>
          <w:color w:val="000000"/>
          <w:sz w:val="20"/>
        </w:rPr>
        <w:t xml:space="preserve">collection_events</w:t>
      </w:r>
      <w:r>
        <w:rPr>
          <w:rFonts w:ascii="Times New Roman" w:hAnsi="Times New Roman" w:eastAsia="Times New Roman" w:cs="Times New Roman"/>
          <w:color w:val="000000"/>
          <w:sz w:val="24"/>
        </w:rPr>
        <w:t xml:space="preserve"> record on completion</w:t>
      </w:r>
      <w:r/>
    </w:p>
    <w:p w14:paraId="20C009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Adapter must NOT:</w:t>
      </w:r>
      <w:r/>
    </w:p>
    <w:p w14:paraId="0582B4A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 external APIs (that is the collection agent's job)</w:t>
      </w:r>
      <w:r/>
    </w:p>
    <w:p w14:paraId="7F83488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Make decisions about metric definitions (those are in the metric catalog)</w:t>
      </w:r>
      <w:r/>
    </w:p>
    <w:p w14:paraId="4E937018">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Silently drop invalid data (everything goes to dead letter)</w:t>
      </w:r>
      <w:r/>
    </w:p>
    <w:p w14:paraId="57F5BCC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Transform values in ways not documented in the adapter specification</w:t>
      </w:r>
      <w:r/>
    </w:p>
    <w:p w14:paraId="1A8DAC0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Know anything about the signal layer, feature layer, or what metrics are used for</w:t>
      </w:r>
      <w:r/>
    </w:p>
    <w:p w14:paraId="7FE6A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Adapter output row — this is the exact insert to the observations table:</w:t>
      </w:r>
      <w:r/>
    </w:p>
    <w:p w14:paraId="424E2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python</w:t>
      </w:r>
      <w:r/>
    </w:p>
    <w:p w14:paraId="5609E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ObservationRow</w:t>
      </w:r>
      <w:r>
        <w:rPr>
          <w:rFonts w:ascii="Times New Roman" w:hAnsi="Times New Roman" w:eastAsia="Times New Roman" w:cs="Times New Roman"/>
          <w:color w:val="d3d7de"/>
          <w:sz w:val="24"/>
        </w:rPr>
        <w:t xml:space="preserve">(</w:t>
      </w:r>
      <w:r/>
    </w:p>
    <w:p w14:paraId="1C2CF7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 resolved_instrument_id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UUID from instruments catalog</w:t>
      </w:r>
      <w:r/>
    </w:p>
    <w:p w14:paraId="413B12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metric_id           = resolved_metric_id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UUID from metrics catalog</w:t>
      </w:r>
      <w:r/>
    </w:p>
    <w:p w14:paraId="23231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source_id           = self</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source_id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UUID from sources catalog</w:t>
      </w:r>
      <w:r/>
    </w:p>
    <w:p w14:paraId="189D1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valid_from          = observation_timestamp</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when value was true in the world</w:t>
      </w:r>
      <w:r/>
    </w:p>
    <w:p w14:paraId="0CA13A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valid_to            = </w:t>
      </w:r>
      <w:r>
        <w:rPr>
          <w:rFonts w:ascii="Times New Roman" w:hAnsi="Times New Roman" w:eastAsia="Times New Roman" w:cs="Times New Roman"/>
          <w:color w:val="5eeded"/>
          <w:sz w:val="24"/>
        </w:rPr>
        <w:t xml:space="preserve">None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current observation</w:t>
      </w:r>
      <w:r/>
    </w:p>
    <w:p w14:paraId="62D62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ingested_at         = datetime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utcnow</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now</w:t>
      </w:r>
      <w:r/>
    </w:p>
    <w:p w14:paraId="03E86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 landing_record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collected_at</w:t>
      </w:r>
      <w:r>
        <w:rPr>
          <w:rFonts w:ascii="Times New Roman" w:hAnsi="Times New Roman" w:eastAsia="Times New Roman" w:cs="Times New Roman"/>
          <w:color w:val="d3d7de"/>
          <w:sz w:val="24"/>
        </w:rPr>
        <w:t xml:space="preserve">,</w:t>
      </w:r>
      <w:r/>
    </w:p>
    <w:p w14:paraId="7134D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value_numeric       = normalized_value</w:t>
      </w:r>
      <w:r>
        <w:rPr>
          <w:rFonts w:ascii="Times New Roman" w:hAnsi="Times New Roman" w:eastAsia="Times New Roman" w:cs="Times New Roman"/>
          <w:color w:val="d3d7de"/>
          <w:sz w:val="24"/>
        </w:rPr>
        <w:t xml:space="preserve">,</w:t>
      </w:r>
      <w:r/>
    </w:p>
    <w:p w14:paraId="6D9E9A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value_text          = </w:t>
      </w:r>
      <w:r>
        <w:rPr>
          <w:rFonts w:ascii="Times New Roman" w:hAnsi="Times New Roman" w:eastAsia="Times New Roman" w:cs="Times New Roman"/>
          <w:color w:val="5eeded"/>
          <w:sz w:val="24"/>
        </w:rPr>
        <w:t xml:space="preserve">None</w:t>
      </w:r>
      <w:r>
        <w:rPr>
          <w:rFonts w:ascii="Times New Roman" w:hAnsi="Times New Roman" w:eastAsia="Times New Roman" w:cs="Times New Roman"/>
          <w:color w:val="d3d7de"/>
          <w:sz w:val="24"/>
        </w:rPr>
        <w:t xml:space="preserve">,</w:t>
      </w:r>
      <w:r/>
    </w:p>
    <w:p w14:paraId="12FAF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is_validated        = </w:t>
      </w:r>
      <w:r>
        <w:rPr>
          <w:rFonts w:ascii="Times New Roman" w:hAnsi="Times New Roman" w:eastAsia="Times New Roman" w:cs="Times New Roman"/>
          <w:color w:val="5eeded"/>
          <w:sz w:val="24"/>
        </w:rPr>
        <w:t xml:space="preserve">True</w:t>
      </w:r>
      <w:r>
        <w:rPr>
          <w:rFonts w:ascii="Times New Roman" w:hAnsi="Times New Roman" w:eastAsia="Times New Roman" w:cs="Times New Roman"/>
          <w:color w:val="d3d7de"/>
          <w:sz w:val="24"/>
        </w:rPr>
        <w:t xml:space="preserve">,</w:t>
      </w:r>
      <w:r/>
    </w:p>
    <w:p w14:paraId="1F6A4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validation_flags    = </w:t>
      </w:r>
      <w:r>
        <w:rPr>
          <w:rFonts w:ascii="Times New Roman" w:hAnsi="Times New Roman" w:eastAsia="Times New Roman" w:cs="Times New Roman"/>
          <w:color w:val="d3d7de"/>
          <w:sz w:val="24"/>
        </w:rPr>
        <w:t xml:space="preserve">{}</w:t>
      </w:r>
      <w:r/>
    </w:p>
    <w:p w14:paraId="035A1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1CC159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Instrument resolution:</w:t>
      </w:r>
      <w:r>
        <w:rPr>
          <w:rFonts w:ascii="Times New Roman" w:hAnsi="Times New Roman" w:eastAsia="Times New Roman" w:cs="Times New Roman"/>
          <w:color w:val="000000"/>
          <w:sz w:val="24"/>
        </w:rPr>
        <w:t xml:space="preserve"> The adapter maintains a local mapping table: </w:t>
      </w:r>
      <w:r>
        <w:rPr>
          <w:rFonts w:ascii="Courier New" w:hAnsi="Courier New" w:eastAsia="Courier New" w:cs="Courier New"/>
          <w:color w:val="000000"/>
          <w:sz w:val="20"/>
        </w:rPr>
        <w:t xml:space="preserve">source_symbol → canonical_symbol → instrument_id</w:t>
      </w:r>
      <w:r>
        <w:rPr>
          <w:rFonts w:ascii="Times New Roman" w:hAnsi="Times New Roman" w:eastAsia="Times New Roman" w:cs="Times New Roman"/>
          <w:color w:val="000000"/>
          <w:sz w:val="24"/>
        </w:rPr>
        <w:t xml:space="preserve">. When a source sends "BTCUSDT", the adapter maps it to canonical symbol "BTC" and resolves the UUID. Unknown symbols go to dead letter with code </w:t>
      </w:r>
      <w:r>
        <w:rPr>
          <w:rFonts w:ascii="Courier New" w:hAnsi="Courier New" w:eastAsia="Courier New" w:cs="Courier New"/>
          <w:color w:val="000000"/>
          <w:sz w:val="20"/>
        </w:rPr>
        <w:t xml:space="preserve">UNKNOWN_INSTRUMENT</w:t>
      </w:r>
      <w:r>
        <w:rPr>
          <w:rFonts w:ascii="Times New Roman" w:hAnsi="Times New Roman" w:eastAsia="Times New Roman" w:cs="Times New Roman"/>
          <w:color w:val="000000"/>
          <w:sz w:val="24"/>
        </w:rPr>
        <w:t xml:space="preserve">. New instruments must be registered in the instruments catalog before their data can be processed — the adapter never creates catalog entries.</w:t>
      </w:r>
      <w:r/>
    </w:p>
    <w:p w14:paraId="4D1733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Validation rules applied by every adapter:</w:t>
      </w:r>
      <w:r/>
    </w:p>
    <w:p w14:paraId="1DBD06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python</w:t>
      </w:r>
      <w:r/>
    </w:p>
    <w:p w14:paraId="24C850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def</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validate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metric_definition</w:t>
      </w:r>
      <w:r>
        <w:rPr>
          <w:rFonts w:ascii="Times New Roman" w:hAnsi="Times New Roman" w:eastAsia="Times New Roman" w:cs="Times New Roman"/>
          <w:color w:val="d3d7de"/>
          <w:sz w:val="24"/>
        </w:rPr>
        <w:t xml:space="preserve">):</w:t>
      </w:r>
      <w:r/>
    </w:p>
    <w:p w14:paraId="0314F1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Type check</w:t>
      </w:r>
      <w:r/>
    </w:p>
    <w:p w14:paraId="56A6C6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metric_definition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value_type == </w:t>
      </w:r>
      <w:r>
        <w:rPr>
          <w:rFonts w:ascii="Times New Roman" w:hAnsi="Times New Roman" w:eastAsia="Times New Roman" w:cs="Times New Roman"/>
          <w:color w:val="9be963"/>
          <w:sz w:val="24"/>
        </w:rPr>
        <w:t xml:space="preserve">'numeric'</w:t>
      </w:r>
      <w:r>
        <w:rPr>
          <w:rFonts w:ascii="Times New Roman" w:hAnsi="Times New Roman" w:eastAsia="Times New Roman" w:cs="Times New Roman"/>
          <w:color w:val="d3d7de"/>
          <w:sz w:val="24"/>
        </w:rPr>
        <w:t xml:space="preserve">:</w:t>
      </w:r>
      <w:r/>
    </w:p>
    <w:p w14:paraId="5343D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not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bad60"/>
          <w:sz w:val="24"/>
        </w:rPr>
        <w:t xml:space="preserve">isinstance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fbad60"/>
          <w:sz w:val="24"/>
        </w:rPr>
        <w:t xml:space="preserve">int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bad60"/>
          <w:sz w:val="24"/>
        </w:rPr>
        <w:t xml:space="preserve">float</w:t>
      </w:r>
      <w:r>
        <w:rPr>
          <w:rFonts w:ascii="Times New Roman" w:hAnsi="Times New Roman" w:eastAsia="Times New Roman" w:cs="Times New Roman"/>
          <w:color w:val="d3d7de"/>
          <w:sz w:val="24"/>
        </w:rPr>
        <w:t xml:space="preserve">)):</w:t>
      </w:r>
      <w:r/>
    </w:p>
    <w:p w14:paraId="0BE19D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raise</w:t>
      </w:r>
      <w:r>
        <w:rPr>
          <w:rFonts w:ascii="Times New Roman" w:hAnsi="Times New Roman" w:eastAsia="Times New Roman" w:cs="Times New Roman"/>
          <w:color w:val="eaecf0"/>
          <w:sz w:val="24"/>
        </w:rPr>
        <w:t xml:space="preserve"> ValidationError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'TYPE_MISMATCH'</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value</w:t>
      </w:r>
      <w:r>
        <w:rPr>
          <w:rFonts w:ascii="Times New Roman" w:hAnsi="Times New Roman" w:eastAsia="Times New Roman" w:cs="Times New Roman"/>
          <w:color w:val="d3d7de"/>
          <w:sz w:val="24"/>
        </w:rPr>
        <w:t xml:space="preserve">)</w:t>
      </w:r>
      <w:r/>
    </w:p>
    <w:p w14:paraId="5D63CA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413C3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Null check</w:t>
      </w:r>
      <w:r/>
    </w:p>
    <w:p w14:paraId="09BC57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value </w:t>
      </w:r>
      <w:r>
        <w:rPr>
          <w:rFonts w:ascii="Times New Roman" w:hAnsi="Times New Roman" w:eastAsia="Times New Roman" w:cs="Times New Roman"/>
          <w:color w:val="cc7bf4"/>
          <w:sz w:val="24"/>
        </w:rPr>
        <w:t xml:space="preserve">is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None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and</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not</w:t>
      </w:r>
      <w:r>
        <w:rPr>
          <w:rFonts w:ascii="Times New Roman" w:hAnsi="Times New Roman" w:eastAsia="Times New Roman" w:cs="Times New Roman"/>
          <w:color w:val="eaecf0"/>
          <w:sz w:val="24"/>
        </w:rPr>
        <w:t xml:space="preserve"> metric_definition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is_nullable</w:t>
      </w:r>
      <w:r>
        <w:rPr>
          <w:rFonts w:ascii="Times New Roman" w:hAnsi="Times New Roman" w:eastAsia="Times New Roman" w:cs="Times New Roman"/>
          <w:color w:val="d3d7de"/>
          <w:sz w:val="24"/>
        </w:rPr>
        <w:t xml:space="preserve">:</w:t>
      </w:r>
      <w:r/>
    </w:p>
    <w:p w14:paraId="7C877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raise</w:t>
      </w:r>
      <w:r>
        <w:rPr>
          <w:rFonts w:ascii="Times New Roman" w:hAnsi="Times New Roman" w:eastAsia="Times New Roman" w:cs="Times New Roman"/>
          <w:color w:val="eaecf0"/>
          <w:sz w:val="24"/>
        </w:rPr>
        <w:t xml:space="preserve"> ValidationError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'NULL_VIOLATION'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value</w:t>
      </w:r>
      <w:r>
        <w:rPr>
          <w:rFonts w:ascii="Times New Roman" w:hAnsi="Times New Roman" w:eastAsia="Times New Roman" w:cs="Times New Roman"/>
          <w:color w:val="d3d7de"/>
          <w:sz w:val="24"/>
        </w:rPr>
        <w:t xml:space="preserve">)</w:t>
      </w:r>
      <w:r/>
    </w:p>
    <w:p w14:paraId="30725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188E1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Range check</w:t>
      </w:r>
      <w:r/>
    </w:p>
    <w:p w14:paraId="7956D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metric_definition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expected_range_low </w:t>
      </w:r>
      <w:r>
        <w:rPr>
          <w:rFonts w:ascii="Times New Roman" w:hAnsi="Times New Roman" w:eastAsia="Times New Roman" w:cs="Times New Roman"/>
          <w:color w:val="cc7bf4"/>
          <w:sz w:val="24"/>
        </w:rPr>
        <w:t xml:space="preserve">is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not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None</w:t>
      </w:r>
      <w:r>
        <w:rPr>
          <w:rFonts w:ascii="Times New Roman" w:hAnsi="Times New Roman" w:eastAsia="Times New Roman" w:cs="Times New Roman"/>
          <w:color w:val="d3d7de"/>
          <w:sz w:val="24"/>
        </w:rPr>
        <w:t xml:space="preserve">:</w:t>
      </w:r>
      <w:r/>
    </w:p>
    <w:p w14:paraId="4481C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value &lt; metric_definition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expected_range_low</w:t>
      </w:r>
      <w:r>
        <w:rPr>
          <w:rFonts w:ascii="Times New Roman" w:hAnsi="Times New Roman" w:eastAsia="Times New Roman" w:cs="Times New Roman"/>
          <w:color w:val="d3d7de"/>
          <w:sz w:val="24"/>
        </w:rPr>
        <w:t xml:space="preserve">:</w:t>
      </w:r>
      <w:r/>
    </w:p>
    <w:p w14:paraId="19BE0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raise</w:t>
      </w:r>
      <w:r>
        <w:rPr>
          <w:rFonts w:ascii="Times New Roman" w:hAnsi="Times New Roman" w:eastAsia="Times New Roman" w:cs="Times New Roman"/>
          <w:color w:val="eaecf0"/>
          <w:sz w:val="24"/>
        </w:rPr>
        <w:t xml:space="preserve"> ValidationError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'RANGE_VIOLATION'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value</w:t>
      </w:r>
      <w:r>
        <w:rPr>
          <w:rFonts w:ascii="Times New Roman" w:hAnsi="Times New Roman" w:eastAsia="Times New Roman" w:cs="Times New Roman"/>
          <w:color w:val="d3d7de"/>
          <w:sz w:val="24"/>
        </w:rPr>
        <w:t xml:space="preserve">)</w:t>
      </w:r>
      <w:r/>
    </w:p>
    <w:p w14:paraId="5F3DB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77C4F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metric_definition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expected_range_high </w:t>
      </w:r>
      <w:r>
        <w:rPr>
          <w:rFonts w:ascii="Times New Roman" w:hAnsi="Times New Roman" w:eastAsia="Times New Roman" w:cs="Times New Roman"/>
          <w:color w:val="cc7bf4"/>
          <w:sz w:val="24"/>
        </w:rPr>
        <w:t xml:space="preserve">is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not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None</w:t>
      </w:r>
      <w:r>
        <w:rPr>
          <w:rFonts w:ascii="Times New Roman" w:hAnsi="Times New Roman" w:eastAsia="Times New Roman" w:cs="Times New Roman"/>
          <w:color w:val="d3d7de"/>
          <w:sz w:val="24"/>
        </w:rPr>
        <w:t xml:space="preserve">:</w:t>
      </w:r>
      <w:r/>
    </w:p>
    <w:p w14:paraId="44B0F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value &gt; metric_definition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expected_range_high</w:t>
      </w:r>
      <w:r>
        <w:rPr>
          <w:rFonts w:ascii="Times New Roman" w:hAnsi="Times New Roman" w:eastAsia="Times New Roman" w:cs="Times New Roman"/>
          <w:color w:val="d3d7de"/>
          <w:sz w:val="24"/>
        </w:rPr>
        <w:t xml:space="preserve">:</w:t>
      </w:r>
      <w:r/>
    </w:p>
    <w:p w14:paraId="4638CF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raise</w:t>
      </w:r>
      <w:r>
        <w:rPr>
          <w:rFonts w:ascii="Times New Roman" w:hAnsi="Times New Roman" w:eastAsia="Times New Roman" w:cs="Times New Roman"/>
          <w:color w:val="eaecf0"/>
          <w:sz w:val="24"/>
        </w:rPr>
        <w:t xml:space="preserve"> ValidationError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'RANGE_VIOLATION'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value</w:t>
      </w:r>
      <w:r>
        <w:rPr>
          <w:rFonts w:ascii="Times New Roman" w:hAnsi="Times New Roman" w:eastAsia="Times New Roman" w:cs="Times New Roman"/>
          <w:color w:val="d3d7de"/>
          <w:sz w:val="24"/>
        </w:rPr>
        <w:t xml:space="preserve">)</w:t>
      </w:r>
      <w:r/>
    </w:p>
    <w:p w14:paraId="3AE3CD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1C0ED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return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True</w:t>
      </w:r>
      <w:r/>
    </w:p>
    <w:p w14:paraId="46D37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Range violations do not cause the entire batch to fail. Each observation is validated independently. A single bad value is dead-lettered; the rest of the batch continues.</w:t>
      </w:r>
      <w:r/>
    </w:p>
    <w:p w14:paraId="05B3A7B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Per-Source Specifications</w:t>
      </w:r>
      <w:r/>
    </w:p>
    <w:p w14:paraId="59FCE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source gets a complete specification: landing table, collection agent, field mappings, unit conversions, known issues, and failure handling.</w:t>
      </w:r>
      <w:r/>
    </w:p>
    <w:p w14:paraId="3AE3EECD">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 Coinalyze</w:t>
      </w:r>
      <w:r/>
    </w:p>
    <w:p w14:paraId="5D3988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it provides:</w:t>
      </w:r>
      <w:r>
        <w:rPr>
          <w:rFonts w:ascii="Times New Roman" w:hAnsi="Times New Roman" w:eastAsia="Times New Roman" w:cs="Times New Roman"/>
          <w:color w:val="000000"/>
          <w:sz w:val="24"/>
        </w:rPr>
        <w:t xml:space="preserve"> Perpetual futures metrics — funding rate, open interest, liquidations — across a large instrument universe. The highest-value source for the derivatives pillar.</w:t>
      </w:r>
      <w:r/>
    </w:p>
    <w:p w14:paraId="128C8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ToS status:</w:t>
      </w:r>
      <w:r>
        <w:rPr>
          <w:rFonts w:ascii="Times New Roman" w:hAnsi="Times New Roman" w:eastAsia="Times New Roman" w:cs="Times New Roman"/>
          <w:color w:val="000000"/>
          <w:sz w:val="24"/>
        </w:rPr>
        <w:t xml:space="preserve"> Free tier, commercial use unaudited. ToS audit required before any data redistribution product launches. Collection for internal signal generation is low risk.</w:t>
      </w:r>
      <w:r/>
    </w:p>
    <w:p w14:paraId="4DF6C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w:t>
      </w:r>
      <w:r/>
    </w:p>
    <w:p w14:paraId="012BD2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0A3028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landing_coinalyze </w:t>
      </w:r>
      <w:r>
        <w:rPr>
          <w:rFonts w:ascii="Times New Roman" w:hAnsi="Times New Roman" w:eastAsia="Times New Roman" w:cs="Times New Roman"/>
          <w:color w:val="d3d7de"/>
          <w:sz w:val="24"/>
        </w:rPr>
        <w:t xml:space="preserve">(</w:t>
      </w:r>
      <w:r/>
    </w:p>
    <w:p w14:paraId="4A777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36F505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7DF4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6B30A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symbol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3853A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open_time           </w:t>
      </w:r>
      <w:r>
        <w:rPr>
          <w:rFonts w:ascii="Times New Roman" w:hAnsi="Times New Roman" w:eastAsia="Times New Roman" w:cs="Times New Roman"/>
          <w:color w:val="cc7bf4"/>
          <w:sz w:val="24"/>
        </w:rPr>
        <w:t xml:space="preserve">BIGINT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Unix ms</w:t>
      </w:r>
      <w:r/>
    </w:p>
    <w:p w14:paraId="44E25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funding_rate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4FFD1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open_interest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4224B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open_interest_usd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55B2C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long_liquidations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58310E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short_liquidations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0044C6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628FE5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56272E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1DDD9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1F86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idx_landing_coinalyze_unprocessed</w:t>
      </w:r>
      <w:r/>
    </w:p>
    <w:p w14:paraId="493476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landing_coinalyze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collected_at</w:t>
      </w:r>
      <w:r>
        <w:rPr>
          <w:rFonts w:ascii="Times New Roman" w:hAnsi="Times New Roman" w:eastAsia="Times New Roman" w:cs="Times New Roman"/>
          <w:color w:val="d3d7de"/>
          <w:sz w:val="24"/>
        </w:rPr>
        <w:t xml:space="preserve">)</w:t>
      </w:r>
      <w:r/>
    </w:p>
    <w:p w14:paraId="5E64D1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is_processed =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42D1DD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Collection agent specification:</w:t>
      </w:r>
      <w:r/>
    </w:p>
    <w:p w14:paraId="46B6D4B4">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Cadence: every 8 hours, triggered at 00:05, 08:05, 16:05 UTC (5-minute offset to allow source settlement)</w:t>
      </w:r>
      <w:r/>
    </w:p>
    <w:p w14:paraId="55E239A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Endpoint: Coinalyze aggregated OHLCV/funding/OI endpoint</w:t>
      </w:r>
      <w:r/>
    </w:p>
    <w:p w14:paraId="6EA6EDFB">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Instruments: full instrument list, fetched and cached daily</w:t>
      </w:r>
      <w:r/>
    </w:p>
    <w:p w14:paraId="42FC9FF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Failure handling: retry 3× with exponential backoff (30s, 120s, 480s). On third failure, log to collection_events with status </w:t>
      </w:r>
      <w:r>
        <w:rPr>
          <w:rFonts w:ascii="Courier New" w:hAnsi="Courier New" w:eastAsia="Courier New" w:cs="Courier New"/>
          <w:color w:val="000000"/>
          <w:sz w:val="20"/>
        </w:rPr>
        <w:t xml:space="preserve">failed</w:t>
      </w:r>
      <w:r>
        <w:rPr>
          <w:rFonts w:ascii="Times New Roman" w:hAnsi="Times New Roman" w:eastAsia="Times New Roman" w:cs="Times New Roman"/>
          <w:color w:val="000000"/>
          <w:sz w:val="24"/>
        </w:rPr>
        <w:t xml:space="preserve">, alert. Do not retry indefinitely — stale data is preferable to a crashed agent.</w:t>
      </w:r>
      <w:r/>
    </w:p>
    <w:p w14:paraId="5E19E5E4">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Historical backfill: separate backfill agent, rate-limited, fills from earliest available date forward</w:t>
      </w:r>
      <w:r/>
    </w:p>
    <w:p w14:paraId="535383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Field mappings: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85"/>
        <w:gridCol w:w="1674"/>
        <w:gridCol w:w="4111"/>
        <w:gridCol w:w="2885"/>
      </w:tblGrid>
      <w:tr>
        <w:trPr/>
        <w:tc>
          <w:tcPr>
            <w:tcBorders/>
            <w:tcMar>
              <w:left w:w="15" w:type="dxa"/>
              <w:top w:w="15" w:type="dxa"/>
              <w:right w:w="15" w:type="dxa"/>
              <w:bottom w:w="15" w:type="dxa"/>
            </w:tcMar>
            <w:tcW w:w="685" w:type="dxa"/>
            <w:vAlign w:val="center"/>
          </w:tcPr>
          <w:p w14:paraId="5B5A6B24">
            <w:pPr>
              <w:pBdr/>
              <w:spacing w:after="0" w:before="0" w:line="240"/>
              <w:ind/>
              <w:jc w:val="center"/>
              <w:rPr/>
            </w:pPr>
            <w:r>
              <w:rPr>
                <w:rFonts w:ascii="Times New Roman" w:hAnsi="Times New Roman" w:eastAsia="Times New Roman" w:cs="Times New Roman"/>
                <w:b/>
                <w:color w:val="000000"/>
                <w:sz w:val="24"/>
              </w:rPr>
              <w:t xml:space="preserve">Source field</w:t>
            </w:r>
            <w:r/>
          </w:p>
        </w:tc>
        <w:tc>
          <w:tcPr>
            <w:tcBorders/>
            <w:tcMar>
              <w:left w:w="15" w:type="dxa"/>
              <w:top w:w="15" w:type="dxa"/>
              <w:right w:w="15" w:type="dxa"/>
              <w:bottom w:w="15" w:type="dxa"/>
            </w:tcMar>
            <w:tcW w:w="1674" w:type="dxa"/>
            <w:vAlign w:val="center"/>
          </w:tcPr>
          <w:p w14:paraId="08F8F148">
            <w:pPr>
              <w:pBdr/>
              <w:spacing w:after="0" w:before="0" w:line="240"/>
              <w:ind/>
              <w:jc w:val="center"/>
              <w:rPr/>
            </w:pPr>
            <w:r>
              <w:rPr>
                <w:rFonts w:ascii="Times New Roman" w:hAnsi="Times New Roman" w:eastAsia="Times New Roman" w:cs="Times New Roman"/>
                <w:b/>
                <w:color w:val="000000"/>
                <w:sz w:val="24"/>
              </w:rPr>
              <w:t xml:space="preserve">Canonical metric</w:t>
            </w:r>
            <w:r/>
          </w:p>
        </w:tc>
        <w:tc>
          <w:tcPr>
            <w:tcBorders/>
            <w:tcMar>
              <w:left w:w="15" w:type="dxa"/>
              <w:top w:w="15" w:type="dxa"/>
              <w:right w:w="15" w:type="dxa"/>
              <w:bottom w:w="15" w:type="dxa"/>
            </w:tcMar>
            <w:tcW w:w="4111" w:type="dxa"/>
            <w:vAlign w:val="center"/>
          </w:tcPr>
          <w:p w14:paraId="4F8BDBE6">
            <w:pPr>
              <w:pBdr/>
              <w:spacing w:after="0" w:before="0" w:line="240"/>
              <w:ind/>
              <w:jc w:val="center"/>
              <w:rPr/>
            </w:pPr>
            <w:r>
              <w:rPr>
                <w:rFonts w:ascii="Times New Roman" w:hAnsi="Times New Roman" w:eastAsia="Times New Roman" w:cs="Times New Roman"/>
                <w:b/>
                <w:color w:val="000000"/>
                <w:sz w:val="24"/>
              </w:rPr>
              <w:t xml:space="preserve">Unit conversion</w:t>
            </w:r>
            <w:r/>
          </w:p>
        </w:tc>
        <w:tc>
          <w:tcPr>
            <w:tcBorders/>
            <w:tcMar>
              <w:left w:w="15" w:type="dxa"/>
              <w:top w:w="15" w:type="dxa"/>
              <w:right w:w="15" w:type="dxa"/>
              <w:bottom w:w="15" w:type="dxa"/>
            </w:tcMar>
            <w:tcW w:w="2885" w:type="dxa"/>
            <w:vAlign w:val="center"/>
          </w:tcPr>
          <w:p w14:paraId="5D1228F3">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685" w:type="dxa"/>
            <w:vAlign w:val="center"/>
          </w:tcPr>
          <w:p w14:paraId="3C5810DA">
            <w:pPr>
              <w:pBdr/>
              <w:spacing w:after="0" w:before="0" w:line="240"/>
              <w:ind/>
              <w:rPr/>
            </w:pPr>
            <w:r>
              <w:rPr>
                <w:rFonts w:ascii="Courier New" w:hAnsi="Courier New" w:eastAsia="Courier New" w:cs="Courier New"/>
                <w:color w:val="000000"/>
                <w:sz w:val="20"/>
              </w:rPr>
              <w:t xml:space="preserve">funding_rate</w:t>
            </w:r>
            <w:r/>
          </w:p>
        </w:tc>
        <w:tc>
          <w:tcPr>
            <w:tcBorders/>
            <w:tcMar>
              <w:left w:w="15" w:type="dxa"/>
              <w:top w:w="15" w:type="dxa"/>
              <w:right w:w="15" w:type="dxa"/>
              <w:bottom w:w="15" w:type="dxa"/>
            </w:tcMar>
            <w:tcW w:w="1674" w:type="dxa"/>
            <w:vAlign w:val="center"/>
          </w:tcPr>
          <w:p w14:paraId="20B137CA">
            <w:pPr>
              <w:pBdr/>
              <w:spacing w:after="0" w:before="0" w:line="240"/>
              <w:ind/>
              <w:rPr/>
            </w:pPr>
            <w:r>
              <w:rPr>
                <w:rFonts w:ascii="Courier New" w:hAnsi="Courier New" w:eastAsia="Courier New" w:cs="Courier New"/>
                <w:color w:val="000000"/>
                <w:sz w:val="20"/>
              </w:rPr>
              <w:t xml:space="preserve">derivatives.perpetual.funding_rate</w:t>
            </w:r>
            <w:r/>
          </w:p>
        </w:tc>
        <w:tc>
          <w:tcPr>
            <w:tcBorders/>
            <w:tcMar>
              <w:left w:w="15" w:type="dxa"/>
              <w:top w:w="15" w:type="dxa"/>
              <w:right w:w="15" w:type="dxa"/>
              <w:bottom w:w="15" w:type="dxa"/>
            </w:tcMar>
            <w:tcW w:w="4111" w:type="dxa"/>
            <w:vAlign w:val="center"/>
          </w:tcPr>
          <w:p w14:paraId="584ACFBB">
            <w:pPr>
              <w:pBdr/>
              <w:spacing w:after="0" w:before="0" w:line="240"/>
              <w:ind/>
              <w:rPr/>
            </w:pPr>
            <w:r>
              <w:rPr>
                <w:rFonts w:ascii="Times New Roman" w:hAnsi="Times New Roman" w:eastAsia="Times New Roman" w:cs="Times New Roman"/>
                <w:color w:val="000000"/>
                <w:sz w:val="24"/>
              </w:rPr>
              <w:t xml:space="preserve">None — already rate per 8h</w:t>
            </w:r>
            <w:r/>
          </w:p>
        </w:tc>
        <w:tc>
          <w:tcPr>
            <w:tcBorders/>
            <w:tcMar>
              <w:left w:w="15" w:type="dxa"/>
              <w:top w:w="15" w:type="dxa"/>
              <w:right w:w="15" w:type="dxa"/>
              <w:bottom w:w="15" w:type="dxa"/>
            </w:tcMar>
            <w:tcW w:w="2885" w:type="dxa"/>
            <w:vAlign w:val="center"/>
          </w:tcPr>
          <w:p w14:paraId="6F513038">
            <w:pPr>
              <w:pBdr/>
              <w:spacing w:after="0" w:before="0" w:line="240"/>
              <w:ind/>
              <w:rPr/>
            </w:pPr>
            <w:r>
              <w:rPr>
                <w:rFonts w:ascii="Times New Roman" w:hAnsi="Times New Roman" w:eastAsia="Times New Roman" w:cs="Times New Roman"/>
                <w:color w:val="000000"/>
                <w:sz w:val="24"/>
              </w:rPr>
              <w:t xml:space="preserve">Validate range [-0.05, 0.05]. Values outside range dead-lettered with RANGE_VIOLATION.</w:t>
            </w:r>
            <w:r/>
          </w:p>
        </w:tc>
      </w:tr>
      <w:tr>
        <w:trPr/>
        <w:tc>
          <w:tcPr>
            <w:tcBorders/>
            <w:tcMar>
              <w:left w:w="15" w:type="dxa"/>
              <w:top w:w="15" w:type="dxa"/>
              <w:right w:w="15" w:type="dxa"/>
              <w:bottom w:w="15" w:type="dxa"/>
            </w:tcMar>
            <w:tcW w:w="685" w:type="dxa"/>
            <w:vAlign w:val="center"/>
          </w:tcPr>
          <w:p w14:paraId="680A9AA1">
            <w:pPr>
              <w:pBdr/>
              <w:spacing w:after="0" w:before="0" w:line="240"/>
              <w:ind/>
              <w:rPr/>
            </w:pPr>
            <w:r>
              <w:rPr>
                <w:rFonts w:ascii="Courier New" w:hAnsi="Courier New" w:eastAsia="Courier New" w:cs="Courier New"/>
                <w:color w:val="000000"/>
                <w:sz w:val="20"/>
              </w:rPr>
              <w:t xml:space="preserve">open_interest_usd</w:t>
            </w:r>
            <w:r/>
          </w:p>
        </w:tc>
        <w:tc>
          <w:tcPr>
            <w:tcBorders/>
            <w:tcMar>
              <w:left w:w="15" w:type="dxa"/>
              <w:top w:w="15" w:type="dxa"/>
              <w:right w:w="15" w:type="dxa"/>
              <w:bottom w:w="15" w:type="dxa"/>
            </w:tcMar>
            <w:tcW w:w="1674" w:type="dxa"/>
            <w:vAlign w:val="center"/>
          </w:tcPr>
          <w:p w14:paraId="488C73D1">
            <w:pPr>
              <w:pBdr/>
              <w:spacing w:after="0" w:before="0" w:line="240"/>
              <w:ind/>
              <w:rPr/>
            </w:pPr>
            <w:r>
              <w:rPr>
                <w:rFonts w:ascii="Courier New" w:hAnsi="Courier New" w:eastAsia="Courier New" w:cs="Courier New"/>
                <w:color w:val="000000"/>
                <w:sz w:val="20"/>
              </w:rPr>
              <w:t xml:space="preserve">derivatives.perpetual.open_interest_usd</w:t>
            </w:r>
            <w:r/>
          </w:p>
        </w:tc>
        <w:tc>
          <w:tcPr>
            <w:tcBorders/>
            <w:tcMar>
              <w:left w:w="15" w:type="dxa"/>
              <w:top w:w="15" w:type="dxa"/>
              <w:right w:w="15" w:type="dxa"/>
              <w:bottom w:w="15" w:type="dxa"/>
            </w:tcMar>
            <w:tcW w:w="4111" w:type="dxa"/>
            <w:vAlign w:val="center"/>
          </w:tcPr>
          <w:p w14:paraId="6C842E92">
            <w:pPr>
              <w:pBdr/>
              <w:spacing w:after="0" w:before="0" w:line="240"/>
              <w:ind/>
              <w:rPr/>
            </w:pPr>
            <w:r>
              <w:rPr>
                <w:rFonts w:ascii="Times New Roman" w:hAnsi="Times New Roman" w:eastAsia="Times New Roman" w:cs="Times New Roman"/>
                <w:color w:val="000000"/>
                <w:sz w:val="24"/>
              </w:rPr>
              <w:t xml:space="preserve">None — already USD</w:t>
            </w:r>
            <w:r/>
          </w:p>
        </w:tc>
        <w:tc>
          <w:tcPr>
            <w:tcBorders/>
            <w:tcMar>
              <w:left w:w="15" w:type="dxa"/>
              <w:top w:w="15" w:type="dxa"/>
              <w:right w:w="15" w:type="dxa"/>
              <w:bottom w:w="15" w:type="dxa"/>
            </w:tcMar>
            <w:tcW w:w="2885" w:type="dxa"/>
            <w:vAlign w:val="center"/>
          </w:tcPr>
          <w:p w14:paraId="134BA0F6">
            <w:pPr>
              <w:pBdr/>
              <w:spacing w:after="0" w:before="0" w:line="240"/>
              <w:ind/>
              <w:rPr/>
            </w:pPr>
            <w:r>
              <w:rPr>
                <w:rFonts w:ascii="Times New Roman" w:hAnsi="Times New Roman" w:eastAsia="Times New Roman" w:cs="Times New Roman"/>
                <w:color w:val="000000"/>
                <w:sz w:val="24"/>
              </w:rPr>
              <w:t xml:space="preserve">Use </w:t>
            </w:r>
            <w:r>
              <w:rPr>
                <w:rFonts w:ascii="Courier New" w:hAnsi="Courier New" w:eastAsia="Courier New" w:cs="Courier New"/>
                <w:color w:val="000000"/>
                <w:sz w:val="20"/>
              </w:rPr>
              <w:t xml:space="preserve">open_interest_usd</w:t>
            </w:r>
            <w:r>
              <w:rPr>
                <w:rFonts w:ascii="Times New Roman" w:hAnsi="Times New Roman" w:eastAsia="Times New Roman" w:cs="Times New Roman"/>
                <w:color w:val="000000"/>
                <w:sz w:val="24"/>
              </w:rPr>
              <w:t xml:space="preserve"> not </w:t>
            </w:r>
            <w:r>
              <w:rPr>
                <w:rFonts w:ascii="Courier New" w:hAnsi="Courier New" w:eastAsia="Courier New" w:cs="Courier New"/>
                <w:color w:val="000000"/>
                <w:sz w:val="20"/>
              </w:rPr>
              <w:t xml:space="preserve">open_interest</w:t>
            </w:r>
            <w:r>
              <w:rPr>
                <w:rFonts w:ascii="Times New Roman" w:hAnsi="Times New Roman" w:eastAsia="Times New Roman" w:cs="Times New Roman"/>
                <w:color w:val="000000"/>
                <w:sz w:val="24"/>
              </w:rPr>
              <w:t xml:space="preserve"> (which is in contracts, not USD)</w:t>
            </w:r>
            <w:r/>
          </w:p>
        </w:tc>
      </w:tr>
      <w:tr>
        <w:trPr/>
        <w:tc>
          <w:tcPr>
            <w:tcBorders/>
            <w:tcMar>
              <w:left w:w="15" w:type="dxa"/>
              <w:top w:w="15" w:type="dxa"/>
              <w:right w:w="15" w:type="dxa"/>
              <w:bottom w:w="15" w:type="dxa"/>
            </w:tcMar>
            <w:tcW w:w="685" w:type="dxa"/>
            <w:vAlign w:val="center"/>
          </w:tcPr>
          <w:p w14:paraId="05C35C22">
            <w:pPr>
              <w:pBdr/>
              <w:spacing w:after="0" w:before="0" w:line="240"/>
              <w:ind/>
              <w:rPr/>
            </w:pPr>
            <w:r>
              <w:rPr>
                <w:rFonts w:ascii="Courier New" w:hAnsi="Courier New" w:eastAsia="Courier New" w:cs="Courier New"/>
                <w:color w:val="000000"/>
                <w:sz w:val="20"/>
              </w:rPr>
              <w:t xml:space="preserve">long_liquidations</w:t>
            </w:r>
            <w:r/>
          </w:p>
        </w:tc>
        <w:tc>
          <w:tcPr>
            <w:tcBorders/>
            <w:tcMar>
              <w:left w:w="15" w:type="dxa"/>
              <w:top w:w="15" w:type="dxa"/>
              <w:right w:w="15" w:type="dxa"/>
              <w:bottom w:w="15" w:type="dxa"/>
            </w:tcMar>
            <w:tcW w:w="1674" w:type="dxa"/>
            <w:vAlign w:val="center"/>
          </w:tcPr>
          <w:p w14:paraId="27CC1656">
            <w:pPr>
              <w:pBdr/>
              <w:spacing w:after="0" w:before="0" w:line="240"/>
              <w:ind/>
              <w:rPr/>
            </w:pPr>
            <w:r>
              <w:rPr>
                <w:rFonts w:ascii="Courier New" w:hAnsi="Courier New" w:eastAsia="Courier New" w:cs="Courier New"/>
                <w:color w:val="000000"/>
                <w:sz w:val="20"/>
              </w:rPr>
              <w:t xml:space="preserve">derivatives.perpetual.liquidations_long_usd</w:t>
            </w:r>
            <w:r/>
          </w:p>
        </w:tc>
        <w:tc>
          <w:tcPr>
            <w:tcBorders/>
            <w:tcMar>
              <w:left w:w="15" w:type="dxa"/>
              <w:top w:w="15" w:type="dxa"/>
              <w:right w:w="15" w:type="dxa"/>
              <w:bottom w:w="15" w:type="dxa"/>
            </w:tcMar>
            <w:tcW w:w="4111" w:type="dxa"/>
            <w:vAlign w:val="center"/>
          </w:tcPr>
          <w:p w14:paraId="10FD8A0E">
            <w:pPr>
              <w:pBdr/>
              <w:spacing w:after="0" w:before="0" w:line="240"/>
              <w:ind/>
              <w:rPr/>
            </w:pPr>
            <w:r>
              <w:rPr>
                <w:rFonts w:ascii="Times New Roman" w:hAnsi="Times New Roman" w:eastAsia="Times New Roman" w:cs="Times New Roman"/>
                <w:color w:val="000000"/>
                <w:sz w:val="24"/>
              </w:rPr>
              <w:t xml:space="preserve">Confirm unit — may be USD or contracts depending on endpoint. If contracts: multiply by </w:t>
            </w:r>
            <w:r>
              <w:rPr>
                <w:rFonts w:ascii="Courier New" w:hAnsi="Courier New" w:eastAsia="Courier New" w:cs="Courier New"/>
                <w:color w:val="000000"/>
                <w:sz w:val="20"/>
              </w:rPr>
              <w:t xml:space="preserve">close_price</w:t>
            </w:r>
            <w:r>
              <w:rPr>
                <w:rFonts w:ascii="Times New Roman" w:hAnsi="Times New Roman" w:eastAsia="Times New Roman" w:cs="Times New Roman"/>
                <w:color w:val="000000"/>
                <w:sz w:val="24"/>
              </w:rPr>
              <w:t xml:space="preserve"> from spot.price.close_usd.</w:t>
            </w:r>
            <w:r/>
          </w:p>
        </w:tc>
        <w:tc>
          <w:tcPr>
            <w:tcBorders/>
            <w:tcMar>
              <w:left w:w="15" w:type="dxa"/>
              <w:top w:w="15" w:type="dxa"/>
              <w:right w:w="15" w:type="dxa"/>
              <w:bottom w:w="15" w:type="dxa"/>
            </w:tcMar>
            <w:tcW w:w="2885" w:type="dxa"/>
            <w:vAlign w:val="center"/>
          </w:tcPr>
          <w:p w14:paraId="4631B8C4">
            <w:pPr>
              <w:pBdr/>
              <w:spacing w:after="0" w:before="0" w:line="240"/>
              <w:ind/>
              <w:rPr/>
            </w:pPr>
            <w:r>
              <w:rPr>
                <w:rFonts w:ascii="Times New Roman" w:hAnsi="Times New Roman" w:eastAsia="Times New Roman" w:cs="Times New Roman"/>
                <w:color w:val="000000"/>
                <w:sz w:val="24"/>
              </w:rPr>
              <w:t xml:space="preserve">Known issue — verify unit in adapter integration test</w:t>
            </w:r>
            <w:r/>
          </w:p>
        </w:tc>
      </w:tr>
      <w:tr>
        <w:trPr/>
        <w:tc>
          <w:tcPr>
            <w:tcBorders/>
            <w:tcMar>
              <w:left w:w="15" w:type="dxa"/>
              <w:top w:w="15" w:type="dxa"/>
              <w:right w:w="15" w:type="dxa"/>
              <w:bottom w:w="15" w:type="dxa"/>
            </w:tcMar>
            <w:tcW w:w="685" w:type="dxa"/>
            <w:vAlign w:val="center"/>
          </w:tcPr>
          <w:p w14:paraId="76C33BA7">
            <w:pPr>
              <w:pBdr/>
              <w:spacing w:after="0" w:before="0" w:line="240"/>
              <w:ind/>
              <w:rPr/>
            </w:pPr>
            <w:r>
              <w:rPr>
                <w:rFonts w:ascii="Courier New" w:hAnsi="Courier New" w:eastAsia="Courier New" w:cs="Courier New"/>
                <w:color w:val="000000"/>
                <w:sz w:val="20"/>
              </w:rPr>
              <w:t xml:space="preserve">short_liquidations</w:t>
            </w:r>
            <w:r/>
          </w:p>
        </w:tc>
        <w:tc>
          <w:tcPr>
            <w:tcBorders/>
            <w:tcMar>
              <w:left w:w="15" w:type="dxa"/>
              <w:top w:w="15" w:type="dxa"/>
              <w:right w:w="15" w:type="dxa"/>
              <w:bottom w:w="15" w:type="dxa"/>
            </w:tcMar>
            <w:tcW w:w="1674" w:type="dxa"/>
            <w:vAlign w:val="center"/>
          </w:tcPr>
          <w:p w14:paraId="5A73FC54">
            <w:pPr>
              <w:pBdr/>
              <w:spacing w:after="0" w:before="0" w:line="240"/>
              <w:ind/>
              <w:rPr/>
            </w:pPr>
            <w:r>
              <w:rPr>
                <w:rFonts w:ascii="Courier New" w:hAnsi="Courier New" w:eastAsia="Courier New" w:cs="Courier New"/>
                <w:color w:val="000000"/>
                <w:sz w:val="20"/>
              </w:rPr>
              <w:t xml:space="preserve">derivatives.perpetual.liquidations_short_usd</w:t>
            </w:r>
            <w:r/>
          </w:p>
        </w:tc>
        <w:tc>
          <w:tcPr>
            <w:tcBorders/>
            <w:tcMar>
              <w:left w:w="15" w:type="dxa"/>
              <w:top w:w="15" w:type="dxa"/>
              <w:right w:w="15" w:type="dxa"/>
              <w:bottom w:w="15" w:type="dxa"/>
            </w:tcMar>
            <w:tcW w:w="4111" w:type="dxa"/>
            <w:vAlign w:val="center"/>
          </w:tcPr>
          <w:p w14:paraId="74905444">
            <w:pPr>
              <w:pBdr/>
              <w:spacing w:after="0" w:before="0" w:line="240"/>
              <w:ind/>
              <w:rPr/>
            </w:pPr>
            <w:r>
              <w:rPr>
                <w:rFonts w:ascii="Times New Roman" w:hAnsi="Times New Roman" w:eastAsia="Times New Roman" w:cs="Times New Roman"/>
                <w:color w:val="000000"/>
                <w:sz w:val="24"/>
              </w:rPr>
              <w:t xml:space="preserve">Same as above</w:t>
            </w:r>
            <w:r/>
          </w:p>
        </w:tc>
        <w:tc>
          <w:tcPr>
            <w:tcBorders/>
            <w:tcMar>
              <w:left w:w="15" w:type="dxa"/>
              <w:top w:w="15" w:type="dxa"/>
              <w:right w:w="15" w:type="dxa"/>
              <w:bottom w:w="15" w:type="dxa"/>
            </w:tcMar>
            <w:tcW w:w="2885" w:type="dxa"/>
            <w:vAlign w:val="center"/>
          </w:tcPr>
          <w:p w14:paraId="2F452387">
            <w:pPr>
              <w:pBdr/>
              <w:spacing w:after="0" w:before="0" w:line="240"/>
              <w:ind/>
              <w:rPr/>
            </w:pPr>
            <w:r/>
          </w:p>
        </w:tc>
      </w:tr>
      <w:tr>
        <w:trPr/>
        <w:tc>
          <w:tcPr>
            <w:tcBorders/>
            <w:tcMar>
              <w:left w:w="15" w:type="dxa"/>
              <w:top w:w="15" w:type="dxa"/>
              <w:right w:w="15" w:type="dxa"/>
              <w:bottom w:w="15" w:type="dxa"/>
            </w:tcMar>
            <w:tcW w:w="685" w:type="dxa"/>
            <w:vAlign w:val="center"/>
          </w:tcPr>
          <w:p w14:paraId="50DEFD00">
            <w:pPr>
              <w:pBdr/>
              <w:spacing w:after="0" w:before="0" w:line="240"/>
              <w:ind/>
              <w:rPr/>
            </w:pPr>
            <w:r>
              <w:rPr>
                <w:rFonts w:ascii="Courier New" w:hAnsi="Courier New" w:eastAsia="Courier New" w:cs="Courier New"/>
                <w:color w:val="000000"/>
                <w:sz w:val="20"/>
              </w:rPr>
              <w:t xml:space="preserve">open_time</w:t>
            </w:r>
            <w:r/>
          </w:p>
        </w:tc>
        <w:tc>
          <w:tcPr>
            <w:tcBorders/>
            <w:tcMar>
              <w:left w:w="15" w:type="dxa"/>
              <w:top w:w="15" w:type="dxa"/>
              <w:right w:w="15" w:type="dxa"/>
              <w:bottom w:w="15" w:type="dxa"/>
            </w:tcMar>
            <w:tcW w:w="1674" w:type="dxa"/>
            <w:vAlign w:val="center"/>
          </w:tcPr>
          <w:p w14:paraId="57667FB9">
            <w:pPr>
              <w:pBdr/>
              <w:spacing w:after="0" w:before="0" w:line="240"/>
              <w:ind/>
              <w:rPr/>
            </w:pPr>
            <w:r>
              <w:rPr>
                <w:rFonts w:ascii="Courier New" w:hAnsi="Courier New" w:eastAsia="Courier New" w:cs="Courier New"/>
                <w:color w:val="000000"/>
                <w:sz w:val="20"/>
              </w:rPr>
              <w:t xml:space="preserve">valid_from</w:t>
            </w:r>
            <w:r/>
          </w:p>
        </w:tc>
        <w:tc>
          <w:tcPr>
            <w:tcBorders/>
            <w:tcMar>
              <w:left w:w="15" w:type="dxa"/>
              <w:top w:w="15" w:type="dxa"/>
              <w:right w:w="15" w:type="dxa"/>
              <w:bottom w:w="15" w:type="dxa"/>
            </w:tcMar>
            <w:tcW w:w="4111" w:type="dxa"/>
            <w:vAlign w:val="center"/>
          </w:tcPr>
          <w:p w14:paraId="6A4FDFAE">
            <w:pPr>
              <w:pBdr/>
              <w:spacing w:after="0" w:before="0" w:line="240"/>
              <w:ind/>
              <w:rPr/>
            </w:pPr>
            <w:r>
              <w:rPr>
                <w:rFonts w:ascii="Times New Roman" w:hAnsi="Times New Roman" w:eastAsia="Times New Roman" w:cs="Times New Roman"/>
                <w:color w:val="000000"/>
                <w:sz w:val="24"/>
              </w:rPr>
              <w:t xml:space="preserve">Unix ms → TIMESTAMPTZ: </w:t>
            </w:r>
            <w:r>
              <w:rPr>
                <w:rFonts w:ascii="Courier New" w:hAnsi="Courier New" w:eastAsia="Courier New" w:cs="Courier New"/>
                <w:color w:val="000000"/>
                <w:sz w:val="20"/>
              </w:rPr>
              <w:t xml:space="preserve">to_timestamp(open_time / 1000)</w:t>
            </w:r>
            <w:r/>
          </w:p>
        </w:tc>
        <w:tc>
          <w:tcPr>
            <w:tcBorders/>
            <w:tcMar>
              <w:left w:w="15" w:type="dxa"/>
              <w:top w:w="15" w:type="dxa"/>
              <w:right w:w="15" w:type="dxa"/>
              <w:bottom w:w="15" w:type="dxa"/>
            </w:tcMar>
            <w:tcW w:w="2885" w:type="dxa"/>
            <w:vAlign w:val="center"/>
          </w:tcPr>
          <w:p w14:paraId="1DA4373F">
            <w:pPr>
              <w:pBdr/>
              <w:spacing w:after="0" w:before="0" w:line="240"/>
              <w:ind/>
              <w:rPr/>
            </w:pPr>
            <w:r/>
          </w:p>
        </w:tc>
      </w:tr>
    </w:tbl>
    <w:p w14:paraId="7F1812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Instrument symbol mapping:</w:t>
      </w:r>
      <w:r>
        <w:rPr>
          <w:rFonts w:ascii="Times New Roman" w:hAnsi="Times New Roman" w:eastAsia="Times New Roman" w:cs="Times New Roman"/>
          <w:color w:val="000000"/>
          <w:sz w:val="24"/>
        </w:rPr>
        <w:t xml:space="preserve"> Coinalyze uses symbols like </w:t>
      </w:r>
      <w:r>
        <w:rPr>
          <w:rFonts w:ascii="Courier New" w:hAnsi="Courier New" w:eastAsia="Courier New" w:cs="Courier New"/>
          <w:color w:val="000000"/>
          <w:sz w:val="20"/>
        </w:rPr>
        <w:t xml:space="preserve">BTCUSDT_PERP</w:t>
      </w:r>
      <w:r>
        <w:rPr>
          <w:rFonts w:ascii="Times New Roman" w:hAnsi="Times New Roman" w:eastAsia="Times New Roman" w:cs="Times New Roman"/>
          <w:color w:val="000000"/>
          <w:sz w:val="24"/>
        </w:rPr>
        <w:t xml:space="preserve">. The adapter strips the </w:t>
      </w:r>
      <w:r>
        <w:rPr>
          <w:rFonts w:ascii="Courier New" w:hAnsi="Courier New" w:eastAsia="Courier New" w:cs="Courier New"/>
          <w:color w:val="000000"/>
          <w:sz w:val="20"/>
        </w:rPr>
        <w:t xml:space="preserve">_PERP</w:t>
      </w:r>
      <w:r>
        <w:rPr>
          <w:rFonts w:ascii="Times New Roman" w:hAnsi="Times New Roman" w:eastAsia="Times New Roman" w:cs="Times New Roman"/>
          <w:color w:val="000000"/>
          <w:sz w:val="24"/>
        </w:rPr>
        <w:t xml:space="preserve"> suffix and maps the base to the canonical symbol. Maintain a mapping file: </w:t>
      </w:r>
      <w:r>
        <w:rPr>
          <w:rFonts w:ascii="Courier New" w:hAnsi="Courier New" w:eastAsia="Courier New" w:cs="Courier New"/>
          <w:color w:val="000000"/>
          <w:sz w:val="20"/>
        </w:rPr>
        <w:t xml:space="preserve">coinalyze_symbol_map.yaml</w:t>
      </w:r>
      <w:r>
        <w:rPr>
          <w:rFonts w:ascii="Times New Roman" w:hAnsi="Times New Roman" w:eastAsia="Times New Roman" w:cs="Times New Roman"/>
          <w:color w:val="000000"/>
          <w:sz w:val="24"/>
        </w:rPr>
        <w:t xml:space="preserve">.</w:t>
      </w:r>
      <w:r/>
    </w:p>
    <w:p w14:paraId="37B73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Known data quality issues:</w:t>
      </w:r>
      <w:r/>
    </w:p>
    <w:p w14:paraId="4377BD1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Three instruments (ANKR, FRAX, OGN) have historically extreme funding rate values. These may be legitimate but require explicit validation rule review before the metric catalog range is widened. Current behavior: dead-letter these values with a special fla</w:t>
      </w:r>
      <w:r>
        <w:rPr>
          <w:rFonts w:ascii="Times New Roman" w:hAnsi="Times New Roman" w:eastAsia="Times New Roman" w:cs="Times New Roman"/>
          <w:color w:val="000000"/>
          <w:sz w:val="24"/>
        </w:rPr>
        <w:t xml:space="preserve">g </w:t>
      </w:r>
      <w:r>
        <w:rPr>
          <w:rFonts w:ascii="Courier New" w:hAnsi="Courier New" w:eastAsia="Courier New" w:cs="Courier New"/>
          <w:color w:val="000000"/>
          <w:sz w:val="20"/>
        </w:rPr>
        <w:t xml:space="preserve">EXTREME_VALUE_PENDING_REVIEW</w:t>
      </w:r>
      <w:r>
        <w:rPr>
          <w:rFonts w:ascii="Times New Roman" w:hAnsi="Times New Roman" w:eastAsia="Times New Roman" w:cs="Times New Roman"/>
          <w:color w:val="000000"/>
          <w:sz w:val="24"/>
        </w:rPr>
        <w:t xml:space="preserve">. Do not reject permanently — queue for manual review.</w:t>
      </w:r>
      <w:r/>
    </w:p>
    <w:p w14:paraId="6A4B663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interest units vary by endpoint version. Adapter integration test must assert unit by comparing a known value against a trusted reference before first production run.</w:t>
      </w:r>
      <w:r/>
    </w:p>
    <w:p w14:paraId="52FA2AF7">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 DeFiLlama</w:t>
      </w:r>
      <w:r/>
    </w:p>
    <w:p w14:paraId="51ED8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it provides:</w:t>
      </w:r>
      <w:r>
        <w:rPr>
          <w:rFonts w:ascii="Times New Roman" w:hAnsi="Times New Roman" w:eastAsia="Times New Roman" w:cs="Times New Roman"/>
          <w:color w:val="000000"/>
          <w:sz w:val="24"/>
        </w:rPr>
        <w:t xml:space="preserve"> DeFi TVL (protocol-level and aggregate), DEX volume, lending utilization, stablecoin metrics. Covers the DeFi health pillar completely.</w:t>
      </w:r>
      <w:r/>
    </w:p>
    <w:p w14:paraId="22EE4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ToS status:</w:t>
      </w:r>
      <w:r>
        <w:rPr>
          <w:rFonts w:ascii="Times New Roman" w:hAnsi="Times New Roman" w:eastAsia="Times New Roman" w:cs="Times New Roman"/>
          <w:color w:val="000000"/>
          <w:sz w:val="24"/>
        </w:rPr>
        <w:t xml:space="preserve"> Free, low risk. No redistribution restrictions stated. Attribution recommended.</w:t>
      </w:r>
      <w:r/>
    </w:p>
    <w:p w14:paraId="280B0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tables (three, because DeFiLlama has distinct endpoints with distinct schemas):</w:t>
      </w:r>
      <w:r/>
    </w:p>
    <w:p w14:paraId="24B9DC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72F22B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landing_defillama_protocols </w:t>
      </w:r>
      <w:r>
        <w:rPr>
          <w:rFonts w:ascii="Times New Roman" w:hAnsi="Times New Roman" w:eastAsia="Times New Roman" w:cs="Times New Roman"/>
          <w:color w:val="d3d7de"/>
          <w:sz w:val="24"/>
        </w:rPr>
        <w:t xml:space="preserve">(</w:t>
      </w:r>
      <w:r/>
    </w:p>
    <w:p w14:paraId="53BCD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13325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3CED1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1D9A2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protocol_slug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338D3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protocol_name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6545B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tvl_usd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0912B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tvl_date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0AF08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chain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120383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category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3D461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33A29E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7863D9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17E0D1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4532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landing_defillama_dex </w:t>
      </w:r>
      <w:r>
        <w:rPr>
          <w:rFonts w:ascii="Times New Roman" w:hAnsi="Times New Roman" w:eastAsia="Times New Roman" w:cs="Times New Roman"/>
          <w:color w:val="d3d7de"/>
          <w:sz w:val="24"/>
        </w:rPr>
        <w:t xml:space="preserve">(</w:t>
      </w:r>
      <w:r/>
    </w:p>
    <w:p w14:paraId="5FD5D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34FBF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D46D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2C87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volume_usd_24h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2AAF7C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volume_date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6DE5E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40EBB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70748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67D1C8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59E67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landing_defillama_stablecoins </w:t>
      </w:r>
      <w:r>
        <w:rPr>
          <w:rFonts w:ascii="Times New Roman" w:hAnsi="Times New Roman" w:eastAsia="Times New Roman" w:cs="Times New Roman"/>
          <w:color w:val="d3d7de"/>
          <w:sz w:val="24"/>
        </w:rPr>
        <w:t xml:space="preserve">(</w:t>
      </w:r>
      <w:r/>
    </w:p>
    <w:p w14:paraId="45B6B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2F383E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CC82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938A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symbol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127BFB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peg_type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p>
    <w:p w14:paraId="3EA00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circulating_usd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465787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price_usd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7A580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observation_date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3AF1B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59F7EB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065FA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34BDA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Collection agent specification:</w:t>
      </w:r>
      <w:r/>
    </w:p>
    <w:p w14:paraId="516AF4C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Cadence: daily at 06:00 UTC (DeFiLlama data typically settles by this time)</w:t>
      </w:r>
      <w:r/>
    </w:p>
    <w:p w14:paraId="2AAB629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Three separate collection jobs, one per endpoint</w:t>
      </w:r>
      <w:r/>
    </w:p>
    <w:p w14:paraId="16EFC6D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Failure handling: retry 3×. DeFiLlama is generally reliable but has occasional API outages. On failure, previous day's values are not replaced — the observation simply has a gap, which health monitoring will flag.</w:t>
      </w:r>
      <w:r/>
    </w:p>
    <w:p w14:paraId="00E0FB79">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Backfill: DeFiLlama provides historical TVL per protocol. Backfill agent should fetch full available history on first run. History for most protocols extends to 2019–2020.</w:t>
      </w:r>
      <w:r/>
    </w:p>
    <w:p w14:paraId="48D6AC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Field mappings: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15"/>
        <w:gridCol w:w="1266"/>
        <w:gridCol w:w="6873"/>
      </w:tblGrid>
      <w:tr>
        <w:trPr/>
        <w:tc>
          <w:tcPr>
            <w:tcBorders/>
            <w:tcMar>
              <w:left w:w="15" w:type="dxa"/>
              <w:top w:w="15" w:type="dxa"/>
              <w:right w:w="15" w:type="dxa"/>
              <w:bottom w:w="15" w:type="dxa"/>
            </w:tcMar>
            <w:tcW w:w="1215" w:type="dxa"/>
            <w:vAlign w:val="center"/>
          </w:tcPr>
          <w:p w14:paraId="14A42204">
            <w:pPr>
              <w:pBdr/>
              <w:spacing w:after="0" w:before="0" w:line="240"/>
              <w:ind/>
              <w:jc w:val="center"/>
              <w:rPr/>
            </w:pPr>
            <w:r>
              <w:rPr>
                <w:rFonts w:ascii="Times New Roman" w:hAnsi="Times New Roman" w:eastAsia="Times New Roman" w:cs="Times New Roman"/>
                <w:b/>
                <w:color w:val="000000"/>
                <w:sz w:val="24"/>
              </w:rPr>
              <w:t xml:space="preserve">Source field</w:t>
            </w:r>
            <w:r/>
          </w:p>
        </w:tc>
        <w:tc>
          <w:tcPr>
            <w:tcBorders/>
            <w:tcMar>
              <w:left w:w="15" w:type="dxa"/>
              <w:top w:w="15" w:type="dxa"/>
              <w:right w:w="15" w:type="dxa"/>
              <w:bottom w:w="15" w:type="dxa"/>
            </w:tcMar>
            <w:tcW w:w="1266" w:type="dxa"/>
            <w:vAlign w:val="center"/>
          </w:tcPr>
          <w:p w14:paraId="2A4F3BAF">
            <w:pPr>
              <w:pBdr/>
              <w:spacing w:after="0" w:before="0" w:line="240"/>
              <w:ind/>
              <w:jc w:val="center"/>
              <w:rPr/>
            </w:pPr>
            <w:r>
              <w:rPr>
                <w:rFonts w:ascii="Times New Roman" w:hAnsi="Times New Roman" w:eastAsia="Times New Roman" w:cs="Times New Roman"/>
                <w:b/>
                <w:color w:val="000000"/>
                <w:sz w:val="24"/>
              </w:rPr>
              <w:t xml:space="preserve">Canonical metric</w:t>
            </w:r>
            <w:r/>
          </w:p>
        </w:tc>
        <w:tc>
          <w:tcPr>
            <w:tcBorders/>
            <w:tcMar>
              <w:left w:w="15" w:type="dxa"/>
              <w:top w:w="15" w:type="dxa"/>
              <w:right w:w="15" w:type="dxa"/>
              <w:bottom w:w="15" w:type="dxa"/>
            </w:tcMar>
            <w:tcW w:w="6873" w:type="dxa"/>
            <w:vAlign w:val="center"/>
          </w:tcPr>
          <w:p w14:paraId="4794BC7D">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1215" w:type="dxa"/>
            <w:vAlign w:val="center"/>
          </w:tcPr>
          <w:p w14:paraId="5ABAB5FF">
            <w:pPr>
              <w:pBdr/>
              <w:spacing w:after="0" w:before="0" w:line="240"/>
              <w:ind/>
              <w:rPr/>
            </w:pPr>
            <w:r>
              <w:rPr>
                <w:rFonts w:ascii="Courier New" w:hAnsi="Courier New" w:eastAsia="Courier New" w:cs="Courier New"/>
                <w:color w:val="000000"/>
                <w:sz w:val="20"/>
              </w:rPr>
              <w:t xml:space="preserve">tvl_usd</w:t>
            </w:r>
            <w:r>
              <w:rPr>
                <w:rFonts w:ascii="Times New Roman" w:hAnsi="Times New Roman" w:eastAsia="Times New Roman" w:cs="Times New Roman"/>
                <w:color w:val="000000"/>
                <w:sz w:val="24"/>
              </w:rPr>
              <w:t xml:space="preserve"> (protocol)</w:t>
            </w:r>
            <w:r/>
          </w:p>
        </w:tc>
        <w:tc>
          <w:tcPr>
            <w:tcBorders/>
            <w:tcMar>
              <w:left w:w="15" w:type="dxa"/>
              <w:top w:w="15" w:type="dxa"/>
              <w:right w:w="15" w:type="dxa"/>
              <w:bottom w:w="15" w:type="dxa"/>
            </w:tcMar>
            <w:tcW w:w="1266" w:type="dxa"/>
            <w:vAlign w:val="center"/>
          </w:tcPr>
          <w:p w14:paraId="2DCFAF80">
            <w:pPr>
              <w:pBdr/>
              <w:spacing w:after="0" w:before="0" w:line="240"/>
              <w:ind/>
              <w:rPr/>
            </w:pPr>
            <w:r>
              <w:rPr>
                <w:rFonts w:ascii="Courier New" w:hAnsi="Courier New" w:eastAsia="Courier New" w:cs="Courier New"/>
                <w:color w:val="000000"/>
                <w:sz w:val="20"/>
              </w:rPr>
              <w:t xml:space="preserve">defi.protocol.tvl_usd</w:t>
            </w:r>
            <w:r/>
          </w:p>
        </w:tc>
        <w:tc>
          <w:tcPr>
            <w:tcBorders/>
            <w:tcMar>
              <w:left w:w="15" w:type="dxa"/>
              <w:top w:w="15" w:type="dxa"/>
              <w:right w:w="15" w:type="dxa"/>
              <w:bottom w:w="15" w:type="dxa"/>
            </w:tcMar>
            <w:tcW w:w="6873" w:type="dxa"/>
            <w:vAlign w:val="center"/>
          </w:tcPr>
          <w:p w14:paraId="7CBEFE5A">
            <w:pPr>
              <w:pBdr/>
              <w:spacing w:after="0" w:before="0" w:line="240"/>
              <w:ind/>
              <w:rPr/>
            </w:pPr>
            <w:r>
              <w:rPr>
                <w:rFonts w:ascii="Times New Roman" w:hAnsi="Times New Roman" w:eastAsia="Times New Roman" w:cs="Times New Roman"/>
                <w:color w:val="000000"/>
                <w:sz w:val="24"/>
              </w:rPr>
              <w:t xml:space="preserve">instrument_id = protocol slug registered in instruments catalog with asset_class = 'defi_protocol'</w:t>
            </w:r>
            <w:r/>
          </w:p>
        </w:tc>
      </w:tr>
      <w:tr>
        <w:trPr/>
        <w:tc>
          <w:tcPr>
            <w:tcBorders/>
            <w:tcMar>
              <w:left w:w="15" w:type="dxa"/>
              <w:top w:w="15" w:type="dxa"/>
              <w:right w:w="15" w:type="dxa"/>
              <w:bottom w:w="15" w:type="dxa"/>
            </w:tcMar>
            <w:tcW w:w="1215" w:type="dxa"/>
            <w:vAlign w:val="center"/>
          </w:tcPr>
          <w:p w14:paraId="21A7C1F7">
            <w:pPr>
              <w:pBdr/>
              <w:spacing w:after="0" w:before="0" w:line="240"/>
              <w:ind/>
              <w:rPr/>
            </w:pPr>
            <w:r>
              <w:rPr>
                <w:rFonts w:ascii="Times New Roman" w:hAnsi="Times New Roman" w:eastAsia="Times New Roman" w:cs="Times New Roman"/>
                <w:color w:val="000000"/>
                <w:sz w:val="24"/>
              </w:rPr>
              <w:t xml:space="preserve">Sum of </w:t>
            </w:r>
            <w:r>
              <w:rPr>
                <w:rFonts w:ascii="Courier New" w:hAnsi="Courier New" w:eastAsia="Courier New" w:cs="Courier New"/>
                <w:color w:val="000000"/>
                <w:sz w:val="20"/>
              </w:rPr>
              <w:t xml:space="preserve">tvl_usd</w:t>
            </w:r>
            <w:r>
              <w:rPr>
                <w:rFonts w:ascii="Times New Roman" w:hAnsi="Times New Roman" w:eastAsia="Times New Roman" w:cs="Times New Roman"/>
                <w:color w:val="000000"/>
                <w:sz w:val="24"/>
              </w:rPr>
              <w:t xml:space="preserve"> across all protocols</w:t>
            </w:r>
            <w:r/>
          </w:p>
        </w:tc>
        <w:tc>
          <w:tcPr>
            <w:tcBorders/>
            <w:tcMar>
              <w:left w:w="15" w:type="dxa"/>
              <w:top w:w="15" w:type="dxa"/>
              <w:right w:w="15" w:type="dxa"/>
              <w:bottom w:w="15" w:type="dxa"/>
            </w:tcMar>
            <w:tcW w:w="1266" w:type="dxa"/>
            <w:vAlign w:val="center"/>
          </w:tcPr>
          <w:p w14:paraId="62B248B5">
            <w:pPr>
              <w:pBdr/>
              <w:spacing w:after="0" w:before="0" w:line="240"/>
              <w:ind/>
              <w:rPr/>
            </w:pPr>
            <w:r>
              <w:rPr>
                <w:rFonts w:ascii="Courier New" w:hAnsi="Courier New" w:eastAsia="Courier New" w:cs="Courier New"/>
                <w:color w:val="000000"/>
                <w:sz w:val="20"/>
              </w:rPr>
              <w:t xml:space="preserve">defi.aggregate.tvl_usd</w:t>
            </w:r>
            <w:r/>
          </w:p>
        </w:tc>
        <w:tc>
          <w:tcPr>
            <w:tcBorders/>
            <w:tcMar>
              <w:left w:w="15" w:type="dxa"/>
              <w:top w:w="15" w:type="dxa"/>
              <w:right w:w="15" w:type="dxa"/>
              <w:bottom w:w="15" w:type="dxa"/>
            </w:tcMar>
            <w:tcW w:w="6873" w:type="dxa"/>
            <w:vAlign w:val="center"/>
          </w:tcPr>
          <w:p w14:paraId="28A94BCD">
            <w:pPr>
              <w:pBdr/>
              <w:spacing w:after="0" w:before="0" w:line="240"/>
              <w:ind/>
              <w:rPr/>
            </w:pPr>
            <w:r>
              <w:rPr>
                <w:rFonts w:ascii="Times New Roman" w:hAnsi="Times New Roman" w:eastAsia="Times New Roman" w:cs="Times New Roman"/>
                <w:color w:val="000000"/>
                <w:sz w:val="24"/>
              </w:rPr>
              <w:t xml:space="preserve">Computed by adapter on ingestion, not fetched directly — DeFiLlama's aggregate TVL endpoint exists but computing from protocol data gives provenance</w:t>
            </w:r>
            <w:r/>
          </w:p>
        </w:tc>
      </w:tr>
      <w:tr>
        <w:trPr/>
        <w:tc>
          <w:tcPr>
            <w:tcBorders/>
            <w:tcMar>
              <w:left w:w="15" w:type="dxa"/>
              <w:top w:w="15" w:type="dxa"/>
              <w:right w:w="15" w:type="dxa"/>
              <w:bottom w:w="15" w:type="dxa"/>
            </w:tcMar>
            <w:tcW w:w="1215" w:type="dxa"/>
            <w:vAlign w:val="center"/>
          </w:tcPr>
          <w:p w14:paraId="10624401">
            <w:pPr>
              <w:pBdr/>
              <w:spacing w:after="0" w:before="0" w:line="240"/>
              <w:ind/>
              <w:rPr/>
            </w:pPr>
            <w:r>
              <w:rPr>
                <w:rFonts w:ascii="Courier New" w:hAnsi="Courier New" w:eastAsia="Courier New" w:cs="Courier New"/>
                <w:color w:val="000000"/>
                <w:sz w:val="20"/>
              </w:rPr>
              <w:t xml:space="preserve">volume_usd_24h</w:t>
            </w:r>
            <w:r/>
          </w:p>
        </w:tc>
        <w:tc>
          <w:tcPr>
            <w:tcBorders/>
            <w:tcMar>
              <w:left w:w="15" w:type="dxa"/>
              <w:top w:w="15" w:type="dxa"/>
              <w:right w:w="15" w:type="dxa"/>
              <w:bottom w:w="15" w:type="dxa"/>
            </w:tcMar>
            <w:tcW w:w="1266" w:type="dxa"/>
            <w:vAlign w:val="center"/>
          </w:tcPr>
          <w:p w14:paraId="22114F31">
            <w:pPr>
              <w:pBdr/>
              <w:spacing w:after="0" w:before="0" w:line="240"/>
              <w:ind/>
              <w:rPr/>
            </w:pPr>
            <w:r>
              <w:rPr>
                <w:rFonts w:ascii="Courier New" w:hAnsi="Courier New" w:eastAsia="Courier New" w:cs="Courier New"/>
                <w:color w:val="000000"/>
                <w:sz w:val="20"/>
              </w:rPr>
              <w:t xml:space="preserve">defi.dex.volume_usd_24h</w:t>
            </w:r>
            <w:r/>
          </w:p>
        </w:tc>
        <w:tc>
          <w:tcPr>
            <w:tcBorders/>
            <w:tcMar>
              <w:left w:w="15" w:type="dxa"/>
              <w:top w:w="15" w:type="dxa"/>
              <w:right w:w="15" w:type="dxa"/>
              <w:bottom w:w="15" w:type="dxa"/>
            </w:tcMar>
            <w:tcW w:w="6873" w:type="dxa"/>
            <w:vAlign w:val="center"/>
          </w:tcPr>
          <w:p w14:paraId="19A6AD45">
            <w:pPr>
              <w:pBdr/>
              <w:spacing w:after="0" w:before="0" w:line="240"/>
              <w:ind/>
              <w:rPr/>
            </w:pPr>
            <w:r>
              <w:rPr>
                <w:rFonts w:ascii="Times New Roman" w:hAnsi="Times New Roman" w:eastAsia="Times New Roman" w:cs="Times New Roman"/>
                <w:color w:val="000000"/>
                <w:sz w:val="24"/>
              </w:rPr>
              <w:t xml:space="preserve">Market-level — instrument_id = NULL</w:t>
            </w:r>
            <w:r/>
          </w:p>
        </w:tc>
      </w:tr>
      <w:tr>
        <w:trPr/>
        <w:tc>
          <w:tcPr>
            <w:tcBorders/>
            <w:tcMar>
              <w:left w:w="15" w:type="dxa"/>
              <w:top w:w="15" w:type="dxa"/>
              <w:right w:w="15" w:type="dxa"/>
              <w:bottom w:w="15" w:type="dxa"/>
            </w:tcMar>
            <w:tcW w:w="1215" w:type="dxa"/>
            <w:vAlign w:val="center"/>
          </w:tcPr>
          <w:p w14:paraId="38BE422C">
            <w:pPr>
              <w:pBdr/>
              <w:spacing w:after="0" w:before="0" w:line="240"/>
              <w:ind/>
              <w:rPr/>
            </w:pPr>
            <w:r>
              <w:rPr>
                <w:rFonts w:ascii="Courier New" w:hAnsi="Courier New" w:eastAsia="Courier New" w:cs="Courier New"/>
                <w:color w:val="000000"/>
                <w:sz w:val="20"/>
              </w:rPr>
              <w:t xml:space="preserve">circulating_usd</w:t>
            </w:r>
            <w:r/>
          </w:p>
        </w:tc>
        <w:tc>
          <w:tcPr>
            <w:tcBorders/>
            <w:tcMar>
              <w:left w:w="15" w:type="dxa"/>
              <w:top w:w="15" w:type="dxa"/>
              <w:right w:w="15" w:type="dxa"/>
              <w:bottom w:w="15" w:type="dxa"/>
            </w:tcMar>
            <w:tcW w:w="1266" w:type="dxa"/>
            <w:vAlign w:val="center"/>
          </w:tcPr>
          <w:p w14:paraId="5A00BEE5">
            <w:pPr>
              <w:pBdr/>
              <w:spacing w:after="0" w:before="0" w:line="240"/>
              <w:ind/>
              <w:rPr/>
            </w:pPr>
            <w:r>
              <w:rPr>
                <w:rFonts w:ascii="Courier New" w:hAnsi="Courier New" w:eastAsia="Courier New" w:cs="Courier New"/>
                <w:color w:val="000000"/>
                <w:sz w:val="20"/>
              </w:rPr>
              <w:t xml:space="preserve">stablecoin.supply.per_asset_usd</w:t>
            </w:r>
            <w:r/>
          </w:p>
        </w:tc>
        <w:tc>
          <w:tcPr>
            <w:tcBorders/>
            <w:tcMar>
              <w:left w:w="15" w:type="dxa"/>
              <w:top w:w="15" w:type="dxa"/>
              <w:right w:w="15" w:type="dxa"/>
              <w:bottom w:w="15" w:type="dxa"/>
            </w:tcMar>
            <w:tcW w:w="6873" w:type="dxa"/>
            <w:vAlign w:val="center"/>
          </w:tcPr>
          <w:p w14:paraId="4BF7635D">
            <w:pPr>
              <w:pBdr/>
              <w:spacing w:after="0" w:before="0" w:line="240"/>
              <w:ind/>
              <w:rPr/>
            </w:pPr>
            <w:r>
              <w:rPr>
                <w:rFonts w:ascii="Times New Roman" w:hAnsi="Times New Roman" w:eastAsia="Times New Roman" w:cs="Times New Roman"/>
                <w:color w:val="000000"/>
                <w:sz w:val="24"/>
              </w:rPr>
              <w:t xml:space="preserve">instrument_id = stablecoin canonical symbol</w:t>
            </w:r>
            <w:r/>
          </w:p>
        </w:tc>
      </w:tr>
      <w:tr>
        <w:trPr/>
        <w:tc>
          <w:tcPr>
            <w:tcBorders/>
            <w:tcMar>
              <w:left w:w="15" w:type="dxa"/>
              <w:top w:w="15" w:type="dxa"/>
              <w:right w:w="15" w:type="dxa"/>
              <w:bottom w:w="15" w:type="dxa"/>
            </w:tcMar>
            <w:tcW w:w="1215" w:type="dxa"/>
            <w:vAlign w:val="center"/>
          </w:tcPr>
          <w:p w14:paraId="79AF70BE">
            <w:pPr>
              <w:pBdr/>
              <w:spacing w:after="0" w:before="0" w:line="240"/>
              <w:ind/>
              <w:rPr/>
            </w:pPr>
            <w:r>
              <w:rPr>
                <w:rFonts w:ascii="Times New Roman" w:hAnsi="Times New Roman" w:eastAsia="Times New Roman" w:cs="Times New Roman"/>
                <w:color w:val="000000"/>
                <w:sz w:val="24"/>
              </w:rPr>
              <w:t xml:space="preserve">Sum of </w:t>
            </w:r>
            <w:r>
              <w:rPr>
                <w:rFonts w:ascii="Courier New" w:hAnsi="Courier New" w:eastAsia="Courier New" w:cs="Courier New"/>
                <w:color w:val="000000"/>
                <w:sz w:val="20"/>
              </w:rPr>
              <w:t xml:space="preserve">circulating_usd</w:t>
            </w:r>
            <w:r/>
          </w:p>
        </w:tc>
        <w:tc>
          <w:tcPr>
            <w:tcBorders/>
            <w:tcMar>
              <w:left w:w="15" w:type="dxa"/>
              <w:top w:w="15" w:type="dxa"/>
              <w:right w:w="15" w:type="dxa"/>
              <w:bottom w:w="15" w:type="dxa"/>
            </w:tcMar>
            <w:tcW w:w="1266" w:type="dxa"/>
            <w:vAlign w:val="center"/>
          </w:tcPr>
          <w:p w14:paraId="5DB64EF1">
            <w:pPr>
              <w:pBdr/>
              <w:spacing w:after="0" w:before="0" w:line="240"/>
              <w:ind/>
              <w:rPr/>
            </w:pPr>
            <w:r>
              <w:rPr>
                <w:rFonts w:ascii="Courier New" w:hAnsi="Courier New" w:eastAsia="Courier New" w:cs="Courier New"/>
                <w:color w:val="000000"/>
                <w:sz w:val="20"/>
              </w:rPr>
              <w:t xml:space="preserve">stablecoin.supply.total_usd</w:t>
            </w:r>
            <w:r/>
          </w:p>
        </w:tc>
        <w:tc>
          <w:tcPr>
            <w:tcBorders/>
            <w:tcMar>
              <w:left w:w="15" w:type="dxa"/>
              <w:top w:w="15" w:type="dxa"/>
              <w:right w:w="15" w:type="dxa"/>
              <w:bottom w:w="15" w:type="dxa"/>
            </w:tcMar>
            <w:tcW w:w="6873" w:type="dxa"/>
            <w:vAlign w:val="center"/>
          </w:tcPr>
          <w:p w14:paraId="32C6B29D">
            <w:pPr>
              <w:pBdr/>
              <w:spacing w:after="0" w:before="0" w:line="240"/>
              <w:ind/>
              <w:rPr/>
            </w:pPr>
            <w:r>
              <w:rPr>
                <w:rFonts w:ascii="Times New Roman" w:hAnsi="Times New Roman" w:eastAsia="Times New Roman" w:cs="Times New Roman"/>
                <w:color w:val="000000"/>
                <w:sz w:val="24"/>
              </w:rPr>
              <w:t xml:space="preserve">Computed by adapter</w:t>
            </w:r>
            <w:r/>
          </w:p>
        </w:tc>
      </w:tr>
      <w:tr>
        <w:trPr/>
        <w:tc>
          <w:tcPr>
            <w:tcBorders/>
            <w:tcMar>
              <w:left w:w="15" w:type="dxa"/>
              <w:top w:w="15" w:type="dxa"/>
              <w:right w:w="15" w:type="dxa"/>
              <w:bottom w:w="15" w:type="dxa"/>
            </w:tcMar>
            <w:tcW w:w="1215" w:type="dxa"/>
            <w:vAlign w:val="center"/>
          </w:tcPr>
          <w:p w14:paraId="76FAF004">
            <w:pPr>
              <w:pBdr/>
              <w:spacing w:after="0" w:before="0" w:line="240"/>
              <w:ind/>
              <w:rPr/>
            </w:pPr>
            <w:r>
              <w:rPr>
                <w:rFonts w:ascii="Courier New" w:hAnsi="Courier New" w:eastAsia="Courier New" w:cs="Courier New"/>
                <w:color w:val="000000"/>
                <w:sz w:val="20"/>
              </w:rPr>
              <w:t xml:space="preserve">price_usd</w:t>
            </w:r>
            <w:r/>
          </w:p>
        </w:tc>
        <w:tc>
          <w:tcPr>
            <w:tcBorders/>
            <w:tcMar>
              <w:left w:w="15" w:type="dxa"/>
              <w:top w:w="15" w:type="dxa"/>
              <w:right w:w="15" w:type="dxa"/>
              <w:bottom w:w="15" w:type="dxa"/>
            </w:tcMar>
            <w:tcW w:w="1266" w:type="dxa"/>
            <w:vAlign w:val="center"/>
          </w:tcPr>
          <w:p w14:paraId="0E251BDF">
            <w:pPr>
              <w:pBdr/>
              <w:spacing w:after="0" w:before="0" w:line="240"/>
              <w:ind/>
              <w:rPr/>
            </w:pPr>
            <w:r>
              <w:rPr>
                <w:rFonts w:ascii="Courier New" w:hAnsi="Courier New" w:eastAsia="Courier New" w:cs="Courier New"/>
                <w:color w:val="000000"/>
                <w:sz w:val="20"/>
              </w:rPr>
              <w:t xml:space="preserve">stablecoin.peg.price_usd</w:t>
            </w:r>
            <w:r/>
          </w:p>
        </w:tc>
        <w:tc>
          <w:tcPr>
            <w:tcBorders/>
            <w:tcMar>
              <w:left w:w="15" w:type="dxa"/>
              <w:top w:w="15" w:type="dxa"/>
              <w:right w:w="15" w:type="dxa"/>
              <w:bottom w:w="15" w:type="dxa"/>
            </w:tcMar>
            <w:tcW w:w="6873" w:type="dxa"/>
            <w:vAlign w:val="center"/>
          </w:tcPr>
          <w:p w14:paraId="20652D65">
            <w:pPr>
              <w:pBdr/>
              <w:spacing w:after="0" w:before="0" w:line="240"/>
              <w:ind/>
              <w:rPr/>
            </w:pPr>
            <w:r>
              <w:rPr>
                <w:rFonts w:ascii="Times New Roman" w:hAnsi="Times New Roman" w:eastAsia="Times New Roman" w:cs="Times New Roman"/>
                <w:color w:val="000000"/>
                <w:sz w:val="24"/>
              </w:rPr>
              <w:t xml:space="preserve">Range validation: [0.90, 1.10]. Values outside this are dead-lettered — they represent genuine peg breaks, which the signal layer handles as anomalies, but the adapter should not silently pass extreme values</w:t>
            </w:r>
            <w:r/>
          </w:p>
        </w:tc>
      </w:tr>
    </w:tbl>
    <w:p w14:paraId="62534C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Known data quality issues:</w:t>
      </w:r>
      <w:r/>
    </w:p>
    <w:p w14:paraId="29EFDFD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Shallow history for DeFi protocols and stablecoins on initial collection (approx. 8 days as noted in the audit). Backfill from DeFiLlama historical endpoints must be the first action when the new system comes online.</w:t>
      </w:r>
      <w:r/>
    </w:p>
    <w:p w14:paraId="70AE8276">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Protocol slugs change occasionally when protocols rebrand. Slug normalization map maintained in adapter configuration.</w:t>
      </w:r>
      <w:r/>
    </w:p>
    <w:p w14:paraId="326285D6">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Lending utilization is not directly available from DeFiLlama — this is a gap. See gap analysis section.</w:t>
      </w:r>
      <w:r/>
    </w:p>
    <w:p w14:paraId="364C0CE9">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 FRED (Federal Reserve Economic Data)</w:t>
      </w:r>
      <w:r/>
    </w:p>
    <w:p w14:paraId="1A161D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it provides:</w:t>
      </w:r>
      <w:r>
        <w:rPr>
          <w:rFonts w:ascii="Times New Roman" w:hAnsi="Times New Roman" w:eastAsia="Times New Roman" w:cs="Times New Roman"/>
          <w:color w:val="000000"/>
          <w:sz w:val="24"/>
        </w:rPr>
        <w:t xml:space="preserve"> Macro time series — yield curve, credit spreads, dollar index, fed funds rate. Covers the macro pillar completely. Exceptional data quality and reliability.</w:t>
      </w:r>
      <w:r/>
    </w:p>
    <w:p w14:paraId="5302C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ToS status:</w:t>
      </w:r>
      <w:r>
        <w:rPr>
          <w:rFonts w:ascii="Times New Roman" w:hAnsi="Times New Roman" w:eastAsia="Times New Roman" w:cs="Times New Roman"/>
          <w:color w:val="000000"/>
          <w:sz w:val="24"/>
        </w:rPr>
        <w:t xml:space="preserve"> Public domain. No restrictions. No attribution required (though appropriate to include).</w:t>
      </w:r>
      <w:r/>
    </w:p>
    <w:p w14:paraId="0FE76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w:t>
      </w:r>
      <w:r/>
    </w:p>
    <w:p w14:paraId="147DFA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6D223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landing_fred </w:t>
      </w:r>
      <w:r>
        <w:rPr>
          <w:rFonts w:ascii="Times New Roman" w:hAnsi="Times New Roman" w:eastAsia="Times New Roman" w:cs="Times New Roman"/>
          <w:color w:val="d3d7de"/>
          <w:sz w:val="24"/>
        </w:rPr>
        <w:t xml:space="preserve">(</w:t>
      </w:r>
      <w:r/>
    </w:p>
    <w:p w14:paraId="3C8D5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150D4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C4BF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4D7A8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series_id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FRED series identifier e.g. 'DGS10'</w:t>
      </w:r>
      <w:r/>
    </w:p>
    <w:p w14:paraId="2C200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observation_date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A67B0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value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FRED returns '.' for missing values</w:t>
      </w:r>
      <w:r/>
    </w:p>
    <w:p w14:paraId="684280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093F42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1D1FC9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1D4FC6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CA57A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INDEX</w:t>
      </w:r>
      <w:r>
        <w:rPr>
          <w:rFonts w:ascii="Times New Roman" w:hAnsi="Times New Roman" w:eastAsia="Times New Roman" w:cs="Times New Roman"/>
          <w:color w:val="eaecf0"/>
          <w:sz w:val="24"/>
        </w:rPr>
        <w:t xml:space="preserve"> idx_landing_fred_series_date</w:t>
      </w:r>
      <w:r/>
    </w:p>
    <w:p w14:paraId="2A6A59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landing_fred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series_id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observation_date</w:t>
      </w:r>
      <w:r>
        <w:rPr>
          <w:rFonts w:ascii="Times New Roman" w:hAnsi="Times New Roman" w:eastAsia="Times New Roman" w:cs="Times New Roman"/>
          <w:color w:val="d3d7de"/>
          <w:sz w:val="24"/>
        </w:rPr>
        <w:t xml:space="preserve">);</w:t>
      </w:r>
      <w:r/>
    </w:p>
    <w:p w14:paraId="71906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 on FRED value type:</w:t>
      </w:r>
      <w:r>
        <w:rPr>
          <w:rFonts w:ascii="Times New Roman" w:hAnsi="Times New Roman" w:eastAsia="Times New Roman" w:cs="Times New Roman"/>
          <w:color w:val="000000"/>
          <w:sz w:val="24"/>
        </w:rPr>
        <w:t xml:space="preserve"> FRED returns values as text, including the sentinel '.' for missing observations. The adapter converts numeric values to DOUBLE PRECISION and maps '.' to NULL with validation flag </w:t>
      </w:r>
      <w:r>
        <w:rPr>
          <w:rFonts w:ascii="Courier New" w:hAnsi="Courier New" w:eastAsia="Courier New" w:cs="Courier New"/>
          <w:color w:val="000000"/>
          <w:sz w:val="20"/>
        </w:rPr>
        <w:t xml:space="preserve">SOURCE_MISSING_VALUE</w:t>
      </w:r>
      <w:r>
        <w:rPr>
          <w:rFonts w:ascii="Times New Roman" w:hAnsi="Times New Roman" w:eastAsia="Times New Roman" w:cs="Times New Roman"/>
          <w:color w:val="000000"/>
          <w:sz w:val="24"/>
        </w:rPr>
        <w:t xml:space="preserve">.</w:t>
      </w:r>
      <w:r/>
    </w:p>
    <w:p w14:paraId="14EE2B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Collection agent specification:</w:t>
      </w:r>
      <w:r/>
    </w:p>
    <w:p w14:paraId="5A1D7A7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Cadence: daily at 18:00 UTC (most FRED series update during US business hours)</w:t>
      </w:r>
      <w:r/>
    </w:p>
    <w:p w14:paraId="0DEF0E86">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Series list: maintained in collection agent configuration, maps FRED series ID to canonical metric name</w:t>
      </w:r>
      <w:r/>
    </w:p>
    <w:p w14:paraId="615CC66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Fetch pattern: incremental — fetch only observations since last collected date. Full history fetched on backfill run.</w:t>
      </w:r>
      <w:r/>
    </w:p>
    <w:p w14:paraId="31A8E5B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Failure handling: FRED is highly reliable. Single retry. On failure, gap is acceptable — macro data moves slowly and a one-day gap doesn't invalidate a signal.</w:t>
      </w:r>
      <w:r/>
    </w:p>
    <w:p w14:paraId="119B23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FRED series to canonical metric mapping:</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41"/>
        <w:gridCol w:w="2585"/>
        <w:gridCol w:w="1392"/>
        <w:gridCol w:w="4237"/>
      </w:tblGrid>
      <w:tr>
        <w:trPr/>
        <w:tc>
          <w:tcPr>
            <w:tcBorders/>
            <w:tcMar>
              <w:left w:w="15" w:type="dxa"/>
              <w:top w:w="15" w:type="dxa"/>
              <w:right w:w="15" w:type="dxa"/>
              <w:bottom w:w="15" w:type="dxa"/>
            </w:tcMar>
            <w:tcW w:w="1141" w:type="dxa"/>
            <w:vAlign w:val="center"/>
          </w:tcPr>
          <w:p w14:paraId="37048502">
            <w:pPr>
              <w:pBdr/>
              <w:spacing w:after="0" w:before="0" w:line="240"/>
              <w:ind/>
              <w:jc w:val="center"/>
              <w:rPr/>
            </w:pPr>
            <w:r>
              <w:rPr>
                <w:rFonts w:ascii="Times New Roman" w:hAnsi="Times New Roman" w:eastAsia="Times New Roman" w:cs="Times New Roman"/>
                <w:b/>
                <w:color w:val="000000"/>
                <w:sz w:val="24"/>
              </w:rPr>
              <w:t xml:space="preserve">FRED series_id</w:t>
            </w:r>
            <w:r/>
          </w:p>
        </w:tc>
        <w:tc>
          <w:tcPr>
            <w:tcBorders/>
            <w:tcMar>
              <w:left w:w="15" w:type="dxa"/>
              <w:top w:w="15" w:type="dxa"/>
              <w:right w:w="15" w:type="dxa"/>
              <w:bottom w:w="15" w:type="dxa"/>
            </w:tcMar>
            <w:tcW w:w="2585" w:type="dxa"/>
            <w:vAlign w:val="center"/>
          </w:tcPr>
          <w:p w14:paraId="0903D285">
            <w:pPr>
              <w:pBdr/>
              <w:spacing w:after="0" w:before="0" w:line="240"/>
              <w:ind/>
              <w:jc w:val="center"/>
              <w:rPr/>
            </w:pPr>
            <w:r>
              <w:rPr>
                <w:rFonts w:ascii="Times New Roman" w:hAnsi="Times New Roman" w:eastAsia="Times New Roman" w:cs="Times New Roman"/>
                <w:b/>
                <w:color w:val="000000"/>
                <w:sz w:val="24"/>
              </w:rPr>
              <w:t xml:space="preserve">Canonical metric</w:t>
            </w:r>
            <w:r/>
          </w:p>
        </w:tc>
        <w:tc>
          <w:tcPr>
            <w:tcBorders/>
            <w:tcMar>
              <w:left w:w="15" w:type="dxa"/>
              <w:top w:w="15" w:type="dxa"/>
              <w:right w:w="15" w:type="dxa"/>
              <w:bottom w:w="15" w:type="dxa"/>
            </w:tcMar>
            <w:tcW w:w="1392" w:type="dxa"/>
            <w:vAlign w:val="center"/>
          </w:tcPr>
          <w:p w14:paraId="1AC69C57">
            <w:pPr>
              <w:pBdr/>
              <w:spacing w:after="0" w:before="0" w:line="240"/>
              <w:ind/>
              <w:jc w:val="center"/>
              <w:rPr/>
            </w:pPr>
            <w:r>
              <w:rPr>
                <w:rFonts w:ascii="Times New Roman" w:hAnsi="Times New Roman" w:eastAsia="Times New Roman" w:cs="Times New Roman"/>
                <w:b/>
                <w:color w:val="000000"/>
                <w:sz w:val="24"/>
              </w:rPr>
              <w:t xml:space="preserve">Unit conversion</w:t>
            </w:r>
            <w:r/>
          </w:p>
        </w:tc>
        <w:tc>
          <w:tcPr>
            <w:tcBorders/>
            <w:tcMar>
              <w:left w:w="15" w:type="dxa"/>
              <w:top w:w="15" w:type="dxa"/>
              <w:right w:w="15" w:type="dxa"/>
              <w:bottom w:w="15" w:type="dxa"/>
            </w:tcMar>
            <w:tcW w:w="4237" w:type="dxa"/>
            <w:vAlign w:val="center"/>
          </w:tcPr>
          <w:p w14:paraId="3DAB3B93">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1141" w:type="dxa"/>
            <w:vAlign w:val="center"/>
          </w:tcPr>
          <w:p w14:paraId="4C4943C9">
            <w:pPr>
              <w:pBdr/>
              <w:spacing w:after="0" w:before="0" w:line="240"/>
              <w:ind/>
              <w:rPr/>
            </w:pPr>
            <w:r>
              <w:rPr>
                <w:rFonts w:ascii="Courier New" w:hAnsi="Courier New" w:eastAsia="Courier New" w:cs="Courier New"/>
                <w:color w:val="000000"/>
                <w:sz w:val="20"/>
              </w:rPr>
              <w:t xml:space="preserve">DGS10</w:t>
            </w:r>
            <w:r/>
          </w:p>
        </w:tc>
        <w:tc>
          <w:tcPr>
            <w:tcBorders/>
            <w:tcMar>
              <w:left w:w="15" w:type="dxa"/>
              <w:top w:w="15" w:type="dxa"/>
              <w:right w:w="15" w:type="dxa"/>
              <w:bottom w:w="15" w:type="dxa"/>
            </w:tcMar>
            <w:tcW w:w="2585" w:type="dxa"/>
            <w:vAlign w:val="center"/>
          </w:tcPr>
          <w:p w14:paraId="68247CF7">
            <w:pPr>
              <w:pBdr/>
              <w:spacing w:after="0" w:before="0" w:line="240"/>
              <w:ind/>
              <w:rPr/>
            </w:pPr>
            <w:r>
              <w:rPr>
                <w:rFonts w:ascii="Courier New" w:hAnsi="Courier New" w:eastAsia="Courier New" w:cs="Courier New"/>
                <w:color w:val="000000"/>
                <w:sz w:val="20"/>
              </w:rPr>
              <w:t xml:space="preserve">macro.rates.yield_10y</w:t>
            </w:r>
            <w:r/>
          </w:p>
        </w:tc>
        <w:tc>
          <w:tcPr>
            <w:tcBorders/>
            <w:tcMar>
              <w:left w:w="15" w:type="dxa"/>
              <w:top w:w="15" w:type="dxa"/>
              <w:right w:w="15" w:type="dxa"/>
              <w:bottom w:w="15" w:type="dxa"/>
            </w:tcMar>
            <w:tcW w:w="1392" w:type="dxa"/>
            <w:vAlign w:val="center"/>
          </w:tcPr>
          <w:p w14:paraId="059FC6CC">
            <w:pPr>
              <w:pBdr/>
              <w:spacing w:after="0" w:before="0" w:line="240"/>
              <w:ind/>
              <w:rPr/>
            </w:pPr>
            <w:r>
              <w:rPr>
                <w:rFonts w:ascii="Times New Roman" w:hAnsi="Times New Roman" w:eastAsia="Times New Roman" w:cs="Times New Roman"/>
                <w:color w:val="000000"/>
                <w:sz w:val="24"/>
              </w:rPr>
              <w:t xml:space="preserve">Already percentage</w:t>
            </w:r>
            <w:r/>
          </w:p>
        </w:tc>
        <w:tc>
          <w:tcPr>
            <w:tcBorders/>
            <w:tcMar>
              <w:left w:w="15" w:type="dxa"/>
              <w:top w:w="15" w:type="dxa"/>
              <w:right w:w="15" w:type="dxa"/>
              <w:bottom w:w="15" w:type="dxa"/>
            </w:tcMar>
            <w:tcW w:w="4237" w:type="dxa"/>
            <w:vAlign w:val="center"/>
          </w:tcPr>
          <w:p w14:paraId="43D49585">
            <w:pPr>
              <w:pBdr/>
              <w:spacing w:after="0" w:before="0" w:line="240"/>
              <w:ind/>
              <w:rPr/>
            </w:pPr>
            <w:r>
              <w:rPr>
                <w:rFonts w:ascii="Times New Roman" w:hAnsi="Times New Roman" w:eastAsia="Times New Roman" w:cs="Times New Roman"/>
                <w:color w:val="000000"/>
                <w:sz w:val="24"/>
              </w:rPr>
              <w:t xml:space="preserve">10-Year Treasury Constant Maturity Rate</w:t>
            </w:r>
            <w:r/>
          </w:p>
        </w:tc>
      </w:tr>
      <w:tr>
        <w:trPr/>
        <w:tc>
          <w:tcPr>
            <w:tcBorders/>
            <w:tcMar>
              <w:left w:w="15" w:type="dxa"/>
              <w:top w:w="15" w:type="dxa"/>
              <w:right w:w="15" w:type="dxa"/>
              <w:bottom w:w="15" w:type="dxa"/>
            </w:tcMar>
            <w:tcW w:w="1141" w:type="dxa"/>
            <w:vAlign w:val="center"/>
          </w:tcPr>
          <w:p w14:paraId="1891CA76">
            <w:pPr>
              <w:pBdr/>
              <w:spacing w:after="0" w:before="0" w:line="240"/>
              <w:ind/>
              <w:rPr/>
            </w:pPr>
            <w:r>
              <w:rPr>
                <w:rFonts w:ascii="Courier New" w:hAnsi="Courier New" w:eastAsia="Courier New" w:cs="Courier New"/>
                <w:color w:val="000000"/>
                <w:sz w:val="20"/>
              </w:rPr>
              <w:t xml:space="preserve">DGS2</w:t>
            </w:r>
            <w:r/>
          </w:p>
        </w:tc>
        <w:tc>
          <w:tcPr>
            <w:tcBorders/>
            <w:tcMar>
              <w:left w:w="15" w:type="dxa"/>
              <w:top w:w="15" w:type="dxa"/>
              <w:right w:w="15" w:type="dxa"/>
              <w:bottom w:w="15" w:type="dxa"/>
            </w:tcMar>
            <w:tcW w:w="2585" w:type="dxa"/>
            <w:vAlign w:val="center"/>
          </w:tcPr>
          <w:p w14:paraId="2E3AF35E">
            <w:pPr>
              <w:pBdr/>
              <w:spacing w:after="0" w:before="0" w:line="240"/>
              <w:ind/>
              <w:rPr/>
            </w:pPr>
            <w:r>
              <w:rPr>
                <w:rFonts w:ascii="Courier New" w:hAnsi="Courier New" w:eastAsia="Courier New" w:cs="Courier New"/>
                <w:color w:val="000000"/>
                <w:sz w:val="20"/>
              </w:rPr>
              <w:t xml:space="preserve">macro.rates.yield_2y</w:t>
            </w:r>
            <w:r/>
          </w:p>
        </w:tc>
        <w:tc>
          <w:tcPr>
            <w:tcBorders/>
            <w:tcMar>
              <w:left w:w="15" w:type="dxa"/>
              <w:top w:w="15" w:type="dxa"/>
              <w:right w:w="15" w:type="dxa"/>
              <w:bottom w:w="15" w:type="dxa"/>
            </w:tcMar>
            <w:tcW w:w="1392" w:type="dxa"/>
            <w:vAlign w:val="center"/>
          </w:tcPr>
          <w:p w14:paraId="7109A761">
            <w:pPr>
              <w:pBdr/>
              <w:spacing w:after="0" w:before="0" w:line="240"/>
              <w:ind/>
              <w:rPr/>
            </w:pPr>
            <w:r>
              <w:rPr>
                <w:rFonts w:ascii="Times New Roman" w:hAnsi="Times New Roman" w:eastAsia="Times New Roman" w:cs="Times New Roman"/>
                <w:color w:val="000000"/>
                <w:sz w:val="24"/>
              </w:rPr>
              <w:t xml:space="preserve">Already percentage</w:t>
            </w:r>
            <w:r/>
          </w:p>
        </w:tc>
        <w:tc>
          <w:tcPr>
            <w:tcBorders/>
            <w:tcMar>
              <w:left w:w="15" w:type="dxa"/>
              <w:top w:w="15" w:type="dxa"/>
              <w:right w:w="15" w:type="dxa"/>
              <w:bottom w:w="15" w:type="dxa"/>
            </w:tcMar>
            <w:tcW w:w="4237" w:type="dxa"/>
            <w:vAlign w:val="center"/>
          </w:tcPr>
          <w:p w14:paraId="1F83145F">
            <w:pPr>
              <w:pBdr/>
              <w:spacing w:after="0" w:before="0" w:line="240"/>
              <w:ind/>
              <w:rPr/>
            </w:pPr>
            <w:r>
              <w:rPr>
                <w:rFonts w:ascii="Times New Roman" w:hAnsi="Times New Roman" w:eastAsia="Times New Roman" w:cs="Times New Roman"/>
                <w:color w:val="000000"/>
                <w:sz w:val="24"/>
              </w:rPr>
              <w:t xml:space="preserve">2-Year Treasury Constant Maturity Rate</w:t>
            </w:r>
            <w:r/>
          </w:p>
        </w:tc>
      </w:tr>
      <w:tr>
        <w:trPr/>
        <w:tc>
          <w:tcPr>
            <w:tcBorders/>
            <w:tcMar>
              <w:left w:w="15" w:type="dxa"/>
              <w:top w:w="15" w:type="dxa"/>
              <w:right w:w="15" w:type="dxa"/>
              <w:bottom w:w="15" w:type="dxa"/>
            </w:tcMar>
            <w:tcW w:w="1141" w:type="dxa"/>
            <w:vAlign w:val="center"/>
          </w:tcPr>
          <w:p w14:paraId="74384CBC">
            <w:pPr>
              <w:pBdr/>
              <w:spacing w:after="0" w:before="0" w:line="240"/>
              <w:ind/>
              <w:rPr/>
            </w:pPr>
            <w:r>
              <w:rPr>
                <w:rFonts w:ascii="Courier New" w:hAnsi="Courier New" w:eastAsia="Courier New" w:cs="Courier New"/>
                <w:color w:val="000000"/>
                <w:sz w:val="20"/>
              </w:rPr>
              <w:t xml:space="preserve">DTWEXBGS</w:t>
            </w:r>
            <w:r/>
          </w:p>
        </w:tc>
        <w:tc>
          <w:tcPr>
            <w:tcBorders/>
            <w:tcMar>
              <w:left w:w="15" w:type="dxa"/>
              <w:top w:w="15" w:type="dxa"/>
              <w:right w:w="15" w:type="dxa"/>
              <w:bottom w:w="15" w:type="dxa"/>
            </w:tcMar>
            <w:tcW w:w="2585" w:type="dxa"/>
            <w:vAlign w:val="center"/>
          </w:tcPr>
          <w:p w14:paraId="1A741500">
            <w:pPr>
              <w:pBdr/>
              <w:spacing w:after="0" w:before="0" w:line="240"/>
              <w:ind/>
              <w:rPr/>
            </w:pPr>
            <w:r>
              <w:rPr>
                <w:rFonts w:ascii="Courier New" w:hAnsi="Courier New" w:eastAsia="Courier New" w:cs="Courier New"/>
                <w:color w:val="000000"/>
                <w:sz w:val="20"/>
              </w:rPr>
              <w:t xml:space="preserve">macro.fx.dxy</w:t>
            </w:r>
            <w:r/>
          </w:p>
        </w:tc>
        <w:tc>
          <w:tcPr>
            <w:tcBorders/>
            <w:tcMar>
              <w:left w:w="15" w:type="dxa"/>
              <w:top w:w="15" w:type="dxa"/>
              <w:right w:w="15" w:type="dxa"/>
              <w:bottom w:w="15" w:type="dxa"/>
            </w:tcMar>
            <w:tcW w:w="1392" w:type="dxa"/>
            <w:vAlign w:val="center"/>
          </w:tcPr>
          <w:p w14:paraId="6BE23561">
            <w:pPr>
              <w:pBdr/>
              <w:spacing w:after="0" w:before="0" w:line="240"/>
              <w:ind/>
              <w:rPr/>
            </w:pPr>
            <w:r>
              <w:rPr>
                <w:rFonts w:ascii="Times New Roman" w:hAnsi="Times New Roman" w:eastAsia="Times New Roman" w:cs="Times New Roman"/>
                <w:color w:val="000000"/>
                <w:sz w:val="24"/>
              </w:rPr>
              <w:t xml:space="preserve">Already index value</w:t>
            </w:r>
            <w:r/>
          </w:p>
        </w:tc>
        <w:tc>
          <w:tcPr>
            <w:tcBorders/>
            <w:tcMar>
              <w:left w:w="15" w:type="dxa"/>
              <w:top w:w="15" w:type="dxa"/>
              <w:right w:w="15" w:type="dxa"/>
              <w:bottom w:w="15" w:type="dxa"/>
            </w:tcMar>
            <w:tcW w:w="4237" w:type="dxa"/>
            <w:vAlign w:val="center"/>
          </w:tcPr>
          <w:p w14:paraId="12297FA0">
            <w:pPr>
              <w:pBdr/>
              <w:spacing w:after="0" w:before="0" w:line="240"/>
              <w:ind/>
              <w:rPr/>
            </w:pPr>
            <w:r>
              <w:rPr>
                <w:rFonts w:ascii="Times New Roman" w:hAnsi="Times New Roman" w:eastAsia="Times New Roman" w:cs="Times New Roman"/>
                <w:color w:val="000000"/>
                <w:sz w:val="24"/>
              </w:rPr>
              <w:t xml:space="preserve">Trade Weighted U.S. Dollar Index: Broad Goods and Services</w:t>
            </w:r>
            <w:r/>
          </w:p>
        </w:tc>
      </w:tr>
      <w:tr>
        <w:trPr/>
        <w:tc>
          <w:tcPr>
            <w:tcBorders/>
            <w:tcMar>
              <w:left w:w="15" w:type="dxa"/>
              <w:top w:w="15" w:type="dxa"/>
              <w:right w:w="15" w:type="dxa"/>
              <w:bottom w:w="15" w:type="dxa"/>
            </w:tcMar>
            <w:tcW w:w="1141" w:type="dxa"/>
            <w:vAlign w:val="center"/>
          </w:tcPr>
          <w:p w14:paraId="7A9A351E">
            <w:pPr>
              <w:pBdr/>
              <w:spacing w:after="0" w:before="0" w:line="240"/>
              <w:ind/>
              <w:rPr/>
            </w:pPr>
            <w:r>
              <w:rPr>
                <w:rFonts w:ascii="Courier New" w:hAnsi="Courier New" w:eastAsia="Courier New" w:cs="Courier New"/>
                <w:color w:val="000000"/>
                <w:sz w:val="20"/>
              </w:rPr>
              <w:t xml:space="preserve">BAMLH0A0HYM2</w:t>
            </w:r>
            <w:r/>
          </w:p>
        </w:tc>
        <w:tc>
          <w:tcPr>
            <w:tcBorders/>
            <w:tcMar>
              <w:left w:w="15" w:type="dxa"/>
              <w:top w:w="15" w:type="dxa"/>
              <w:right w:w="15" w:type="dxa"/>
              <w:bottom w:w="15" w:type="dxa"/>
            </w:tcMar>
            <w:tcW w:w="2585" w:type="dxa"/>
            <w:vAlign w:val="center"/>
          </w:tcPr>
          <w:p w14:paraId="6A238642">
            <w:pPr>
              <w:pBdr/>
              <w:spacing w:after="0" w:before="0" w:line="240"/>
              <w:ind/>
              <w:rPr/>
            </w:pPr>
            <w:r>
              <w:rPr>
                <w:rFonts w:ascii="Courier New" w:hAnsi="Courier New" w:eastAsia="Courier New" w:cs="Courier New"/>
                <w:color w:val="000000"/>
                <w:sz w:val="20"/>
              </w:rPr>
              <w:t xml:space="preserve">macro.credit.hy_oas</w:t>
            </w:r>
            <w:r/>
          </w:p>
        </w:tc>
        <w:tc>
          <w:tcPr>
            <w:tcBorders/>
            <w:tcMar>
              <w:left w:w="15" w:type="dxa"/>
              <w:top w:w="15" w:type="dxa"/>
              <w:right w:w="15" w:type="dxa"/>
              <w:bottom w:w="15" w:type="dxa"/>
            </w:tcMar>
            <w:tcW w:w="1392" w:type="dxa"/>
            <w:vAlign w:val="center"/>
          </w:tcPr>
          <w:p w14:paraId="1DF200C1">
            <w:pPr>
              <w:pBdr/>
              <w:spacing w:after="0" w:before="0" w:line="240"/>
              <w:ind/>
              <w:rPr/>
            </w:pPr>
            <w:r>
              <w:rPr>
                <w:rFonts w:ascii="Times New Roman" w:hAnsi="Times New Roman" w:eastAsia="Times New Roman" w:cs="Times New Roman"/>
                <w:color w:val="000000"/>
                <w:sz w:val="24"/>
              </w:rPr>
              <w:t xml:space="preserve">Already basis points</w:t>
            </w:r>
            <w:r/>
          </w:p>
        </w:tc>
        <w:tc>
          <w:tcPr>
            <w:tcBorders/>
            <w:tcMar>
              <w:left w:w="15" w:type="dxa"/>
              <w:top w:w="15" w:type="dxa"/>
              <w:right w:w="15" w:type="dxa"/>
              <w:bottom w:w="15" w:type="dxa"/>
            </w:tcMar>
            <w:tcW w:w="4237" w:type="dxa"/>
            <w:vAlign w:val="center"/>
          </w:tcPr>
          <w:p w14:paraId="2BB22178">
            <w:pPr>
              <w:pBdr/>
              <w:spacing w:after="0" w:before="0" w:line="240"/>
              <w:ind/>
              <w:rPr/>
            </w:pPr>
            <w:r>
              <w:rPr>
                <w:rFonts w:ascii="Times New Roman" w:hAnsi="Times New Roman" w:eastAsia="Times New Roman" w:cs="Times New Roman"/>
                <w:color w:val="000000"/>
                <w:sz w:val="24"/>
              </w:rPr>
              <w:t xml:space="preserve">ICE BofA US High Yield Index Option-Adjusted Spread</w:t>
            </w:r>
            <w:r/>
          </w:p>
        </w:tc>
      </w:tr>
      <w:tr>
        <w:trPr/>
        <w:tc>
          <w:tcPr>
            <w:tcBorders/>
            <w:tcMar>
              <w:left w:w="15" w:type="dxa"/>
              <w:top w:w="15" w:type="dxa"/>
              <w:right w:w="15" w:type="dxa"/>
              <w:bottom w:w="15" w:type="dxa"/>
            </w:tcMar>
            <w:tcW w:w="1141" w:type="dxa"/>
            <w:vAlign w:val="center"/>
          </w:tcPr>
          <w:p w14:paraId="0050B9AA">
            <w:pPr>
              <w:pBdr/>
              <w:spacing w:after="0" w:before="0" w:line="240"/>
              <w:ind/>
              <w:rPr/>
            </w:pPr>
            <w:r>
              <w:rPr>
                <w:rFonts w:ascii="Courier New" w:hAnsi="Courier New" w:eastAsia="Courier New" w:cs="Courier New"/>
                <w:color w:val="000000"/>
                <w:sz w:val="20"/>
              </w:rPr>
              <w:t xml:space="preserve">EFFR</w:t>
            </w:r>
            <w:r/>
          </w:p>
        </w:tc>
        <w:tc>
          <w:tcPr>
            <w:tcBorders/>
            <w:tcMar>
              <w:left w:w="15" w:type="dxa"/>
              <w:top w:w="15" w:type="dxa"/>
              <w:right w:w="15" w:type="dxa"/>
              <w:bottom w:w="15" w:type="dxa"/>
            </w:tcMar>
            <w:tcW w:w="2585" w:type="dxa"/>
            <w:vAlign w:val="center"/>
          </w:tcPr>
          <w:p w14:paraId="5290FF09">
            <w:pPr>
              <w:pBdr/>
              <w:spacing w:after="0" w:before="0" w:line="240"/>
              <w:ind/>
              <w:rPr/>
            </w:pPr>
            <w:r>
              <w:rPr>
                <w:rFonts w:ascii="Courier New" w:hAnsi="Courier New" w:eastAsia="Courier New" w:cs="Courier New"/>
                <w:color w:val="000000"/>
                <w:sz w:val="20"/>
              </w:rPr>
              <w:t xml:space="preserve">macro.rates.fed_funds_effective</w:t>
            </w:r>
            <w:r/>
          </w:p>
        </w:tc>
        <w:tc>
          <w:tcPr>
            <w:tcBorders/>
            <w:tcMar>
              <w:left w:w="15" w:type="dxa"/>
              <w:top w:w="15" w:type="dxa"/>
              <w:right w:w="15" w:type="dxa"/>
              <w:bottom w:w="15" w:type="dxa"/>
            </w:tcMar>
            <w:tcW w:w="1392" w:type="dxa"/>
            <w:vAlign w:val="center"/>
          </w:tcPr>
          <w:p w14:paraId="28ACB80D">
            <w:pPr>
              <w:pBdr/>
              <w:spacing w:after="0" w:before="0" w:line="240"/>
              <w:ind/>
              <w:rPr/>
            </w:pPr>
            <w:r>
              <w:rPr>
                <w:rFonts w:ascii="Times New Roman" w:hAnsi="Times New Roman" w:eastAsia="Times New Roman" w:cs="Times New Roman"/>
                <w:color w:val="000000"/>
                <w:sz w:val="24"/>
              </w:rPr>
              <w:t xml:space="preserve">Already percentage</w:t>
            </w:r>
            <w:r/>
          </w:p>
        </w:tc>
        <w:tc>
          <w:tcPr>
            <w:tcBorders/>
            <w:tcMar>
              <w:left w:w="15" w:type="dxa"/>
              <w:top w:w="15" w:type="dxa"/>
              <w:right w:w="15" w:type="dxa"/>
              <w:bottom w:w="15" w:type="dxa"/>
            </w:tcMar>
            <w:tcW w:w="4237" w:type="dxa"/>
            <w:vAlign w:val="center"/>
          </w:tcPr>
          <w:p w14:paraId="79E7FCC8">
            <w:pPr>
              <w:pBdr/>
              <w:spacing w:after="0" w:before="0" w:line="240"/>
              <w:ind/>
              <w:rPr/>
            </w:pPr>
            <w:r>
              <w:rPr>
                <w:rFonts w:ascii="Times New Roman" w:hAnsi="Times New Roman" w:eastAsia="Times New Roman" w:cs="Times New Roman"/>
                <w:color w:val="000000"/>
                <w:sz w:val="24"/>
              </w:rPr>
              <w:t xml:space="preserve">Effective Federal Funds Rate</w:t>
            </w:r>
            <w:r/>
          </w:p>
        </w:tc>
      </w:tr>
    </w:tbl>
    <w:p w14:paraId="0777B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Known data quality issues:</w:t>
      </w:r>
      <w:r/>
    </w:p>
    <w:p w14:paraId="00FFE8FC">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FRED revises historical values occasionally. The bitemporal model handles this correctly — the adapter re-inserts with the same </w:t>
      </w:r>
      <w:r>
        <w:rPr>
          <w:rFonts w:ascii="Courier New" w:hAnsi="Courier New" w:eastAsia="Courier New" w:cs="Courier New"/>
          <w:color w:val="000000"/>
          <w:sz w:val="20"/>
        </w:rPr>
        <w:t xml:space="preserve">valid_from</w:t>
      </w:r>
      <w:r>
        <w:rPr>
          <w:rFonts w:ascii="Times New Roman" w:hAnsi="Times New Roman" w:eastAsia="Times New Roman" w:cs="Times New Roman"/>
          <w:color w:val="000000"/>
          <w:sz w:val="24"/>
        </w:rPr>
        <w:t xml:space="preserve"> and the revision closes the previous row.</w:t>
      </w:r>
      <w:r/>
    </w:p>
    <w:p w14:paraId="2B527C59">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Weekend and holiday gaps are structural — FRED series don't update on non-business days. These are not data quality issues. The feature engineering layer handles them via the </w:t>
      </w:r>
      <w:r>
        <w:rPr>
          <w:rFonts w:ascii="Courier New" w:hAnsi="Courier New" w:eastAsia="Courier New" w:cs="Courier New"/>
          <w:color w:val="000000"/>
          <w:sz w:val="20"/>
        </w:rPr>
        <w:t xml:space="preserve">INSUFFICIENT_HISTORY</w:t>
      </w:r>
      <w:r>
        <w:rPr>
          <w:rFonts w:ascii="Times New Roman" w:hAnsi="Times New Roman" w:eastAsia="Times New Roman" w:cs="Times New Roman"/>
          <w:color w:val="000000"/>
          <w:sz w:val="24"/>
        </w:rPr>
        <w:t xml:space="preserve"> null state when a rolling window spans a gap period.</w:t>
      </w:r>
      <w:r/>
    </w:p>
    <w:p w14:paraId="773064B9">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 SoSoValue (ETF Flows)</w:t>
      </w:r>
      <w:r/>
    </w:p>
    <w:p w14:paraId="61E440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it provides:</w:t>
      </w:r>
      <w:r>
        <w:rPr>
          <w:rFonts w:ascii="Times New Roman" w:hAnsi="Times New Roman" w:eastAsia="Times New Roman" w:cs="Times New Roman"/>
          <w:color w:val="000000"/>
          <w:sz w:val="24"/>
        </w:rPr>
        <w:t xml:space="preserve"> Daily ETF flow data for Bitcoin and Ethereum spot ETFs.</w:t>
      </w:r>
      <w:r/>
    </w:p>
    <w:p w14:paraId="7DED98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ToS status:</w:t>
      </w:r>
      <w:r>
        <w:rPr>
          <w:rFonts w:ascii="Times New Roman" w:hAnsi="Times New Roman" w:eastAsia="Times New Roman" w:cs="Times New Roman"/>
          <w:color w:val="000000"/>
          <w:sz w:val="24"/>
        </w:rPr>
        <w:t xml:space="preserve"> Non-commercial only per the existing audit. </w:t>
      </w:r>
      <w:r>
        <w:rPr>
          <w:rFonts w:ascii="Times New Roman" w:hAnsi="Times New Roman" w:eastAsia="Times New Roman" w:cs="Times New Roman"/>
          <w:b/>
          <w:color w:val="000000"/>
          <w:sz w:val="24"/>
        </w:rPr>
        <w:t xml:space="preserve">This is a hard constraint.</w:t>
      </w:r>
      <w:r>
        <w:rPr>
          <w:rFonts w:ascii="Times New Roman" w:hAnsi="Times New Roman" w:eastAsia="Times New Roman" w:cs="Times New Roman"/>
          <w:color w:val="000000"/>
          <w:sz w:val="24"/>
        </w:rPr>
        <w:t xml:space="preserve"> SoSoValue data cannot be in any external data product — it can only be used for internal signal generation. The adapter must tag all SoSoValue observations with </w:t>
      </w:r>
      <w:r>
        <w:rPr>
          <w:rFonts w:ascii="Courier New" w:hAnsi="Courier New" w:eastAsia="Courier New" w:cs="Courier New"/>
          <w:color w:val="000000"/>
          <w:sz w:val="20"/>
        </w:rPr>
        <w:t xml:space="preserve">redistribution = false</w:t>
      </w:r>
      <w:r>
        <w:rPr>
          <w:rFonts w:ascii="Times New Roman" w:hAnsi="Times New Roman" w:eastAsia="Times New Roman" w:cs="Times New Roman"/>
          <w:color w:val="000000"/>
          <w:sz w:val="24"/>
        </w:rPr>
        <w:t xml:space="preserve"> in the source catalog entry. The API layer (Thread 6) must enforce this restriction: any query that would return SoSoValue-derived data to a customer must be blocked or the data must be excluded from the response.</w:t>
      </w:r>
      <w:r/>
    </w:p>
    <w:p w14:paraId="7B4381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w:t>
      </w:r>
      <w:r/>
    </w:p>
    <w:p w14:paraId="0EA3DE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387CCE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landing_sosovalue </w:t>
      </w:r>
      <w:r>
        <w:rPr>
          <w:rFonts w:ascii="Times New Roman" w:hAnsi="Times New Roman" w:eastAsia="Times New Roman" w:cs="Times New Roman"/>
          <w:color w:val="d3d7de"/>
          <w:sz w:val="24"/>
        </w:rPr>
        <w:t xml:space="preserve">(</w:t>
      </w:r>
      <w:r/>
    </w:p>
    <w:p w14:paraId="06B74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784B3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0B52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58608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product_symbol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e.g. 'IBIT', 'FBTC', 'ETHA'</w:t>
      </w:r>
      <w:r/>
    </w:p>
    <w:p w14:paraId="026E0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underlying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'BTC' or 'ETH'</w:t>
      </w:r>
      <w:r/>
    </w:p>
    <w:p w14:paraId="29E84B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net_flow_usd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32BDB5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aum_usd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3ECD93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observation_date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61C2A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1603D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65DEEE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3BBB2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Collection agent specification:</w:t>
      </w:r>
      <w:r/>
    </w:p>
    <w:p w14:paraId="467A6F30">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Cadence: daily at 20:00 UTC (US ETF flows settle after US market close)</w:t>
      </w:r>
      <w:r/>
    </w:p>
    <w:p w14:paraId="7FDCCA04">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Failure handling: retry 3×. ETF flow data has a natural settlement delay — a missing day can be backfilled the following day without signal impact.</w:t>
      </w:r>
      <w:r/>
    </w:p>
    <w:p w14:paraId="4106EB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Field mappings: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82"/>
        <w:gridCol w:w="1984"/>
        <w:gridCol w:w="6289"/>
      </w:tblGrid>
      <w:tr>
        <w:trPr/>
        <w:tc>
          <w:tcPr>
            <w:tcBorders/>
            <w:tcMar>
              <w:left w:w="15" w:type="dxa"/>
              <w:top w:w="15" w:type="dxa"/>
              <w:right w:w="15" w:type="dxa"/>
              <w:bottom w:w="15" w:type="dxa"/>
            </w:tcMar>
            <w:tcW w:w="1082" w:type="dxa"/>
            <w:vAlign w:val="center"/>
          </w:tcPr>
          <w:p w14:paraId="308DFA15">
            <w:pPr>
              <w:pBdr/>
              <w:spacing w:after="0" w:before="0" w:line="240"/>
              <w:ind/>
              <w:jc w:val="center"/>
              <w:rPr/>
            </w:pPr>
            <w:r>
              <w:rPr>
                <w:rFonts w:ascii="Times New Roman" w:hAnsi="Times New Roman" w:eastAsia="Times New Roman" w:cs="Times New Roman"/>
                <w:b/>
                <w:color w:val="000000"/>
                <w:sz w:val="24"/>
              </w:rPr>
              <w:t xml:space="preserve">Source field</w:t>
            </w:r>
            <w:r/>
          </w:p>
        </w:tc>
        <w:tc>
          <w:tcPr>
            <w:tcBorders/>
            <w:tcMar>
              <w:left w:w="15" w:type="dxa"/>
              <w:top w:w="15" w:type="dxa"/>
              <w:right w:w="15" w:type="dxa"/>
              <w:bottom w:w="15" w:type="dxa"/>
            </w:tcMar>
            <w:tcW w:w="1984" w:type="dxa"/>
            <w:vAlign w:val="center"/>
          </w:tcPr>
          <w:p w14:paraId="46B4A473">
            <w:pPr>
              <w:pBdr/>
              <w:spacing w:after="0" w:before="0" w:line="240"/>
              <w:ind/>
              <w:jc w:val="center"/>
              <w:rPr/>
            </w:pPr>
            <w:r>
              <w:rPr>
                <w:rFonts w:ascii="Times New Roman" w:hAnsi="Times New Roman" w:eastAsia="Times New Roman" w:cs="Times New Roman"/>
                <w:b/>
                <w:color w:val="000000"/>
                <w:sz w:val="24"/>
              </w:rPr>
              <w:t xml:space="preserve">Canonical metric</w:t>
            </w:r>
            <w:r/>
          </w:p>
        </w:tc>
        <w:tc>
          <w:tcPr>
            <w:tcBorders/>
            <w:tcMar>
              <w:left w:w="15" w:type="dxa"/>
              <w:top w:w="15" w:type="dxa"/>
              <w:right w:w="15" w:type="dxa"/>
              <w:bottom w:w="15" w:type="dxa"/>
            </w:tcMar>
            <w:tcW w:w="6289" w:type="dxa"/>
            <w:vAlign w:val="center"/>
          </w:tcPr>
          <w:p w14:paraId="19B1520D">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1082" w:type="dxa"/>
            <w:vAlign w:val="center"/>
          </w:tcPr>
          <w:p w14:paraId="018AAA82">
            <w:pPr>
              <w:pBdr/>
              <w:spacing w:after="0" w:before="0" w:line="240"/>
              <w:ind/>
              <w:rPr/>
            </w:pPr>
            <w:r>
              <w:rPr>
                <w:rFonts w:ascii="Courier New" w:hAnsi="Courier New" w:eastAsia="Courier New" w:cs="Courier New"/>
                <w:color w:val="000000"/>
                <w:sz w:val="20"/>
              </w:rPr>
              <w:t xml:space="preserve">net_flow_usd</w:t>
            </w:r>
            <w:r/>
          </w:p>
        </w:tc>
        <w:tc>
          <w:tcPr>
            <w:tcBorders/>
            <w:tcMar>
              <w:left w:w="15" w:type="dxa"/>
              <w:top w:w="15" w:type="dxa"/>
              <w:right w:w="15" w:type="dxa"/>
              <w:bottom w:w="15" w:type="dxa"/>
            </w:tcMar>
            <w:tcW w:w="1984" w:type="dxa"/>
            <w:vAlign w:val="center"/>
          </w:tcPr>
          <w:p w14:paraId="479A93E0">
            <w:pPr>
              <w:pBdr/>
              <w:spacing w:after="0" w:before="0" w:line="240"/>
              <w:ind/>
              <w:rPr/>
            </w:pPr>
            <w:r>
              <w:rPr>
                <w:rFonts w:ascii="Courier New" w:hAnsi="Courier New" w:eastAsia="Courier New" w:cs="Courier New"/>
                <w:color w:val="000000"/>
                <w:sz w:val="20"/>
              </w:rPr>
              <w:t xml:space="preserve">etf.flows.net_flow_usd</w:t>
            </w:r>
            <w:r/>
          </w:p>
        </w:tc>
        <w:tc>
          <w:tcPr>
            <w:tcBorders/>
            <w:tcMar>
              <w:left w:w="15" w:type="dxa"/>
              <w:top w:w="15" w:type="dxa"/>
              <w:right w:w="15" w:type="dxa"/>
              <w:bottom w:w="15" w:type="dxa"/>
            </w:tcMar>
            <w:tcW w:w="6289" w:type="dxa"/>
            <w:vAlign w:val="center"/>
          </w:tcPr>
          <w:p w14:paraId="0A748522">
            <w:pPr>
              <w:pBdr/>
              <w:spacing w:after="0" w:before="0" w:line="240"/>
              <w:ind/>
              <w:rPr/>
            </w:pPr>
            <w:r>
              <w:rPr>
                <w:rFonts w:ascii="Times New Roman" w:hAnsi="Times New Roman" w:eastAsia="Times New Roman" w:cs="Times New Roman"/>
                <w:color w:val="000000"/>
                <w:sz w:val="24"/>
              </w:rPr>
              <w:t xml:space="preserve">instrument_id = ETF product registered in instruments catalog with asset_class = 'etf'</w:t>
            </w:r>
            <w:r/>
          </w:p>
        </w:tc>
      </w:tr>
      <w:tr>
        <w:trPr/>
        <w:tc>
          <w:tcPr>
            <w:tcBorders/>
            <w:tcMar>
              <w:left w:w="15" w:type="dxa"/>
              <w:top w:w="15" w:type="dxa"/>
              <w:right w:w="15" w:type="dxa"/>
              <w:bottom w:w="15" w:type="dxa"/>
            </w:tcMar>
            <w:tcW w:w="1082" w:type="dxa"/>
            <w:vAlign w:val="center"/>
          </w:tcPr>
          <w:p w14:paraId="2DF5E404">
            <w:pPr>
              <w:pBdr/>
              <w:spacing w:after="0" w:before="0" w:line="240"/>
              <w:ind/>
              <w:rPr/>
            </w:pPr>
            <w:r>
              <w:rPr>
                <w:rFonts w:ascii="Courier New" w:hAnsi="Courier New" w:eastAsia="Courier New" w:cs="Courier New"/>
                <w:color w:val="000000"/>
                <w:sz w:val="20"/>
              </w:rPr>
              <w:t xml:space="preserve">aum_usd</w:t>
            </w:r>
            <w:r/>
          </w:p>
        </w:tc>
        <w:tc>
          <w:tcPr>
            <w:tcBorders/>
            <w:tcMar>
              <w:left w:w="15" w:type="dxa"/>
              <w:top w:w="15" w:type="dxa"/>
              <w:right w:w="15" w:type="dxa"/>
              <w:bottom w:w="15" w:type="dxa"/>
            </w:tcMar>
            <w:tcW w:w="1984" w:type="dxa"/>
            <w:vAlign w:val="center"/>
          </w:tcPr>
          <w:p w14:paraId="644D6396">
            <w:pPr>
              <w:pBdr/>
              <w:spacing w:after="0" w:before="0" w:line="240"/>
              <w:ind/>
              <w:rPr/>
            </w:pPr>
            <w:r>
              <w:rPr>
                <w:rFonts w:ascii="Courier New" w:hAnsi="Courier New" w:eastAsia="Courier New" w:cs="Courier New"/>
                <w:color w:val="000000"/>
                <w:sz w:val="20"/>
              </w:rPr>
              <w:t xml:space="preserve">etf.aum.total_usd</w:t>
            </w:r>
            <w:r/>
          </w:p>
        </w:tc>
        <w:tc>
          <w:tcPr>
            <w:tcBorders/>
            <w:tcMar>
              <w:left w:w="15" w:type="dxa"/>
              <w:top w:w="15" w:type="dxa"/>
              <w:right w:w="15" w:type="dxa"/>
              <w:bottom w:w="15" w:type="dxa"/>
            </w:tcMar>
            <w:tcW w:w="6289" w:type="dxa"/>
            <w:vAlign w:val="center"/>
          </w:tcPr>
          <w:p w14:paraId="5D16BE05">
            <w:pPr>
              <w:pBdr/>
              <w:spacing w:after="0" w:before="0" w:line="240"/>
              <w:ind/>
              <w:rPr/>
            </w:pPr>
            <w:r/>
          </w:p>
        </w:tc>
      </w:tr>
    </w:tbl>
    <w:p w14:paraId="54696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Redistribution restriction enforcement:</w:t>
      </w:r>
      <w:r>
        <w:rPr>
          <w:rFonts w:ascii="Times New Roman" w:hAnsi="Times New Roman" w:eastAsia="Times New Roman" w:cs="Times New Roman"/>
          <w:color w:val="000000"/>
          <w:sz w:val="24"/>
        </w:rPr>
        <w:t xml:space="preserve"> In the sources catalog, SoSoValue is registered with </w:t>
      </w:r>
      <w:r>
        <w:rPr>
          <w:rFonts w:ascii="Courier New" w:hAnsi="Courier New" w:eastAsia="Courier New" w:cs="Courier New"/>
          <w:color w:val="000000"/>
          <w:sz w:val="20"/>
        </w:rPr>
        <w:t xml:space="preserve">redistribution = false</w:t>
      </w:r>
      <w:r>
        <w:rPr>
          <w:rFonts w:ascii="Times New Roman" w:hAnsi="Times New Roman" w:eastAsia="Times New Roman" w:cs="Times New Roman"/>
          <w:color w:val="000000"/>
          <w:sz w:val="24"/>
        </w:rPr>
        <w:t xml:space="preserve">. The data API layer checks this flag before serving any observation and excludes non-redistributable observations from external responses. This is enforced at Layer 5/6, not at Layer 3 — the canonical store holds all data, restrictions are applied at the </w:t>
      </w:r>
      <w:r>
        <w:rPr>
          <w:rFonts w:ascii="Times New Roman" w:hAnsi="Times New Roman" w:eastAsia="Times New Roman" w:cs="Times New Roman"/>
          <w:color w:val="000000"/>
          <w:sz w:val="24"/>
        </w:rPr>
        <w:t xml:space="preserve">serving layer.</w:t>
      </w:r>
      <w:r/>
    </w:p>
    <w:p w14:paraId="3A1F5366">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 Tiingo</w:t>
      </w:r>
      <w:r/>
    </w:p>
    <w:p w14:paraId="155F9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it provides:</w:t>
      </w:r>
      <w:r>
        <w:rPr>
          <w:rFonts w:ascii="Times New Roman" w:hAnsi="Times New Roman" w:eastAsia="Times New Roman" w:cs="Times New Roman"/>
          <w:color w:val="000000"/>
          <w:sz w:val="24"/>
        </w:rPr>
        <w:t xml:space="preserve"> OHLCV price and volume data for crypto and equities. Covers the spot domain.</w:t>
      </w:r>
      <w:r/>
    </w:p>
    <w:p w14:paraId="3D1BB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ToS status:</w:t>
      </w:r>
      <w:r>
        <w:rPr>
          <w:rFonts w:ascii="Times New Roman" w:hAnsi="Times New Roman" w:eastAsia="Times New Roman" w:cs="Times New Roman"/>
          <w:color w:val="000000"/>
          <w:sz w:val="24"/>
        </w:rPr>
        <w:t xml:space="preserve"> Free tier available, low risk. Commercial use permitted with attribution on paid tier.</w:t>
      </w:r>
      <w:r/>
    </w:p>
    <w:p w14:paraId="2AAF4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w:t>
      </w:r>
      <w:r/>
    </w:p>
    <w:p w14:paraId="48D8B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21158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landing_tiingo </w:t>
      </w:r>
      <w:r>
        <w:rPr>
          <w:rFonts w:ascii="Times New Roman" w:hAnsi="Times New Roman" w:eastAsia="Times New Roman" w:cs="Times New Roman"/>
          <w:color w:val="d3d7de"/>
          <w:sz w:val="24"/>
        </w:rPr>
        <w:t xml:space="preserve">(</w:t>
      </w:r>
      <w:r/>
    </w:p>
    <w:p w14:paraId="5CA605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260577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70688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54ED6E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ticker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034CF9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0F317A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open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24B91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high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13F74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low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075524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close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285007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volume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46141B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adj_close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38DFC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adj_volume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1F2355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3CB01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1F5D3C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03FE48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Field mappings: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57"/>
        <w:gridCol w:w="1270"/>
        <w:gridCol w:w="7427"/>
      </w:tblGrid>
      <w:tr>
        <w:trPr/>
        <w:tc>
          <w:tcPr>
            <w:tcBorders/>
            <w:tcMar>
              <w:left w:w="15" w:type="dxa"/>
              <w:top w:w="15" w:type="dxa"/>
              <w:right w:w="15" w:type="dxa"/>
              <w:bottom w:w="15" w:type="dxa"/>
            </w:tcMar>
            <w:tcW w:w="657" w:type="dxa"/>
            <w:vAlign w:val="center"/>
          </w:tcPr>
          <w:p w14:paraId="37F3C2BB">
            <w:pPr>
              <w:pBdr/>
              <w:spacing w:after="0" w:before="0" w:line="240"/>
              <w:ind/>
              <w:jc w:val="center"/>
              <w:rPr/>
            </w:pPr>
            <w:r>
              <w:rPr>
                <w:rFonts w:ascii="Times New Roman" w:hAnsi="Times New Roman" w:eastAsia="Times New Roman" w:cs="Times New Roman"/>
                <w:b/>
                <w:color w:val="000000"/>
                <w:sz w:val="24"/>
              </w:rPr>
              <w:t xml:space="preserve">Source field</w:t>
            </w:r>
            <w:r/>
          </w:p>
        </w:tc>
        <w:tc>
          <w:tcPr>
            <w:tcBorders/>
            <w:tcMar>
              <w:left w:w="15" w:type="dxa"/>
              <w:top w:w="15" w:type="dxa"/>
              <w:right w:w="15" w:type="dxa"/>
              <w:bottom w:w="15" w:type="dxa"/>
            </w:tcMar>
            <w:tcW w:w="1270" w:type="dxa"/>
            <w:vAlign w:val="center"/>
          </w:tcPr>
          <w:p w14:paraId="3C6E2865">
            <w:pPr>
              <w:pBdr/>
              <w:spacing w:after="0" w:before="0" w:line="240"/>
              <w:ind/>
              <w:jc w:val="center"/>
              <w:rPr/>
            </w:pPr>
            <w:r>
              <w:rPr>
                <w:rFonts w:ascii="Times New Roman" w:hAnsi="Times New Roman" w:eastAsia="Times New Roman" w:cs="Times New Roman"/>
                <w:b/>
                <w:color w:val="000000"/>
                <w:sz w:val="24"/>
              </w:rPr>
              <w:t xml:space="preserve">Canonical metric</w:t>
            </w:r>
            <w:r/>
          </w:p>
        </w:tc>
        <w:tc>
          <w:tcPr>
            <w:tcBorders/>
            <w:tcMar>
              <w:left w:w="15" w:type="dxa"/>
              <w:top w:w="15" w:type="dxa"/>
              <w:right w:w="15" w:type="dxa"/>
              <w:bottom w:w="15" w:type="dxa"/>
            </w:tcMar>
            <w:tcW w:w="7427" w:type="dxa"/>
            <w:vAlign w:val="center"/>
          </w:tcPr>
          <w:p w14:paraId="55415749">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657" w:type="dxa"/>
            <w:vAlign w:val="center"/>
          </w:tcPr>
          <w:p w14:paraId="5C22B546">
            <w:pPr>
              <w:pBdr/>
              <w:spacing w:after="0" w:before="0" w:line="240"/>
              <w:ind/>
              <w:rPr/>
            </w:pPr>
            <w:r>
              <w:rPr>
                <w:rFonts w:ascii="Courier New" w:hAnsi="Courier New" w:eastAsia="Courier New" w:cs="Courier New"/>
                <w:color w:val="000000"/>
                <w:sz w:val="20"/>
              </w:rPr>
              <w:t xml:space="preserve">close</w:t>
            </w:r>
            <w:r/>
          </w:p>
        </w:tc>
        <w:tc>
          <w:tcPr>
            <w:tcBorders/>
            <w:tcMar>
              <w:left w:w="15" w:type="dxa"/>
              <w:top w:w="15" w:type="dxa"/>
              <w:right w:w="15" w:type="dxa"/>
              <w:bottom w:w="15" w:type="dxa"/>
            </w:tcMar>
            <w:tcW w:w="1270" w:type="dxa"/>
            <w:vAlign w:val="center"/>
          </w:tcPr>
          <w:p w14:paraId="187F076E">
            <w:pPr>
              <w:pBdr/>
              <w:spacing w:after="0" w:before="0" w:line="240"/>
              <w:ind/>
              <w:rPr/>
            </w:pPr>
            <w:r>
              <w:rPr>
                <w:rFonts w:ascii="Courier New" w:hAnsi="Courier New" w:eastAsia="Courier New" w:cs="Courier New"/>
                <w:color w:val="000000"/>
                <w:sz w:val="20"/>
              </w:rPr>
              <w:t xml:space="preserve">spot.price.close_usd</w:t>
            </w:r>
            <w:r/>
          </w:p>
        </w:tc>
        <w:tc>
          <w:tcPr>
            <w:tcBorders/>
            <w:tcMar>
              <w:left w:w="15" w:type="dxa"/>
              <w:top w:w="15" w:type="dxa"/>
              <w:right w:w="15" w:type="dxa"/>
              <w:bottom w:w="15" w:type="dxa"/>
            </w:tcMar>
            <w:tcW w:w="7427" w:type="dxa"/>
            <w:vAlign w:val="center"/>
          </w:tcPr>
          <w:p w14:paraId="2CD0AE3A">
            <w:pPr>
              <w:pBdr/>
              <w:spacing w:after="0" w:before="0" w:line="240"/>
              <w:ind/>
              <w:rPr/>
            </w:pPr>
            <w:r>
              <w:rPr>
                <w:rFonts w:ascii="Times New Roman" w:hAnsi="Times New Roman" w:eastAsia="Times New Roman" w:cs="Times New Roman"/>
                <w:color w:val="000000"/>
                <w:sz w:val="24"/>
              </w:rPr>
              <w:t xml:space="preserve">Unadjusted close</w:t>
            </w:r>
            <w:r/>
          </w:p>
        </w:tc>
      </w:tr>
      <w:tr>
        <w:trPr/>
        <w:tc>
          <w:tcPr>
            <w:tcBorders/>
            <w:tcMar>
              <w:left w:w="15" w:type="dxa"/>
              <w:top w:w="15" w:type="dxa"/>
              <w:right w:w="15" w:type="dxa"/>
              <w:bottom w:w="15" w:type="dxa"/>
            </w:tcMar>
            <w:tcW w:w="657" w:type="dxa"/>
            <w:vAlign w:val="center"/>
          </w:tcPr>
          <w:p w14:paraId="65B63361">
            <w:pPr>
              <w:pBdr/>
              <w:spacing w:after="0" w:before="0" w:line="240"/>
              <w:ind/>
              <w:rPr/>
            </w:pPr>
            <w:r>
              <w:rPr>
                <w:rFonts w:ascii="Courier New" w:hAnsi="Courier New" w:eastAsia="Courier New" w:cs="Courier New"/>
                <w:color w:val="000000"/>
                <w:sz w:val="20"/>
              </w:rPr>
              <w:t xml:space="preserve">volume</w:t>
            </w:r>
            <w:r/>
          </w:p>
        </w:tc>
        <w:tc>
          <w:tcPr>
            <w:tcBorders/>
            <w:tcMar>
              <w:left w:w="15" w:type="dxa"/>
              <w:top w:w="15" w:type="dxa"/>
              <w:right w:w="15" w:type="dxa"/>
              <w:bottom w:w="15" w:type="dxa"/>
            </w:tcMar>
            <w:tcW w:w="1270" w:type="dxa"/>
            <w:vAlign w:val="center"/>
          </w:tcPr>
          <w:p w14:paraId="212670F6">
            <w:pPr>
              <w:pBdr/>
              <w:spacing w:after="0" w:before="0" w:line="240"/>
              <w:ind/>
              <w:rPr/>
            </w:pPr>
            <w:r>
              <w:rPr>
                <w:rFonts w:ascii="Courier New" w:hAnsi="Courier New" w:eastAsia="Courier New" w:cs="Courier New"/>
                <w:color w:val="000000"/>
                <w:sz w:val="20"/>
              </w:rPr>
              <w:t xml:space="preserve">spot.volume.usd_24h</w:t>
            </w:r>
            <w:r/>
          </w:p>
        </w:tc>
        <w:tc>
          <w:tcPr>
            <w:tcBorders/>
            <w:tcMar>
              <w:left w:w="15" w:type="dxa"/>
              <w:top w:w="15" w:type="dxa"/>
              <w:right w:w="15" w:type="dxa"/>
              <w:bottom w:w="15" w:type="dxa"/>
            </w:tcMar>
            <w:tcW w:w="7427" w:type="dxa"/>
            <w:vAlign w:val="center"/>
          </w:tcPr>
          <w:p w14:paraId="7501898A">
            <w:pPr>
              <w:pBdr/>
              <w:spacing w:after="0" w:before="0" w:line="240"/>
              <w:ind/>
              <w:rPr/>
            </w:pPr>
            <w:r>
              <w:rPr>
                <w:rFonts w:ascii="Times New Roman" w:hAnsi="Times New Roman" w:eastAsia="Times New Roman" w:cs="Times New Roman"/>
                <w:color w:val="000000"/>
                <w:sz w:val="24"/>
              </w:rPr>
              <w:t xml:space="preserve">Tiingo crypto volume is already USD denominated. Equity volume is in shares — multiply by close price. Adapter must branch on asset_class.</w:t>
            </w:r>
            <w:r/>
          </w:p>
        </w:tc>
      </w:tr>
    </w:tbl>
    <w:p w14:paraId="67BFB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 on existing Tiingo data:</w:t>
      </w:r>
      <w:r>
        <w:rPr>
          <w:rFonts w:ascii="Times New Roman" w:hAnsi="Times New Roman" w:eastAsia="Times New Roman" w:cs="Times New Roman"/>
          <w:color w:val="000000"/>
          <w:sz w:val="24"/>
        </w:rPr>
        <w:t xml:space="preserve"> The audit identifies approximately 800k+ rows in TimescaleDB with BTC history from 2014 and ETH from 2015. This is the most valuable existing data asset for training history depth. The migration plan handles this.</w:t>
      </w:r>
      <w:r/>
    </w:p>
    <w:p w14:paraId="521FDE8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Source: Exchange Flows (Explorer Agent / On-Chain)</w:t>
      </w:r>
      <w:r/>
    </w:p>
    <w:p w14:paraId="5ED9D4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it provides:</w:t>
      </w:r>
      <w:r>
        <w:rPr>
          <w:rFonts w:ascii="Times New Roman" w:hAnsi="Times New Roman" w:eastAsia="Times New Roman" w:cs="Times New Roman"/>
          <w:color w:val="000000"/>
          <w:sz w:val="24"/>
        </w:rPr>
        <w:t xml:space="preserve"> Exchange inflows and outflows by instrument. Currently covers 18 instruments.</w:t>
      </w:r>
      <w:r/>
    </w:p>
    <w:p w14:paraId="5F3AF0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ToS status:</w:t>
      </w:r>
      <w:r>
        <w:rPr>
          <w:rFonts w:ascii="Times New Roman" w:hAnsi="Times New Roman" w:eastAsia="Times New Roman" w:cs="Times New Roman"/>
          <w:color w:val="000000"/>
          <w:sz w:val="24"/>
        </w:rPr>
        <w:t xml:space="preserve"> Etherscan V2 is the underlying source. Free tier, commercial use unaudited.</w:t>
      </w:r>
      <w:r/>
    </w:p>
    <w:p w14:paraId="22CDC1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Critical known bug:</w:t>
      </w:r>
      <w:r>
        <w:rPr>
          <w:rFonts w:ascii="Times New Roman" w:hAnsi="Times New Roman" w:eastAsia="Times New Roman" w:cs="Times New Roman"/>
          <w:color w:val="000000"/>
          <w:sz w:val="24"/>
        </w:rPr>
        <w:t xml:space="preserve"> Gate.io values are in wei, not ETH. This must be fixed in the adapter with an explicit unit conversion, not in the collection agent. The raw data in the landing table preserves the original values — the adapter applies the conversion.</w:t>
      </w:r>
      <w:r/>
    </w:p>
    <w:p w14:paraId="0C28E2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Landing table:</w:t>
      </w:r>
      <w:r/>
    </w:p>
    <w:p w14:paraId="74BFDD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4F77B4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CREATE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TABLE</w:t>
      </w:r>
      <w:r>
        <w:rPr>
          <w:rFonts w:ascii="Times New Roman" w:hAnsi="Times New Roman" w:eastAsia="Times New Roman" w:cs="Times New Roman"/>
          <w:color w:val="eaecf0"/>
          <w:sz w:val="24"/>
        </w:rPr>
        <w:t xml:space="preserve"> landing_exchange_flows </w:t>
      </w:r>
      <w:r>
        <w:rPr>
          <w:rFonts w:ascii="Times New Roman" w:hAnsi="Times New Roman" w:eastAsia="Times New Roman" w:cs="Times New Roman"/>
          <w:color w:val="d3d7de"/>
          <w:sz w:val="24"/>
        </w:rPr>
        <w:t xml:space="preserve">(</w:t>
      </w:r>
      <w:r/>
    </w:p>
    <w:p w14:paraId="7A5417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                  BIGSERIAL       </w:t>
      </w:r>
      <w:r>
        <w:rPr>
          <w:rFonts w:ascii="Times New Roman" w:hAnsi="Times New Roman" w:eastAsia="Times New Roman" w:cs="Times New Roman"/>
          <w:color w:val="cc7bf4"/>
          <w:sz w:val="24"/>
        </w:rPr>
        <w:t xml:space="preserve">PRIMARY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KEY</w:t>
      </w:r>
      <w:r>
        <w:rPr>
          <w:rFonts w:ascii="Times New Roman" w:hAnsi="Times New Roman" w:eastAsia="Times New Roman" w:cs="Times New Roman"/>
          <w:color w:val="d3d7de"/>
          <w:sz w:val="24"/>
        </w:rPr>
        <w:t xml:space="preserve">,</w:t>
      </w:r>
      <w:r/>
    </w:p>
    <w:p w14:paraId="7A2CB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collected_at        TIMESTAMPTZ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4CA5C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collection_event_id UUID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C189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symbol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45450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exchange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2037A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inflow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442FC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outflow             </w:t>
      </w:r>
      <w:r>
        <w:rPr>
          <w:rFonts w:ascii="Times New Roman" w:hAnsi="Times New Roman" w:eastAsia="Times New Roman" w:cs="Times New Roman"/>
          <w:color w:val="cc7bf4"/>
          <w:sz w:val="24"/>
        </w:rPr>
        <w:t xml:space="preserve">DOUBLE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PRECISION</w:t>
      </w:r>
      <w:r>
        <w:rPr>
          <w:rFonts w:ascii="Times New Roman" w:hAnsi="Times New Roman" w:eastAsia="Times New Roman" w:cs="Times New Roman"/>
          <w:color w:val="d3d7de"/>
          <w:sz w:val="24"/>
        </w:rPr>
        <w:t xml:space="preserve">,</w:t>
      </w:r>
      <w:r/>
    </w:p>
    <w:p w14:paraId="3BE04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unit                </w:t>
      </w:r>
      <w:r>
        <w:rPr>
          <w:rFonts w:ascii="Times New Roman" w:hAnsi="Times New Roman" w:eastAsia="Times New Roman" w:cs="Times New Roman"/>
          <w:color w:val="cc7bf4"/>
          <w:sz w:val="24"/>
        </w:rPr>
        <w:t xml:space="preserve">TEXT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'eth', 'wei', 'usd' — source may not always specify</w:t>
      </w:r>
      <w:r/>
    </w:p>
    <w:p w14:paraId="5359B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observation_date    </w:t>
      </w:r>
      <w:r>
        <w:rPr>
          <w:rFonts w:ascii="Times New Roman" w:hAnsi="Times New Roman" w:eastAsia="Times New Roman" w:cs="Times New Roman"/>
          <w:color w:val="cc7bf4"/>
          <w:sz w:val="24"/>
        </w:rPr>
        <w:t xml:space="preserve">DATE</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d3d7de"/>
          <w:sz w:val="24"/>
        </w:rPr>
        <w:t xml:space="preserve">,</w:t>
      </w:r>
      <w:r/>
    </w:p>
    <w:p w14:paraId="18318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is_processed        </w:t>
      </w:r>
      <w:r>
        <w:rPr>
          <w:rFonts w:ascii="Times New Roman" w:hAnsi="Times New Roman" w:eastAsia="Times New Roman" w:cs="Times New Roman"/>
          <w:color w:val="cc7bf4"/>
          <w:sz w:val="24"/>
        </w:rPr>
        <w:t xml:space="preserve">BOOLEAN</w:t>
      </w:r>
      <w:r>
        <w:rPr>
          <w:rFonts w:ascii="Times New Roman" w:hAnsi="Times New Roman" w:eastAsia="Times New Roman" w:cs="Times New Roman"/>
          <w:color w:val="eaecf0"/>
          <w:sz w:val="24"/>
        </w:rPr>
        <w:t xml:space="preserve">         NOT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DEFAULT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false</w:t>
      </w:r>
      <w:r>
        <w:rPr>
          <w:rFonts w:ascii="Times New Roman" w:hAnsi="Times New Roman" w:eastAsia="Times New Roman" w:cs="Times New Roman"/>
          <w:color w:val="d3d7de"/>
          <w:sz w:val="24"/>
        </w:rPr>
        <w:t xml:space="preserve">,</w:t>
      </w:r>
      <w:r/>
    </w:p>
    <w:p w14:paraId="4244E7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processed_at        TIMESTAMPTZ</w:t>
      </w:r>
      <w:r/>
    </w:p>
    <w:p w14:paraId="57449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4D952E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Field mappings with unit conversion:</w:t>
      </w:r>
      <w:r/>
    </w:p>
    <w:p w14:paraId="702F6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python</w:t>
      </w:r>
      <w:r/>
    </w:p>
    <w:p w14:paraId="6CD75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def</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convert_flow_to_usd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value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unit</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symbol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spot_price</w:t>
      </w:r>
      <w:r>
        <w:rPr>
          <w:rFonts w:ascii="Times New Roman" w:hAnsi="Times New Roman" w:eastAsia="Times New Roman" w:cs="Times New Roman"/>
          <w:color w:val="d3d7de"/>
          <w:sz w:val="24"/>
        </w:rPr>
        <w:t xml:space="preserve">):</w:t>
      </w:r>
      <w:r/>
    </w:p>
    <w:p w14:paraId="5E1D0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if</w:t>
      </w:r>
      <w:r>
        <w:rPr>
          <w:rFonts w:ascii="Times New Roman" w:hAnsi="Times New Roman" w:eastAsia="Times New Roman" w:cs="Times New Roman"/>
          <w:color w:val="eaecf0"/>
          <w:sz w:val="24"/>
        </w:rPr>
        <w:t xml:space="preserve"> unit == </w:t>
      </w:r>
      <w:r>
        <w:rPr>
          <w:rFonts w:ascii="Times New Roman" w:hAnsi="Times New Roman" w:eastAsia="Times New Roman" w:cs="Times New Roman"/>
          <w:color w:val="9be963"/>
          <w:sz w:val="24"/>
        </w:rPr>
        <w:t xml:space="preserve">'wei'</w:t>
      </w:r>
      <w:r>
        <w:rPr>
          <w:rFonts w:ascii="Times New Roman" w:hAnsi="Times New Roman" w:eastAsia="Times New Roman" w:cs="Times New Roman"/>
          <w:color w:val="d3d7de"/>
          <w:sz w:val="24"/>
        </w:rPr>
        <w:t xml:space="preserve">:</w:t>
      </w:r>
      <w:r/>
    </w:p>
    <w:p w14:paraId="2B594F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eth_value = value / </w:t>
      </w:r>
      <w:r>
        <w:rPr>
          <w:rFonts w:ascii="Times New Roman" w:hAnsi="Times New Roman" w:eastAsia="Times New Roman" w:cs="Times New Roman"/>
          <w:color w:val="5eeded"/>
          <w:sz w:val="24"/>
        </w:rPr>
        <w:t xml:space="preserve">1e18</w:t>
      </w:r>
      <w:r/>
    </w:p>
    <w:p w14:paraId="200AA4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return</w:t>
      </w:r>
      <w:r>
        <w:rPr>
          <w:rFonts w:ascii="Times New Roman" w:hAnsi="Times New Roman" w:eastAsia="Times New Roman" w:cs="Times New Roman"/>
          <w:color w:val="eaecf0"/>
          <w:sz w:val="24"/>
        </w:rPr>
        <w:t xml:space="preserve"> eth_value * spot_price</w:t>
      </w:r>
      <w:r/>
    </w:p>
    <w:p w14:paraId="3D1A2F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elif</w:t>
      </w:r>
      <w:r>
        <w:rPr>
          <w:rFonts w:ascii="Times New Roman" w:hAnsi="Times New Roman" w:eastAsia="Times New Roman" w:cs="Times New Roman"/>
          <w:color w:val="eaecf0"/>
          <w:sz w:val="24"/>
        </w:rPr>
        <w:t xml:space="preserve"> unit == </w:t>
      </w:r>
      <w:r>
        <w:rPr>
          <w:rFonts w:ascii="Times New Roman" w:hAnsi="Times New Roman" w:eastAsia="Times New Roman" w:cs="Times New Roman"/>
          <w:color w:val="9be963"/>
          <w:sz w:val="24"/>
        </w:rPr>
        <w:t xml:space="preserve">'eth'</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or</w:t>
      </w:r>
      <w:r>
        <w:rPr>
          <w:rFonts w:ascii="Times New Roman" w:hAnsi="Times New Roman" w:eastAsia="Times New Roman" w:cs="Times New Roman"/>
          <w:color w:val="eaecf0"/>
          <w:sz w:val="24"/>
        </w:rPr>
        <w:t xml:space="preserve"> unit == symbol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lower</w:t>
      </w:r>
      <w:r>
        <w:rPr>
          <w:rFonts w:ascii="Times New Roman" w:hAnsi="Times New Roman" w:eastAsia="Times New Roman" w:cs="Times New Roman"/>
          <w:color w:val="d3d7de"/>
          <w:sz w:val="24"/>
        </w:rPr>
        <w:t xml:space="preserve">():</w:t>
      </w:r>
      <w:r/>
    </w:p>
    <w:p w14:paraId="0E2FC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return</w:t>
      </w:r>
      <w:r>
        <w:rPr>
          <w:rFonts w:ascii="Times New Roman" w:hAnsi="Times New Roman" w:eastAsia="Times New Roman" w:cs="Times New Roman"/>
          <w:color w:val="eaecf0"/>
          <w:sz w:val="24"/>
        </w:rPr>
        <w:t xml:space="preserve"> value * spot_price</w:t>
      </w:r>
      <w:r/>
    </w:p>
    <w:p w14:paraId="72B83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elif</w:t>
      </w:r>
      <w:r>
        <w:rPr>
          <w:rFonts w:ascii="Times New Roman" w:hAnsi="Times New Roman" w:eastAsia="Times New Roman" w:cs="Times New Roman"/>
          <w:color w:val="eaecf0"/>
          <w:sz w:val="24"/>
        </w:rPr>
        <w:t xml:space="preserve"> unit == </w:t>
      </w:r>
      <w:r>
        <w:rPr>
          <w:rFonts w:ascii="Times New Roman" w:hAnsi="Times New Roman" w:eastAsia="Times New Roman" w:cs="Times New Roman"/>
          <w:color w:val="9be963"/>
          <w:sz w:val="24"/>
        </w:rPr>
        <w:t xml:space="preserve">'usd'</w:t>
      </w:r>
      <w:r>
        <w:rPr>
          <w:rFonts w:ascii="Times New Roman" w:hAnsi="Times New Roman" w:eastAsia="Times New Roman" w:cs="Times New Roman"/>
          <w:color w:val="d3d7de"/>
          <w:sz w:val="24"/>
        </w:rPr>
        <w:t xml:space="preserve">:</w:t>
      </w:r>
      <w:r/>
    </w:p>
    <w:p w14:paraId="37F77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return</w:t>
      </w:r>
      <w:r>
        <w:rPr>
          <w:rFonts w:ascii="Times New Roman" w:hAnsi="Times New Roman" w:eastAsia="Times New Roman" w:cs="Times New Roman"/>
          <w:color w:val="eaecf0"/>
          <w:sz w:val="24"/>
        </w:rPr>
        <w:t xml:space="preserve"> value</w:t>
      </w:r>
      <w:r/>
    </w:p>
    <w:p w14:paraId="5B439D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else</w:t>
      </w:r>
      <w:r>
        <w:rPr>
          <w:rFonts w:ascii="Times New Roman" w:hAnsi="Times New Roman" w:eastAsia="Times New Roman" w:cs="Times New Roman"/>
          <w:color w:val="d3d7de"/>
          <w:sz w:val="24"/>
        </w:rPr>
        <w:t xml:space="preserve">:</w:t>
      </w:r>
      <w:r/>
    </w:p>
    <w:p w14:paraId="67665F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Unknown unit — dead letter</w:t>
      </w:r>
      <w:r/>
    </w:p>
    <w:p w14:paraId="6143E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raise</w:t>
      </w:r>
      <w:r>
        <w:rPr>
          <w:rFonts w:ascii="Times New Roman" w:hAnsi="Times New Roman" w:eastAsia="Times New Roman" w:cs="Times New Roman"/>
          <w:color w:val="eaecf0"/>
          <w:sz w:val="24"/>
        </w:rPr>
        <w:t xml:space="preserve"> ValidationError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'UNIT_UNKNOWN'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value</w:t>
      </w:r>
      <w:r>
        <w:rPr>
          <w:rFonts w:ascii="Times New Roman" w:hAnsi="Times New Roman" w:eastAsia="Times New Roman" w:cs="Times New Roman"/>
          <w:color w:val="d3d7de"/>
          <w:sz w:val="24"/>
        </w:rPr>
        <w:t xml:space="preserve">)</w:t>
      </w:r>
      <w:r/>
    </w:p>
    <w:p w14:paraId="33705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adapter resolves spot price from </w:t>
      </w:r>
      <w:r>
        <w:rPr>
          <w:rFonts w:ascii="Courier New" w:hAnsi="Courier New" w:eastAsia="Courier New" w:cs="Courier New"/>
          <w:color w:val="000000"/>
          <w:sz w:val="20"/>
        </w:rPr>
        <w:t xml:space="preserve">spot.price.close_usd</w:t>
      </w:r>
      <w:r>
        <w:rPr>
          <w:rFonts w:ascii="Times New Roman" w:hAnsi="Times New Roman" w:eastAsia="Times New Roman" w:cs="Times New Roman"/>
          <w:color w:val="000000"/>
          <w:sz w:val="24"/>
        </w:rPr>
        <w:t xml:space="preserve"> in the canonical store (or from a local cache populated during the same collection run) to convert native token amounts to USD.</w:t>
      </w:r>
      <w:r/>
    </w:p>
    <w:p w14:paraId="13CFF98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Source Gap Analysis</w:t>
      </w:r>
      <w:r/>
    </w:p>
    <w:p w14:paraId="7B7A2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gap analysis compares what the metric catalog requires against what the current sources provide.</w:t>
      </w:r>
      <w:r/>
    </w:p>
    <w:p w14:paraId="35748E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Covered — no gap: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25"/>
        <w:gridCol w:w="1480"/>
        <w:gridCol w:w="4350"/>
      </w:tblGrid>
      <w:tr>
        <w:trPr/>
        <w:tc>
          <w:tcPr>
            <w:tcBorders/>
            <w:tcMar>
              <w:left w:w="15" w:type="dxa"/>
              <w:top w:w="15" w:type="dxa"/>
              <w:right w:w="15" w:type="dxa"/>
              <w:bottom w:w="15" w:type="dxa"/>
            </w:tcMar>
            <w:tcW w:w="3525" w:type="dxa"/>
            <w:vAlign w:val="center"/>
          </w:tcPr>
          <w:p w14:paraId="0E014379">
            <w:pPr>
              <w:pBdr/>
              <w:spacing w:after="0" w:before="0" w:line="240"/>
              <w:ind/>
              <w:jc w:val="center"/>
              <w:rPr/>
            </w:pPr>
            <w:r>
              <w:rPr>
                <w:rFonts w:ascii="Times New Roman" w:hAnsi="Times New Roman" w:eastAsia="Times New Roman" w:cs="Times New Roman"/>
                <w:b/>
                <w:color w:val="000000"/>
                <w:sz w:val="24"/>
              </w:rPr>
              <w:t xml:space="preserve">Metric domain</w:t>
            </w:r>
            <w:r/>
          </w:p>
        </w:tc>
        <w:tc>
          <w:tcPr>
            <w:tcBorders/>
            <w:tcMar>
              <w:left w:w="15" w:type="dxa"/>
              <w:top w:w="15" w:type="dxa"/>
              <w:right w:w="15" w:type="dxa"/>
              <w:bottom w:w="15" w:type="dxa"/>
            </w:tcMar>
            <w:tcW w:w="1480" w:type="dxa"/>
            <w:vAlign w:val="center"/>
          </w:tcPr>
          <w:p w14:paraId="3EEF7FFA">
            <w:pPr>
              <w:pBdr/>
              <w:spacing w:after="0" w:before="0" w:line="240"/>
              <w:ind/>
              <w:jc w:val="center"/>
              <w:rPr/>
            </w:pPr>
            <w:r>
              <w:rPr>
                <w:rFonts w:ascii="Times New Roman" w:hAnsi="Times New Roman" w:eastAsia="Times New Roman" w:cs="Times New Roman"/>
                <w:b/>
                <w:color w:val="000000"/>
                <w:sz w:val="24"/>
              </w:rPr>
              <w:t xml:space="preserve">Source</w:t>
            </w:r>
            <w:r/>
          </w:p>
        </w:tc>
        <w:tc>
          <w:tcPr>
            <w:tcBorders/>
            <w:tcMar>
              <w:left w:w="15" w:type="dxa"/>
              <w:top w:w="15" w:type="dxa"/>
              <w:right w:w="15" w:type="dxa"/>
              <w:bottom w:w="15" w:type="dxa"/>
            </w:tcMar>
            <w:tcW w:w="4350" w:type="dxa"/>
            <w:vAlign w:val="center"/>
          </w:tcPr>
          <w:p w14:paraId="1E1F2470">
            <w:pPr>
              <w:pBdr/>
              <w:spacing w:after="0" w:before="0" w:line="240"/>
              <w:ind/>
              <w:jc w:val="center"/>
              <w:rPr/>
            </w:pPr>
            <w:r>
              <w:rPr>
                <w:rFonts w:ascii="Times New Roman" w:hAnsi="Times New Roman" w:eastAsia="Times New Roman" w:cs="Times New Roman"/>
                <w:b/>
                <w:color w:val="000000"/>
                <w:sz w:val="24"/>
              </w:rPr>
              <w:t xml:space="preserve">Coverage</w:t>
            </w:r>
            <w:r/>
          </w:p>
        </w:tc>
      </w:tr>
      <w:tr>
        <w:trPr/>
        <w:tc>
          <w:tcPr>
            <w:tcBorders/>
            <w:tcMar>
              <w:left w:w="15" w:type="dxa"/>
              <w:top w:w="15" w:type="dxa"/>
              <w:right w:w="15" w:type="dxa"/>
              <w:bottom w:w="15" w:type="dxa"/>
            </w:tcMar>
            <w:tcW w:w="3525" w:type="dxa"/>
            <w:vAlign w:val="center"/>
          </w:tcPr>
          <w:p w14:paraId="55C4E917">
            <w:pPr>
              <w:pBdr/>
              <w:spacing w:after="0" w:before="0" w:line="240"/>
              <w:ind/>
              <w:rPr/>
            </w:pPr>
            <w:r>
              <w:rPr>
                <w:rFonts w:ascii="Courier New" w:hAnsi="Courier New" w:eastAsia="Courier New" w:cs="Courier New"/>
                <w:color w:val="000000"/>
                <w:sz w:val="20"/>
              </w:rPr>
              <w:t xml:space="preserve">derivatives.perpetual.*</w:t>
            </w:r>
            <w:r/>
          </w:p>
        </w:tc>
        <w:tc>
          <w:tcPr>
            <w:tcBorders/>
            <w:tcMar>
              <w:left w:w="15" w:type="dxa"/>
              <w:top w:w="15" w:type="dxa"/>
              <w:right w:w="15" w:type="dxa"/>
              <w:bottom w:w="15" w:type="dxa"/>
            </w:tcMar>
            <w:tcW w:w="1480" w:type="dxa"/>
            <w:vAlign w:val="center"/>
          </w:tcPr>
          <w:p w14:paraId="22EBDEA4">
            <w:pPr>
              <w:pBdr/>
              <w:spacing w:after="0" w:before="0" w:line="240"/>
              <w:ind/>
              <w:rPr/>
            </w:pPr>
            <w:r>
              <w:rPr>
                <w:rFonts w:ascii="Times New Roman" w:hAnsi="Times New Roman" w:eastAsia="Times New Roman" w:cs="Times New Roman"/>
                <w:color w:val="000000"/>
                <w:sz w:val="24"/>
              </w:rPr>
              <w:t xml:space="preserve">Coinalyze</w:t>
            </w:r>
            <w:r/>
          </w:p>
        </w:tc>
        <w:tc>
          <w:tcPr>
            <w:tcBorders/>
            <w:tcMar>
              <w:left w:w="15" w:type="dxa"/>
              <w:top w:w="15" w:type="dxa"/>
              <w:right w:w="15" w:type="dxa"/>
              <w:bottom w:w="15" w:type="dxa"/>
            </w:tcMar>
            <w:tcW w:w="4350" w:type="dxa"/>
            <w:vAlign w:val="center"/>
          </w:tcPr>
          <w:p w14:paraId="75567258">
            <w:pPr>
              <w:pBdr/>
              <w:spacing w:after="0" w:before="0" w:line="240"/>
              <w:ind/>
              <w:rPr/>
            </w:pPr>
            <w:r>
              <w:rPr>
                <w:rFonts w:ascii="Times New Roman" w:hAnsi="Times New Roman" w:eastAsia="Times New Roman" w:cs="Times New Roman"/>
                <w:color w:val="000000"/>
                <w:sz w:val="24"/>
              </w:rPr>
              <w:t xml:space="preserve">Full — funding rate, OI, liquidations across 121 instruments</w:t>
            </w:r>
            <w:r/>
          </w:p>
        </w:tc>
      </w:tr>
      <w:tr>
        <w:trPr/>
        <w:tc>
          <w:tcPr>
            <w:tcBorders/>
            <w:tcMar>
              <w:left w:w="15" w:type="dxa"/>
              <w:top w:w="15" w:type="dxa"/>
              <w:right w:w="15" w:type="dxa"/>
              <w:bottom w:w="15" w:type="dxa"/>
            </w:tcMar>
            <w:tcW w:w="3525" w:type="dxa"/>
            <w:vAlign w:val="center"/>
          </w:tcPr>
          <w:p w14:paraId="2B939441">
            <w:pPr>
              <w:pBdr/>
              <w:spacing w:after="0" w:before="0" w:line="240"/>
              <w:ind/>
              <w:rPr/>
            </w:pPr>
            <w:r>
              <w:rPr>
                <w:rFonts w:ascii="Courier New" w:hAnsi="Courier New" w:eastAsia="Courier New" w:cs="Courier New"/>
                <w:color w:val="000000"/>
                <w:sz w:val="20"/>
              </w:rPr>
              <w:t xml:space="preserve">macro.rates.*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macro.fx.*</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macro.credit.*</w:t>
            </w:r>
            <w:r/>
          </w:p>
        </w:tc>
        <w:tc>
          <w:tcPr>
            <w:tcBorders/>
            <w:tcMar>
              <w:left w:w="15" w:type="dxa"/>
              <w:top w:w="15" w:type="dxa"/>
              <w:right w:w="15" w:type="dxa"/>
              <w:bottom w:w="15" w:type="dxa"/>
            </w:tcMar>
            <w:tcW w:w="1480" w:type="dxa"/>
            <w:vAlign w:val="center"/>
          </w:tcPr>
          <w:p w14:paraId="0F0E65EC">
            <w:pPr>
              <w:pBdr/>
              <w:spacing w:after="0" w:before="0" w:line="240"/>
              <w:ind/>
              <w:rPr/>
            </w:pPr>
            <w:r>
              <w:rPr>
                <w:rFonts w:ascii="Times New Roman" w:hAnsi="Times New Roman" w:eastAsia="Times New Roman" w:cs="Times New Roman"/>
                <w:color w:val="000000"/>
                <w:sz w:val="24"/>
              </w:rPr>
              <w:t xml:space="preserve">FRED</w:t>
            </w:r>
            <w:r/>
          </w:p>
        </w:tc>
        <w:tc>
          <w:tcPr>
            <w:tcBorders/>
            <w:tcMar>
              <w:left w:w="15" w:type="dxa"/>
              <w:top w:w="15" w:type="dxa"/>
              <w:right w:w="15" w:type="dxa"/>
              <w:bottom w:w="15" w:type="dxa"/>
            </w:tcMar>
            <w:tcW w:w="4350" w:type="dxa"/>
            <w:vAlign w:val="center"/>
          </w:tcPr>
          <w:p w14:paraId="3C61CCA0">
            <w:pPr>
              <w:pBdr/>
              <w:spacing w:after="0" w:before="0" w:line="240"/>
              <w:ind/>
              <w:rPr/>
            </w:pPr>
            <w:r>
              <w:rPr>
                <w:rFonts w:ascii="Times New Roman" w:hAnsi="Times New Roman" w:eastAsia="Times New Roman" w:cs="Times New Roman"/>
                <w:color w:val="000000"/>
                <w:sz w:val="24"/>
              </w:rPr>
              <w:t xml:space="preserve">Full — all five macro metrics</w:t>
            </w:r>
            <w:r/>
          </w:p>
        </w:tc>
      </w:tr>
      <w:tr>
        <w:trPr/>
        <w:tc>
          <w:tcPr>
            <w:tcBorders/>
            <w:tcMar>
              <w:left w:w="15" w:type="dxa"/>
              <w:top w:w="15" w:type="dxa"/>
              <w:right w:w="15" w:type="dxa"/>
              <w:bottom w:w="15" w:type="dxa"/>
            </w:tcMar>
            <w:tcW w:w="3525" w:type="dxa"/>
            <w:vAlign w:val="center"/>
          </w:tcPr>
          <w:p w14:paraId="024C4737">
            <w:pPr>
              <w:pBdr/>
              <w:spacing w:after="0" w:before="0" w:line="240"/>
              <w:ind/>
              <w:rPr/>
            </w:pPr>
            <w:r>
              <w:rPr>
                <w:rFonts w:ascii="Courier New" w:hAnsi="Courier New" w:eastAsia="Courier New" w:cs="Courier New"/>
                <w:color w:val="000000"/>
                <w:sz w:val="20"/>
              </w:rPr>
              <w:t xml:space="preserve">defi.aggregate.tvl_usd</w:t>
            </w:r>
            <w:r/>
          </w:p>
        </w:tc>
        <w:tc>
          <w:tcPr>
            <w:tcBorders/>
            <w:tcMar>
              <w:left w:w="15" w:type="dxa"/>
              <w:top w:w="15" w:type="dxa"/>
              <w:right w:w="15" w:type="dxa"/>
              <w:bottom w:w="15" w:type="dxa"/>
            </w:tcMar>
            <w:tcW w:w="1480" w:type="dxa"/>
            <w:vAlign w:val="center"/>
          </w:tcPr>
          <w:p w14:paraId="13756016">
            <w:pPr>
              <w:pBdr/>
              <w:spacing w:after="0" w:before="0" w:line="240"/>
              <w:ind/>
              <w:rPr/>
            </w:pPr>
            <w:r>
              <w:rPr>
                <w:rFonts w:ascii="Times New Roman" w:hAnsi="Times New Roman" w:eastAsia="Times New Roman" w:cs="Times New Roman"/>
                <w:color w:val="000000"/>
                <w:sz w:val="24"/>
              </w:rPr>
              <w:t xml:space="preserve">DeFiLlama</w:t>
            </w:r>
            <w:r/>
          </w:p>
        </w:tc>
        <w:tc>
          <w:tcPr>
            <w:tcBorders/>
            <w:tcMar>
              <w:left w:w="15" w:type="dxa"/>
              <w:top w:w="15" w:type="dxa"/>
              <w:right w:w="15" w:type="dxa"/>
              <w:bottom w:w="15" w:type="dxa"/>
            </w:tcMar>
            <w:tcW w:w="4350" w:type="dxa"/>
            <w:vAlign w:val="center"/>
          </w:tcPr>
          <w:p w14:paraId="4DCFD950">
            <w:pPr>
              <w:pBdr/>
              <w:spacing w:after="0" w:before="0" w:line="240"/>
              <w:ind/>
              <w:rPr/>
            </w:pPr>
            <w:r>
              <w:rPr>
                <w:rFonts w:ascii="Times New Roman" w:hAnsi="Times New Roman" w:eastAsia="Times New Roman" w:cs="Times New Roman"/>
                <w:color w:val="000000"/>
                <w:sz w:val="24"/>
              </w:rPr>
              <w:t xml:space="preserve">Full</w:t>
            </w:r>
            <w:r/>
          </w:p>
        </w:tc>
      </w:tr>
      <w:tr>
        <w:trPr/>
        <w:tc>
          <w:tcPr>
            <w:tcBorders/>
            <w:tcMar>
              <w:left w:w="15" w:type="dxa"/>
              <w:top w:w="15" w:type="dxa"/>
              <w:right w:w="15" w:type="dxa"/>
              <w:bottom w:w="15" w:type="dxa"/>
            </w:tcMar>
            <w:tcW w:w="3525" w:type="dxa"/>
            <w:vAlign w:val="center"/>
          </w:tcPr>
          <w:p w14:paraId="361A9577">
            <w:pPr>
              <w:pBdr/>
              <w:spacing w:after="0" w:before="0" w:line="240"/>
              <w:ind/>
              <w:rPr/>
            </w:pPr>
            <w:r>
              <w:rPr>
                <w:rFonts w:ascii="Courier New" w:hAnsi="Courier New" w:eastAsia="Courier New" w:cs="Courier New"/>
                <w:color w:val="000000"/>
                <w:sz w:val="20"/>
              </w:rPr>
              <w:t xml:space="preserve">defi.protocol.tvl_usd</w:t>
            </w:r>
            <w:r/>
          </w:p>
        </w:tc>
        <w:tc>
          <w:tcPr>
            <w:tcBorders/>
            <w:tcMar>
              <w:left w:w="15" w:type="dxa"/>
              <w:top w:w="15" w:type="dxa"/>
              <w:right w:w="15" w:type="dxa"/>
              <w:bottom w:w="15" w:type="dxa"/>
            </w:tcMar>
            <w:tcW w:w="1480" w:type="dxa"/>
            <w:vAlign w:val="center"/>
          </w:tcPr>
          <w:p w14:paraId="3D895DDA">
            <w:pPr>
              <w:pBdr/>
              <w:spacing w:after="0" w:before="0" w:line="240"/>
              <w:ind/>
              <w:rPr/>
            </w:pPr>
            <w:r>
              <w:rPr>
                <w:rFonts w:ascii="Times New Roman" w:hAnsi="Times New Roman" w:eastAsia="Times New Roman" w:cs="Times New Roman"/>
                <w:color w:val="000000"/>
                <w:sz w:val="24"/>
              </w:rPr>
              <w:t xml:space="preserve">DeFiLlama</w:t>
            </w:r>
            <w:r/>
          </w:p>
        </w:tc>
        <w:tc>
          <w:tcPr>
            <w:tcBorders/>
            <w:tcMar>
              <w:left w:w="15" w:type="dxa"/>
              <w:top w:w="15" w:type="dxa"/>
              <w:right w:w="15" w:type="dxa"/>
              <w:bottom w:w="15" w:type="dxa"/>
            </w:tcMar>
            <w:tcW w:w="4350" w:type="dxa"/>
            <w:vAlign w:val="center"/>
          </w:tcPr>
          <w:p w14:paraId="7302477D">
            <w:pPr>
              <w:pBdr/>
              <w:spacing w:after="0" w:before="0" w:line="240"/>
              <w:ind/>
              <w:rPr/>
            </w:pPr>
            <w:r>
              <w:rPr>
                <w:rFonts w:ascii="Times New Roman" w:hAnsi="Times New Roman" w:eastAsia="Times New Roman" w:cs="Times New Roman"/>
                <w:color w:val="000000"/>
                <w:sz w:val="24"/>
              </w:rPr>
              <w:t xml:space="preserve">Full — top 20+ protocols</w:t>
            </w:r>
            <w:r/>
          </w:p>
        </w:tc>
      </w:tr>
      <w:tr>
        <w:trPr/>
        <w:tc>
          <w:tcPr>
            <w:tcBorders/>
            <w:tcMar>
              <w:left w:w="15" w:type="dxa"/>
              <w:top w:w="15" w:type="dxa"/>
              <w:right w:w="15" w:type="dxa"/>
              <w:bottom w:w="15" w:type="dxa"/>
            </w:tcMar>
            <w:tcW w:w="3525" w:type="dxa"/>
            <w:vAlign w:val="center"/>
          </w:tcPr>
          <w:p w14:paraId="3A55D429">
            <w:pPr>
              <w:pBdr/>
              <w:spacing w:after="0" w:before="0" w:line="240"/>
              <w:ind/>
              <w:rPr/>
            </w:pPr>
            <w:r>
              <w:rPr>
                <w:rFonts w:ascii="Courier New" w:hAnsi="Courier New" w:eastAsia="Courier New" w:cs="Courier New"/>
                <w:color w:val="000000"/>
                <w:sz w:val="20"/>
              </w:rPr>
              <w:t xml:space="preserve">defi.dex.volume_usd_24h</w:t>
            </w:r>
            <w:r/>
          </w:p>
        </w:tc>
        <w:tc>
          <w:tcPr>
            <w:tcBorders/>
            <w:tcMar>
              <w:left w:w="15" w:type="dxa"/>
              <w:top w:w="15" w:type="dxa"/>
              <w:right w:w="15" w:type="dxa"/>
              <w:bottom w:w="15" w:type="dxa"/>
            </w:tcMar>
            <w:tcW w:w="1480" w:type="dxa"/>
            <w:vAlign w:val="center"/>
          </w:tcPr>
          <w:p w14:paraId="1884742E">
            <w:pPr>
              <w:pBdr/>
              <w:spacing w:after="0" w:before="0" w:line="240"/>
              <w:ind/>
              <w:rPr/>
            </w:pPr>
            <w:r>
              <w:rPr>
                <w:rFonts w:ascii="Times New Roman" w:hAnsi="Times New Roman" w:eastAsia="Times New Roman" w:cs="Times New Roman"/>
                <w:color w:val="000000"/>
                <w:sz w:val="24"/>
              </w:rPr>
              <w:t xml:space="preserve">DeFiLlama</w:t>
            </w:r>
            <w:r/>
          </w:p>
        </w:tc>
        <w:tc>
          <w:tcPr>
            <w:tcBorders/>
            <w:tcMar>
              <w:left w:w="15" w:type="dxa"/>
              <w:top w:w="15" w:type="dxa"/>
              <w:right w:w="15" w:type="dxa"/>
              <w:bottom w:w="15" w:type="dxa"/>
            </w:tcMar>
            <w:tcW w:w="4350" w:type="dxa"/>
            <w:vAlign w:val="center"/>
          </w:tcPr>
          <w:p w14:paraId="5F509B55">
            <w:pPr>
              <w:pBdr/>
              <w:spacing w:after="0" w:before="0" w:line="240"/>
              <w:ind/>
              <w:rPr/>
            </w:pPr>
            <w:r>
              <w:rPr>
                <w:rFonts w:ascii="Times New Roman" w:hAnsi="Times New Roman" w:eastAsia="Times New Roman" w:cs="Times New Roman"/>
                <w:color w:val="000000"/>
                <w:sz w:val="24"/>
              </w:rPr>
              <w:t xml:space="preserve">Full</w:t>
            </w:r>
            <w:r/>
          </w:p>
        </w:tc>
      </w:tr>
      <w:tr>
        <w:trPr/>
        <w:tc>
          <w:tcPr>
            <w:tcBorders/>
            <w:tcMar>
              <w:left w:w="15" w:type="dxa"/>
              <w:top w:w="15" w:type="dxa"/>
              <w:right w:w="15" w:type="dxa"/>
              <w:bottom w:w="15" w:type="dxa"/>
            </w:tcMar>
            <w:tcW w:w="3525" w:type="dxa"/>
            <w:vAlign w:val="center"/>
          </w:tcPr>
          <w:p w14:paraId="27A79BD2">
            <w:pPr>
              <w:pBdr/>
              <w:spacing w:after="0" w:before="0" w:line="240"/>
              <w:ind/>
              <w:rPr/>
            </w:pPr>
            <w:r>
              <w:rPr>
                <w:rFonts w:ascii="Courier New" w:hAnsi="Courier New" w:eastAsia="Courier New" w:cs="Courier New"/>
                <w:color w:val="000000"/>
                <w:sz w:val="20"/>
              </w:rPr>
              <w:t xml:space="preserve">stablecoin.supply.*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stablecoin.peg.*</w:t>
            </w:r>
            <w:r/>
          </w:p>
        </w:tc>
        <w:tc>
          <w:tcPr>
            <w:tcBorders/>
            <w:tcMar>
              <w:left w:w="15" w:type="dxa"/>
              <w:top w:w="15" w:type="dxa"/>
              <w:right w:w="15" w:type="dxa"/>
              <w:bottom w:w="15" w:type="dxa"/>
            </w:tcMar>
            <w:tcW w:w="1480" w:type="dxa"/>
            <w:vAlign w:val="center"/>
          </w:tcPr>
          <w:p w14:paraId="13052621">
            <w:pPr>
              <w:pBdr/>
              <w:spacing w:after="0" w:before="0" w:line="240"/>
              <w:ind/>
              <w:rPr/>
            </w:pPr>
            <w:r>
              <w:rPr>
                <w:rFonts w:ascii="Times New Roman" w:hAnsi="Times New Roman" w:eastAsia="Times New Roman" w:cs="Times New Roman"/>
                <w:color w:val="000000"/>
                <w:sz w:val="24"/>
              </w:rPr>
              <w:t xml:space="preserve">DeFiLlama</w:t>
            </w:r>
            <w:r/>
          </w:p>
        </w:tc>
        <w:tc>
          <w:tcPr>
            <w:tcBorders/>
            <w:tcMar>
              <w:left w:w="15" w:type="dxa"/>
              <w:top w:w="15" w:type="dxa"/>
              <w:right w:w="15" w:type="dxa"/>
              <w:bottom w:w="15" w:type="dxa"/>
            </w:tcMar>
            <w:tcW w:w="4350" w:type="dxa"/>
            <w:vAlign w:val="center"/>
          </w:tcPr>
          <w:p w14:paraId="0A0EDF71">
            <w:pPr>
              <w:pBdr/>
              <w:spacing w:after="0" w:before="0" w:line="240"/>
              <w:ind/>
              <w:rPr/>
            </w:pPr>
            <w:r>
              <w:rPr>
                <w:rFonts w:ascii="Times New Roman" w:hAnsi="Times New Roman" w:eastAsia="Times New Roman" w:cs="Times New Roman"/>
                <w:color w:val="000000"/>
                <w:sz w:val="24"/>
              </w:rPr>
              <w:t xml:space="preserve">Full</w:t>
            </w:r>
            <w:r/>
          </w:p>
        </w:tc>
      </w:tr>
      <w:tr>
        <w:trPr/>
        <w:tc>
          <w:tcPr>
            <w:tcBorders/>
            <w:tcMar>
              <w:left w:w="15" w:type="dxa"/>
              <w:top w:w="15" w:type="dxa"/>
              <w:right w:w="15" w:type="dxa"/>
              <w:bottom w:w="15" w:type="dxa"/>
            </w:tcMar>
            <w:tcW w:w="3525" w:type="dxa"/>
            <w:vAlign w:val="center"/>
          </w:tcPr>
          <w:p w14:paraId="2D72F090">
            <w:pPr>
              <w:pBdr/>
              <w:spacing w:after="0" w:before="0" w:line="240"/>
              <w:ind/>
              <w:rPr/>
            </w:pPr>
            <w:r>
              <w:rPr>
                <w:rFonts w:ascii="Courier New" w:hAnsi="Courier New" w:eastAsia="Courier New" w:cs="Courier New"/>
                <w:color w:val="000000"/>
                <w:sz w:val="20"/>
              </w:rPr>
              <w:t xml:space="preserve">etf.flows.*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etf.aum.*</w:t>
            </w:r>
            <w:r/>
          </w:p>
        </w:tc>
        <w:tc>
          <w:tcPr>
            <w:tcBorders/>
            <w:tcMar>
              <w:left w:w="15" w:type="dxa"/>
              <w:top w:w="15" w:type="dxa"/>
              <w:right w:w="15" w:type="dxa"/>
              <w:bottom w:w="15" w:type="dxa"/>
            </w:tcMar>
            <w:tcW w:w="1480" w:type="dxa"/>
            <w:vAlign w:val="center"/>
          </w:tcPr>
          <w:p w14:paraId="14FF5772">
            <w:pPr>
              <w:pBdr/>
              <w:spacing w:after="0" w:before="0" w:line="240"/>
              <w:ind/>
              <w:rPr/>
            </w:pPr>
            <w:r>
              <w:rPr>
                <w:rFonts w:ascii="Times New Roman" w:hAnsi="Times New Roman" w:eastAsia="Times New Roman" w:cs="Times New Roman"/>
                <w:color w:val="000000"/>
                <w:sz w:val="24"/>
              </w:rPr>
              <w:t xml:space="preserve">SoSoValue</w:t>
            </w:r>
            <w:r/>
          </w:p>
        </w:tc>
        <w:tc>
          <w:tcPr>
            <w:tcBorders/>
            <w:tcMar>
              <w:left w:w="15" w:type="dxa"/>
              <w:top w:w="15" w:type="dxa"/>
              <w:right w:w="15" w:type="dxa"/>
              <w:bottom w:w="15" w:type="dxa"/>
            </w:tcMar>
            <w:tcW w:w="4350" w:type="dxa"/>
            <w:vAlign w:val="center"/>
          </w:tcPr>
          <w:p w14:paraId="4935087C">
            <w:pPr>
              <w:pBdr/>
              <w:spacing w:after="0" w:before="0" w:line="240"/>
              <w:ind/>
              <w:rPr/>
            </w:pPr>
            <w:r>
              <w:rPr>
                <w:rFonts w:ascii="Times New Roman" w:hAnsi="Times New Roman" w:eastAsia="Times New Roman" w:cs="Times New Roman"/>
                <w:color w:val="000000"/>
                <w:sz w:val="24"/>
              </w:rPr>
              <w:t xml:space="preserve">Full for BTC/ETH spot ETFs</w:t>
            </w:r>
            <w:r/>
          </w:p>
        </w:tc>
      </w:tr>
      <w:tr>
        <w:trPr/>
        <w:tc>
          <w:tcPr>
            <w:tcBorders/>
            <w:tcMar>
              <w:left w:w="15" w:type="dxa"/>
              <w:top w:w="15" w:type="dxa"/>
              <w:right w:w="15" w:type="dxa"/>
              <w:bottom w:w="15" w:type="dxa"/>
            </w:tcMar>
            <w:tcW w:w="3525" w:type="dxa"/>
            <w:vAlign w:val="center"/>
          </w:tcPr>
          <w:p w14:paraId="4847D1C2">
            <w:pPr>
              <w:pBdr/>
              <w:spacing w:after="0" w:before="0" w:line="240"/>
              <w:ind/>
              <w:rPr/>
            </w:pPr>
            <w:r>
              <w:rPr>
                <w:rFonts w:ascii="Courier New" w:hAnsi="Courier New" w:eastAsia="Courier New" w:cs="Courier New"/>
                <w:color w:val="000000"/>
                <w:sz w:val="20"/>
              </w:rPr>
              <w:t xml:space="preserve">spot.price.close_usd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spot.volume.usd_24h</w:t>
            </w:r>
            <w:r/>
          </w:p>
        </w:tc>
        <w:tc>
          <w:tcPr>
            <w:tcBorders/>
            <w:tcMar>
              <w:left w:w="15" w:type="dxa"/>
              <w:top w:w="15" w:type="dxa"/>
              <w:right w:w="15" w:type="dxa"/>
              <w:bottom w:w="15" w:type="dxa"/>
            </w:tcMar>
            <w:tcW w:w="1480" w:type="dxa"/>
            <w:vAlign w:val="center"/>
          </w:tcPr>
          <w:p w14:paraId="700744C1">
            <w:pPr>
              <w:pBdr/>
              <w:spacing w:after="0" w:before="0" w:line="240"/>
              <w:ind/>
              <w:rPr/>
            </w:pPr>
            <w:r>
              <w:rPr>
                <w:rFonts w:ascii="Times New Roman" w:hAnsi="Times New Roman" w:eastAsia="Times New Roman" w:cs="Times New Roman"/>
                <w:color w:val="000000"/>
                <w:sz w:val="24"/>
              </w:rPr>
              <w:t xml:space="preserve">Tiingo</w:t>
            </w:r>
            <w:r/>
          </w:p>
        </w:tc>
        <w:tc>
          <w:tcPr>
            <w:tcBorders/>
            <w:tcMar>
              <w:left w:w="15" w:type="dxa"/>
              <w:top w:w="15" w:type="dxa"/>
              <w:right w:w="15" w:type="dxa"/>
              <w:bottom w:w="15" w:type="dxa"/>
            </w:tcMar>
            <w:tcW w:w="4350" w:type="dxa"/>
            <w:vAlign w:val="center"/>
          </w:tcPr>
          <w:p w14:paraId="6836C8B8">
            <w:pPr>
              <w:pBdr/>
              <w:spacing w:after="0" w:before="0" w:line="240"/>
              <w:ind/>
              <w:rPr/>
            </w:pPr>
            <w:r>
              <w:rPr>
                <w:rFonts w:ascii="Times New Roman" w:hAnsi="Times New Roman" w:eastAsia="Times New Roman" w:cs="Times New Roman"/>
                <w:color w:val="000000"/>
                <w:sz w:val="24"/>
              </w:rPr>
              <w:t xml:space="preserve">Full</w:t>
            </w:r>
            <w:r/>
          </w:p>
        </w:tc>
      </w:tr>
      <w:tr>
        <w:trPr/>
        <w:tc>
          <w:tcPr>
            <w:tcBorders/>
            <w:tcMar>
              <w:left w:w="15" w:type="dxa"/>
              <w:top w:w="15" w:type="dxa"/>
              <w:right w:w="15" w:type="dxa"/>
              <w:bottom w:w="15" w:type="dxa"/>
            </w:tcMar>
            <w:tcW w:w="3525" w:type="dxa"/>
            <w:vAlign w:val="center"/>
          </w:tcPr>
          <w:p w14:paraId="60809B76">
            <w:pPr>
              <w:pBdr/>
              <w:spacing w:after="0" w:before="0" w:line="240"/>
              <w:ind/>
              <w:rPr/>
            </w:pPr>
            <w:r>
              <w:rPr>
                <w:rFonts w:ascii="Courier New" w:hAnsi="Courier New" w:eastAsia="Courier New" w:cs="Courier New"/>
                <w:color w:val="000000"/>
                <w:sz w:val="20"/>
              </w:rPr>
              <w:t xml:space="preserve">flows.exchange.*</w:t>
            </w:r>
            <w:r/>
          </w:p>
        </w:tc>
        <w:tc>
          <w:tcPr>
            <w:tcBorders/>
            <w:tcMar>
              <w:left w:w="15" w:type="dxa"/>
              <w:top w:w="15" w:type="dxa"/>
              <w:right w:w="15" w:type="dxa"/>
              <w:bottom w:w="15" w:type="dxa"/>
            </w:tcMar>
            <w:tcW w:w="1480" w:type="dxa"/>
            <w:vAlign w:val="center"/>
          </w:tcPr>
          <w:p w14:paraId="2C22062C">
            <w:pPr>
              <w:pBdr/>
              <w:spacing w:after="0" w:before="0" w:line="240"/>
              <w:ind/>
              <w:rPr/>
            </w:pPr>
            <w:r>
              <w:rPr>
                <w:rFonts w:ascii="Times New Roman" w:hAnsi="Times New Roman" w:eastAsia="Times New Roman" w:cs="Times New Roman"/>
                <w:color w:val="000000"/>
                <w:sz w:val="24"/>
              </w:rPr>
              <w:t xml:space="preserve">Explorer / Etherscan</w:t>
            </w:r>
            <w:r/>
          </w:p>
        </w:tc>
        <w:tc>
          <w:tcPr>
            <w:tcBorders/>
            <w:tcMar>
              <w:left w:w="15" w:type="dxa"/>
              <w:top w:w="15" w:type="dxa"/>
              <w:right w:w="15" w:type="dxa"/>
              <w:bottom w:w="15" w:type="dxa"/>
            </w:tcMar>
            <w:tcW w:w="4350" w:type="dxa"/>
            <w:vAlign w:val="center"/>
          </w:tcPr>
          <w:p w14:paraId="1CD83436">
            <w:pPr>
              <w:pBdr/>
              <w:spacing w:after="0" w:before="0" w:line="240"/>
              <w:ind/>
              <w:rPr/>
            </w:pPr>
            <w:r>
              <w:rPr>
                <w:rFonts w:ascii="Times New Roman" w:hAnsi="Times New Roman" w:eastAsia="Times New Roman" w:cs="Times New Roman"/>
                <w:color w:val="000000"/>
                <w:sz w:val="24"/>
              </w:rPr>
              <w:t xml:space="preserve">Partial — 18 instruments</w:t>
            </w:r>
            <w:r/>
          </w:p>
        </w:tc>
      </w:tr>
    </w:tbl>
    <w:p w14:paraId="2EF1EF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Gaps — require resolution: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04"/>
        <w:gridCol w:w="1861"/>
        <w:gridCol w:w="4881"/>
        <w:gridCol w:w="1608"/>
      </w:tblGrid>
      <w:tr>
        <w:trPr/>
        <w:tc>
          <w:tcPr>
            <w:tcBorders/>
            <w:tcMar>
              <w:left w:w="15" w:type="dxa"/>
              <w:top w:w="15" w:type="dxa"/>
              <w:right w:w="15" w:type="dxa"/>
              <w:bottom w:w="15" w:type="dxa"/>
            </w:tcMar>
            <w:tcW w:w="1004" w:type="dxa"/>
            <w:vAlign w:val="center"/>
          </w:tcPr>
          <w:p w14:paraId="7D0146C6">
            <w:pPr>
              <w:pBdr/>
              <w:spacing w:after="0" w:before="0" w:line="240"/>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1861" w:type="dxa"/>
            <w:vAlign w:val="center"/>
          </w:tcPr>
          <w:p w14:paraId="4E1F3682">
            <w:pPr>
              <w:pBdr/>
              <w:spacing w:after="0" w:before="0" w:line="240"/>
              <w:ind/>
              <w:jc w:val="center"/>
              <w:rPr/>
            </w:pPr>
            <w:r>
              <w:rPr>
                <w:rFonts w:ascii="Times New Roman" w:hAnsi="Times New Roman" w:eastAsia="Times New Roman" w:cs="Times New Roman"/>
                <w:b/>
                <w:color w:val="000000"/>
                <w:sz w:val="24"/>
              </w:rPr>
              <w:t xml:space="preserve">Gap</w:t>
            </w:r>
            <w:r/>
          </w:p>
        </w:tc>
        <w:tc>
          <w:tcPr>
            <w:tcBorders/>
            <w:tcMar>
              <w:left w:w="15" w:type="dxa"/>
              <w:top w:w="15" w:type="dxa"/>
              <w:right w:w="15" w:type="dxa"/>
              <w:bottom w:w="15" w:type="dxa"/>
            </w:tcMar>
            <w:tcW w:w="4881" w:type="dxa"/>
            <w:vAlign w:val="center"/>
          </w:tcPr>
          <w:p w14:paraId="000D9AAF">
            <w:pPr>
              <w:pBdr/>
              <w:spacing w:after="0" w:before="0" w:line="240"/>
              <w:ind/>
              <w:jc w:val="center"/>
              <w:rPr/>
            </w:pPr>
            <w:r>
              <w:rPr>
                <w:rFonts w:ascii="Times New Roman" w:hAnsi="Times New Roman" w:eastAsia="Times New Roman" w:cs="Times New Roman"/>
                <w:b/>
                <w:color w:val="000000"/>
                <w:sz w:val="24"/>
              </w:rPr>
              <w:t xml:space="preserve">Resolution options</w:t>
            </w:r>
            <w:r/>
          </w:p>
        </w:tc>
        <w:tc>
          <w:tcPr>
            <w:tcBorders/>
            <w:tcMar>
              <w:left w:w="15" w:type="dxa"/>
              <w:top w:w="15" w:type="dxa"/>
              <w:right w:w="15" w:type="dxa"/>
              <w:bottom w:w="15" w:type="dxa"/>
            </w:tcMar>
            <w:tcW w:w="1608" w:type="dxa"/>
            <w:vAlign w:val="center"/>
          </w:tcPr>
          <w:p w14:paraId="77FC0C8A">
            <w:pPr>
              <w:pBdr/>
              <w:spacing w:after="0" w:before="0" w:line="240"/>
              <w:ind/>
              <w:jc w:val="center"/>
              <w:rPr/>
            </w:pPr>
            <w:r>
              <w:rPr>
                <w:rFonts w:ascii="Times New Roman" w:hAnsi="Times New Roman" w:eastAsia="Times New Roman" w:cs="Times New Roman"/>
                <w:b/>
                <w:color w:val="000000"/>
                <w:sz w:val="24"/>
              </w:rPr>
              <w:t xml:space="preserve">Priority</w:t>
            </w:r>
            <w:r/>
          </w:p>
        </w:tc>
      </w:tr>
      <w:tr>
        <w:trPr/>
        <w:tc>
          <w:tcPr>
            <w:tcBorders/>
            <w:tcMar>
              <w:left w:w="15" w:type="dxa"/>
              <w:top w:w="15" w:type="dxa"/>
              <w:right w:w="15" w:type="dxa"/>
              <w:bottom w:w="15" w:type="dxa"/>
            </w:tcMar>
            <w:tcW w:w="1004" w:type="dxa"/>
            <w:vAlign w:val="center"/>
          </w:tcPr>
          <w:p w14:paraId="37EB4F99">
            <w:pPr>
              <w:pBdr/>
              <w:spacing w:after="0" w:before="0" w:line="240"/>
              <w:ind/>
              <w:rPr/>
            </w:pPr>
            <w:r>
              <w:rPr>
                <w:rFonts w:ascii="Courier New" w:hAnsi="Courier New" w:eastAsia="Courier New" w:cs="Courier New"/>
                <w:color w:val="000000"/>
                <w:sz w:val="20"/>
              </w:rPr>
              <w:t xml:space="preserve">derivatives.perpetual.price_usd</w:t>
            </w:r>
            <w:r/>
          </w:p>
        </w:tc>
        <w:tc>
          <w:tcPr>
            <w:tcBorders/>
            <w:tcMar>
              <w:left w:w="15" w:type="dxa"/>
              <w:top w:w="15" w:type="dxa"/>
              <w:right w:w="15" w:type="dxa"/>
              <w:bottom w:w="15" w:type="dxa"/>
            </w:tcMar>
            <w:tcW w:w="1861" w:type="dxa"/>
            <w:vAlign w:val="center"/>
          </w:tcPr>
          <w:p w14:paraId="636E2337">
            <w:pPr>
              <w:pBdr/>
              <w:spacing w:after="0" w:before="0" w:line="240"/>
              <w:ind/>
              <w:rPr/>
            </w:pPr>
            <w:r>
              <w:rPr>
                <w:rFonts w:ascii="Times New Roman" w:hAnsi="Times New Roman" w:eastAsia="Times New Roman" w:cs="Times New Roman"/>
                <w:color w:val="000000"/>
                <w:sz w:val="24"/>
              </w:rPr>
              <w:t xml:space="preserve">Coinalyze provides OI and funding but perpetual price is not confirmed as a field</w:t>
            </w:r>
            <w:r/>
          </w:p>
        </w:tc>
        <w:tc>
          <w:tcPr>
            <w:tcBorders/>
            <w:tcMar>
              <w:left w:w="15" w:type="dxa"/>
              <w:top w:w="15" w:type="dxa"/>
              <w:right w:w="15" w:type="dxa"/>
              <w:bottom w:w="15" w:type="dxa"/>
            </w:tcMar>
            <w:tcW w:w="4881" w:type="dxa"/>
            <w:vAlign w:val="center"/>
          </w:tcPr>
          <w:p w14:paraId="1F71F91F">
            <w:pPr>
              <w:pBdr/>
              <w:spacing w:after="0" w:before="0" w:line="240"/>
              <w:ind/>
              <w:rPr/>
            </w:pPr>
            <w:r>
              <w:rPr>
                <w:rFonts w:ascii="Times New Roman" w:hAnsi="Times New Roman" w:eastAsia="Times New Roman" w:cs="Times New Roman"/>
                <w:color w:val="000000"/>
                <w:sz w:val="24"/>
              </w:rPr>
              <w:t xml:space="preserve">Verify in Coinalyze endpoint response. If absent: derive from spot + basis, or add Binance perp price feed.</w:t>
            </w:r>
            <w:r/>
          </w:p>
        </w:tc>
        <w:tc>
          <w:tcPr>
            <w:tcBorders/>
            <w:tcMar>
              <w:left w:w="15" w:type="dxa"/>
              <w:top w:w="15" w:type="dxa"/>
              <w:right w:w="15" w:type="dxa"/>
              <w:bottom w:w="15" w:type="dxa"/>
            </w:tcMar>
            <w:tcW w:w="1608" w:type="dxa"/>
            <w:vAlign w:val="center"/>
          </w:tcPr>
          <w:p w14:paraId="25B3A8F0">
            <w:pPr>
              <w:pBdr/>
              <w:spacing w:after="0" w:before="0" w:line="240"/>
              <w:ind/>
              <w:rPr/>
            </w:pPr>
            <w:r>
              <w:rPr>
                <w:rFonts w:ascii="Times New Roman" w:hAnsi="Times New Roman" w:eastAsia="Times New Roman" w:cs="Times New Roman"/>
                <w:color w:val="000000"/>
                <w:sz w:val="24"/>
              </w:rPr>
              <w:t xml:space="preserve">High — required for basis calculation</w:t>
            </w:r>
            <w:r/>
          </w:p>
        </w:tc>
      </w:tr>
      <w:tr>
        <w:trPr/>
        <w:tc>
          <w:tcPr>
            <w:tcBorders/>
            <w:tcMar>
              <w:left w:w="15" w:type="dxa"/>
              <w:top w:w="15" w:type="dxa"/>
              <w:right w:w="15" w:type="dxa"/>
              <w:bottom w:w="15" w:type="dxa"/>
            </w:tcMar>
            <w:tcW w:w="1004" w:type="dxa"/>
            <w:vAlign w:val="center"/>
          </w:tcPr>
          <w:p w14:paraId="60D02643">
            <w:pPr>
              <w:pBdr/>
              <w:spacing w:after="0" w:before="0" w:line="240"/>
              <w:ind/>
              <w:rPr/>
            </w:pPr>
            <w:r>
              <w:rPr>
                <w:rFonts w:ascii="Courier New" w:hAnsi="Courier New" w:eastAsia="Courier New" w:cs="Courier New"/>
                <w:color w:val="000000"/>
                <w:sz w:val="20"/>
              </w:rPr>
              <w:t xml:space="preserve">defi.lending.utilization_rate</w:t>
            </w:r>
            <w:r/>
          </w:p>
        </w:tc>
        <w:tc>
          <w:tcPr>
            <w:tcBorders/>
            <w:tcMar>
              <w:left w:w="15" w:type="dxa"/>
              <w:top w:w="15" w:type="dxa"/>
              <w:right w:w="15" w:type="dxa"/>
              <w:bottom w:w="15" w:type="dxa"/>
            </w:tcMar>
            <w:tcW w:w="1861" w:type="dxa"/>
            <w:vAlign w:val="center"/>
          </w:tcPr>
          <w:p w14:paraId="6597F90B">
            <w:pPr>
              <w:pBdr/>
              <w:spacing w:after="0" w:before="0" w:line="240"/>
              <w:ind/>
              <w:rPr/>
            </w:pPr>
            <w:r>
              <w:rPr>
                <w:rFonts w:ascii="Times New Roman" w:hAnsi="Times New Roman" w:eastAsia="Times New Roman" w:cs="Times New Roman"/>
                <w:color w:val="000000"/>
                <w:sz w:val="24"/>
              </w:rPr>
              <w:t xml:space="preserve">DeFiLlama does not provide per-protocol utilization rate directly</w:t>
            </w:r>
            <w:r/>
          </w:p>
        </w:tc>
        <w:tc>
          <w:tcPr>
            <w:tcBorders/>
            <w:tcMar>
              <w:left w:w="15" w:type="dxa"/>
              <w:top w:w="15" w:type="dxa"/>
              <w:right w:w="15" w:type="dxa"/>
              <w:bottom w:w="15" w:type="dxa"/>
            </w:tcMar>
            <w:tcW w:w="4881" w:type="dxa"/>
            <w:vAlign w:val="center"/>
          </w:tcPr>
          <w:p w14:paraId="3089C3F1">
            <w:pPr>
              <w:pBdr/>
              <w:spacing w:after="0" w:before="0" w:line="240"/>
              <w:ind/>
              <w:rPr/>
            </w:pPr>
            <w:r>
              <w:rPr>
                <w:rFonts w:ascii="Times New Roman" w:hAnsi="Times New Roman" w:eastAsia="Times New Roman" w:cs="Times New Roman"/>
                <w:color w:val="000000"/>
                <w:sz w:val="24"/>
              </w:rPr>
              <w:t xml:space="preserve">Option A: Aave/Compound subgraph queries per protocol. Option B: DeFiLlama borrow/supply TVL ratio as proxy. Option C: Accept this metric as out of scope for v1 and null-propagate through lending features.</w:t>
            </w:r>
            <w:r/>
          </w:p>
        </w:tc>
        <w:tc>
          <w:tcPr>
            <w:tcBorders/>
            <w:tcMar>
              <w:left w:w="15" w:type="dxa"/>
              <w:top w:w="15" w:type="dxa"/>
              <w:right w:w="15" w:type="dxa"/>
              <w:bottom w:w="15" w:type="dxa"/>
            </w:tcMar>
            <w:tcW w:w="1608" w:type="dxa"/>
            <w:vAlign w:val="center"/>
          </w:tcPr>
          <w:p w14:paraId="17760983">
            <w:pPr>
              <w:pBdr/>
              <w:spacing w:after="0" w:before="0" w:line="240"/>
              <w:ind/>
              <w:rPr/>
            </w:pPr>
            <w:r>
              <w:rPr>
                <w:rFonts w:ascii="Times New Roman" w:hAnsi="Times New Roman" w:eastAsia="Times New Roman" w:cs="Times New Roman"/>
                <w:color w:val="000000"/>
                <w:sz w:val="24"/>
              </w:rPr>
              <w:t xml:space="preserve">Medium — lending pillar degrades without it, but doesn't break signal</w:t>
            </w:r>
            <w:r/>
          </w:p>
        </w:tc>
      </w:tr>
      <w:tr>
        <w:trPr/>
        <w:tc>
          <w:tcPr>
            <w:tcBorders/>
            <w:tcMar>
              <w:left w:w="15" w:type="dxa"/>
              <w:top w:w="15" w:type="dxa"/>
              <w:right w:w="15" w:type="dxa"/>
              <w:bottom w:w="15" w:type="dxa"/>
            </w:tcMar>
            <w:tcW w:w="1004" w:type="dxa"/>
            <w:vAlign w:val="center"/>
          </w:tcPr>
          <w:p w14:paraId="757907DB">
            <w:pPr>
              <w:pBdr/>
              <w:spacing w:after="0" w:before="0" w:line="240"/>
              <w:ind/>
              <w:rPr/>
            </w:pPr>
            <w:r>
              <w:rPr>
                <w:rFonts w:ascii="Courier New" w:hAnsi="Courier New" w:eastAsia="Courier New" w:cs="Courier New"/>
                <w:color w:val="000000"/>
                <w:sz w:val="20"/>
              </w:rPr>
              <w:t xml:space="preserve">flows.exchange.*</w:t>
            </w:r>
            <w:r>
              <w:rPr>
                <w:rFonts w:ascii="Times New Roman" w:hAnsi="Times New Roman" w:eastAsia="Times New Roman" w:cs="Times New Roman"/>
                <w:color w:val="000000"/>
                <w:sz w:val="24"/>
              </w:rPr>
              <w:t xml:space="preserve"> beyond 18 instruments</w:t>
            </w:r>
            <w:r/>
          </w:p>
        </w:tc>
        <w:tc>
          <w:tcPr>
            <w:tcBorders/>
            <w:tcMar>
              <w:left w:w="15" w:type="dxa"/>
              <w:top w:w="15" w:type="dxa"/>
              <w:right w:w="15" w:type="dxa"/>
              <w:bottom w:w="15" w:type="dxa"/>
            </w:tcMar>
            <w:tcW w:w="1861" w:type="dxa"/>
            <w:vAlign w:val="center"/>
          </w:tcPr>
          <w:p w14:paraId="40AD615B">
            <w:pPr>
              <w:pBdr/>
              <w:spacing w:after="0" w:before="0" w:line="240"/>
              <w:ind/>
              <w:rPr/>
            </w:pPr>
            <w:r>
              <w:rPr>
                <w:rFonts w:ascii="Times New Roman" w:hAnsi="Times New Roman" w:eastAsia="Times New Roman" w:cs="Times New Roman"/>
                <w:color w:val="000000"/>
                <w:sz w:val="24"/>
              </w:rPr>
              <w:t xml:space="preserve">Explorer agent covers only 18 instruments</w:t>
            </w:r>
            <w:r/>
          </w:p>
        </w:tc>
        <w:tc>
          <w:tcPr>
            <w:tcBorders/>
            <w:tcMar>
              <w:left w:w="15" w:type="dxa"/>
              <w:top w:w="15" w:type="dxa"/>
              <w:right w:w="15" w:type="dxa"/>
              <w:bottom w:w="15" w:type="dxa"/>
            </w:tcMar>
            <w:tcW w:w="4881" w:type="dxa"/>
            <w:vAlign w:val="center"/>
          </w:tcPr>
          <w:p w14:paraId="03B6F157">
            <w:pPr>
              <w:pBdr/>
              <w:spacing w:after="0" w:before="0" w:line="240"/>
              <w:ind/>
              <w:rPr/>
            </w:pPr>
            <w:r>
              <w:rPr>
                <w:rFonts w:ascii="Times New Roman" w:hAnsi="Times New Roman" w:eastAsia="Times New Roman" w:cs="Times New Roman"/>
                <w:color w:val="000000"/>
                <w:sz w:val="24"/>
              </w:rPr>
              <w:t xml:space="preserve">Etherscan V2 coverage limited by on-chain data availability. Coinalyze may provide flow proxies via OI changes. Long-term: expand to additional on-chain data providers.</w:t>
            </w:r>
            <w:r/>
          </w:p>
        </w:tc>
        <w:tc>
          <w:tcPr>
            <w:tcBorders/>
            <w:tcMar>
              <w:left w:w="15" w:type="dxa"/>
              <w:top w:w="15" w:type="dxa"/>
              <w:right w:w="15" w:type="dxa"/>
              <w:bottom w:w="15" w:type="dxa"/>
            </w:tcMar>
            <w:tcW w:w="1608" w:type="dxa"/>
            <w:vAlign w:val="center"/>
          </w:tcPr>
          <w:p w14:paraId="4C486C7B">
            <w:pPr>
              <w:pBdr/>
              <w:spacing w:after="0" w:before="0" w:line="240"/>
              <w:ind/>
              <w:rPr/>
            </w:pPr>
            <w:r>
              <w:rPr>
                <w:rFonts w:ascii="Times New Roman" w:hAnsi="Times New Roman" w:eastAsia="Times New Roman" w:cs="Times New Roman"/>
                <w:color w:val="000000"/>
                <w:sz w:val="24"/>
              </w:rPr>
              <w:t xml:space="preserve">Low — signal degrades gracefully, not a blocker</w:t>
            </w:r>
            <w:r/>
          </w:p>
        </w:tc>
      </w:tr>
      <w:tr>
        <w:trPr/>
        <w:tc>
          <w:tcPr>
            <w:tcBorders/>
            <w:tcMar>
              <w:left w:w="15" w:type="dxa"/>
              <w:top w:w="15" w:type="dxa"/>
              <w:right w:w="15" w:type="dxa"/>
              <w:bottom w:w="15" w:type="dxa"/>
            </w:tcMar>
            <w:tcW w:w="1004" w:type="dxa"/>
            <w:vAlign w:val="center"/>
          </w:tcPr>
          <w:p w14:paraId="37A2954C">
            <w:pPr>
              <w:pBdr/>
              <w:spacing w:after="0" w:before="0" w:line="240"/>
              <w:ind/>
              <w:rPr/>
            </w:pPr>
            <w:r>
              <w:rPr>
                <w:rFonts w:ascii="Courier New" w:hAnsi="Courier New" w:eastAsia="Courier New" w:cs="Courier New"/>
                <w:color w:val="000000"/>
                <w:sz w:val="20"/>
              </w:rPr>
              <w:t xml:space="preserve">spot.market_cap.usd</w:t>
            </w:r>
            <w:r/>
          </w:p>
        </w:tc>
        <w:tc>
          <w:tcPr>
            <w:tcBorders/>
            <w:tcMar>
              <w:left w:w="15" w:type="dxa"/>
              <w:top w:w="15" w:type="dxa"/>
              <w:right w:w="15" w:type="dxa"/>
              <w:bottom w:w="15" w:type="dxa"/>
            </w:tcMar>
            <w:tcW w:w="1861" w:type="dxa"/>
            <w:vAlign w:val="center"/>
          </w:tcPr>
          <w:p w14:paraId="060AD9D7">
            <w:pPr>
              <w:pBdr/>
              <w:spacing w:after="0" w:before="0" w:line="240"/>
              <w:ind/>
              <w:rPr/>
            </w:pPr>
            <w:r>
              <w:rPr>
                <w:rFonts w:ascii="Times New Roman" w:hAnsi="Times New Roman" w:eastAsia="Times New Roman" w:cs="Times New Roman"/>
                <w:color w:val="000000"/>
                <w:sz w:val="24"/>
              </w:rPr>
              <w:t xml:space="preserve">Tiingo does not provide market cap directly</w:t>
            </w:r>
            <w:r/>
          </w:p>
        </w:tc>
        <w:tc>
          <w:tcPr>
            <w:tcBorders/>
            <w:tcMar>
              <w:left w:w="15" w:type="dxa"/>
              <w:top w:w="15" w:type="dxa"/>
              <w:right w:w="15" w:type="dxa"/>
              <w:bottom w:w="15" w:type="dxa"/>
            </w:tcMar>
            <w:tcW w:w="4881" w:type="dxa"/>
            <w:vAlign w:val="center"/>
          </w:tcPr>
          <w:p w14:paraId="1CA71BC3">
            <w:pPr>
              <w:pBdr/>
              <w:spacing w:after="0" w:before="0" w:line="240"/>
              <w:ind/>
              <w:rPr/>
            </w:pPr>
            <w:r>
              <w:rPr>
                <w:rFonts w:ascii="Times New Roman" w:hAnsi="Times New Roman" w:eastAsia="Times New Roman" w:cs="Times New Roman"/>
                <w:color w:val="000000"/>
                <w:sz w:val="24"/>
              </w:rPr>
              <w:t xml:space="preserve">Option A: CoinGecko free API for market cap. Option B: Compute from circulating supply (requires separate supply data source) × price. Option C: CoinPaprika (existing source, low ToS risk).</w:t>
            </w:r>
            <w:r/>
          </w:p>
        </w:tc>
        <w:tc>
          <w:tcPr>
            <w:tcBorders/>
            <w:tcMar>
              <w:left w:w="15" w:type="dxa"/>
              <w:top w:w="15" w:type="dxa"/>
              <w:right w:w="15" w:type="dxa"/>
              <w:bottom w:w="15" w:type="dxa"/>
            </w:tcMar>
            <w:tcW w:w="1608" w:type="dxa"/>
            <w:vAlign w:val="center"/>
          </w:tcPr>
          <w:p w14:paraId="10375EE8">
            <w:pPr>
              <w:pBdr/>
              <w:spacing w:after="0" w:before="0" w:line="240"/>
              <w:ind/>
              <w:rPr/>
            </w:pPr>
            <w:r>
              <w:rPr>
                <w:rFonts w:ascii="Times New Roman" w:hAnsi="Times New Roman" w:eastAsia="Times New Roman" w:cs="Times New Roman"/>
                <w:color w:val="000000"/>
                <w:sz w:val="24"/>
              </w:rPr>
              <w:t xml:space="preserve">Medium — required for BTC dominance and cross-asset features</w:t>
            </w:r>
            <w:r/>
          </w:p>
        </w:tc>
      </w:tr>
      <w:tr>
        <w:trPr/>
        <w:tc>
          <w:tcPr>
            <w:tcBorders/>
            <w:tcMar>
              <w:left w:w="15" w:type="dxa"/>
              <w:top w:w="15" w:type="dxa"/>
              <w:right w:w="15" w:type="dxa"/>
              <w:bottom w:w="15" w:type="dxa"/>
            </w:tcMar>
            <w:tcW w:w="1004" w:type="dxa"/>
            <w:vAlign w:val="center"/>
          </w:tcPr>
          <w:p w14:paraId="6E6C4CE8">
            <w:pPr>
              <w:pBdr/>
              <w:spacing w:after="0" w:before="0" w:line="240"/>
              <w:ind/>
              <w:rPr/>
            </w:pPr>
            <w:r>
              <w:rPr>
                <w:rFonts w:ascii="Times New Roman" w:hAnsi="Times New Roman" w:eastAsia="Times New Roman" w:cs="Times New Roman"/>
                <w:color w:val="000000"/>
                <w:sz w:val="24"/>
              </w:rPr>
              <w:t xml:space="preserve">Options metrics (</w:t>
            </w:r>
            <w:r>
              <w:rPr>
                <w:rFonts w:ascii="Courier New" w:hAnsi="Courier New" w:eastAsia="Courier New" w:cs="Courier New"/>
                <w:color w:val="000000"/>
                <w:sz w:val="20"/>
              </w:rPr>
              <w:t xml:space="preserve">derivatives.options.*</w:t>
            </w: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1861" w:type="dxa"/>
            <w:vAlign w:val="center"/>
          </w:tcPr>
          <w:p w14:paraId="26E9CD00">
            <w:pPr>
              <w:pBdr/>
              <w:spacing w:after="0" w:before="0" w:line="240"/>
              <w:ind/>
              <w:rPr/>
            </w:pPr>
            <w:r>
              <w:rPr>
                <w:rFonts w:ascii="Times New Roman" w:hAnsi="Times New Roman" w:eastAsia="Times New Roman" w:cs="Times New Roman"/>
                <w:color w:val="000000"/>
                <w:sz w:val="24"/>
              </w:rPr>
              <w:t xml:space="preserve">No current options data source</w:t>
            </w:r>
            <w:r/>
          </w:p>
        </w:tc>
        <w:tc>
          <w:tcPr>
            <w:tcBorders/>
            <w:tcMar>
              <w:left w:w="15" w:type="dxa"/>
              <w:top w:w="15" w:type="dxa"/>
              <w:right w:w="15" w:type="dxa"/>
              <w:bottom w:w="15" w:type="dxa"/>
            </w:tcMar>
            <w:tcW w:w="4881" w:type="dxa"/>
            <w:vAlign w:val="center"/>
          </w:tcPr>
          <w:p w14:paraId="049CCBD5">
            <w:pPr>
              <w:pBdr/>
              <w:spacing w:after="0" w:before="0" w:line="240"/>
              <w:ind/>
              <w:rPr/>
            </w:pPr>
            <w:r>
              <w:rPr>
                <w:rFonts w:ascii="Times New Roman" w:hAnsi="Times New Roman" w:eastAsia="Times New Roman" w:cs="Times New Roman"/>
                <w:color w:val="000000"/>
                <w:sz w:val="24"/>
              </w:rPr>
              <w:t xml:space="preserve">Deribit API (free, well-documented). Required only for BTC/ETH initially — options markets on other instruments are illiquid.</w:t>
            </w:r>
            <w:r/>
          </w:p>
        </w:tc>
        <w:tc>
          <w:tcPr>
            <w:tcBorders/>
            <w:tcMar>
              <w:left w:w="15" w:type="dxa"/>
              <w:top w:w="15" w:type="dxa"/>
              <w:right w:w="15" w:type="dxa"/>
              <w:bottom w:w="15" w:type="dxa"/>
            </w:tcMar>
            <w:tcW w:w="1608" w:type="dxa"/>
            <w:vAlign w:val="center"/>
          </w:tcPr>
          <w:p w14:paraId="1D560F66">
            <w:pPr>
              <w:pBdr/>
              <w:spacing w:after="0" w:before="0" w:line="240"/>
              <w:ind/>
              <w:rPr/>
            </w:pPr>
            <w:r>
              <w:rPr>
                <w:rFonts w:ascii="Times New Roman" w:hAnsi="Times New Roman" w:eastAsia="Times New Roman" w:cs="Times New Roman"/>
                <w:color w:val="000000"/>
                <w:sz w:val="24"/>
              </w:rPr>
              <w:t xml:space="preserve">Low for v1 — options features null-propagate in EDSx. Add in v1.1.</w:t>
            </w:r>
            <w:r/>
          </w:p>
        </w:tc>
      </w:tr>
      <w:tr>
        <w:trPr/>
        <w:tc>
          <w:tcPr>
            <w:tcBorders/>
            <w:tcMar>
              <w:left w:w="15" w:type="dxa"/>
              <w:top w:w="15" w:type="dxa"/>
              <w:right w:w="15" w:type="dxa"/>
              <w:bottom w:w="15" w:type="dxa"/>
            </w:tcMar>
            <w:tcW w:w="1004" w:type="dxa"/>
            <w:vAlign w:val="center"/>
          </w:tcPr>
          <w:p w14:paraId="00609CCD">
            <w:pPr>
              <w:pBdr/>
              <w:spacing w:after="0" w:before="0" w:line="240"/>
              <w:ind/>
              <w:rPr/>
            </w:pPr>
            <w:r>
              <w:rPr>
                <w:rFonts w:ascii="Courier New" w:hAnsi="Courier New" w:eastAsia="Courier New" w:cs="Courier New"/>
                <w:color w:val="000000"/>
                <w:sz w:val="20"/>
              </w:rPr>
              <w:t xml:space="preserve">flows.onchain.transfer_volume_usd</w:t>
            </w:r>
            <w:r/>
          </w:p>
        </w:tc>
        <w:tc>
          <w:tcPr>
            <w:tcBorders/>
            <w:tcMar>
              <w:left w:w="15" w:type="dxa"/>
              <w:top w:w="15" w:type="dxa"/>
              <w:right w:w="15" w:type="dxa"/>
              <w:bottom w:w="15" w:type="dxa"/>
            </w:tcMar>
            <w:tcW w:w="1861" w:type="dxa"/>
            <w:vAlign w:val="center"/>
          </w:tcPr>
          <w:p w14:paraId="4FC2F3A2">
            <w:pPr>
              <w:pBdr/>
              <w:spacing w:after="0" w:before="0" w:line="240"/>
              <w:ind/>
              <w:rPr/>
            </w:pPr>
            <w:r>
              <w:rPr>
                <w:rFonts w:ascii="Times New Roman" w:hAnsi="Times New Roman" w:eastAsia="Times New Roman" w:cs="Times New Roman"/>
                <w:color w:val="000000"/>
                <w:sz w:val="24"/>
              </w:rPr>
              <w:t xml:space="preserve">CoinMetrics community provides BTC+ETH on-chain data</w:t>
            </w:r>
            <w:r/>
          </w:p>
        </w:tc>
        <w:tc>
          <w:tcPr>
            <w:tcBorders/>
            <w:tcMar>
              <w:left w:w="15" w:type="dxa"/>
              <w:top w:w="15" w:type="dxa"/>
              <w:right w:w="15" w:type="dxa"/>
              <w:bottom w:w="15" w:type="dxa"/>
            </w:tcMar>
            <w:tcW w:w="4881" w:type="dxa"/>
            <w:vAlign w:val="center"/>
          </w:tcPr>
          <w:p w14:paraId="2DE297A5">
            <w:pPr>
              <w:pBdr/>
              <w:spacing w:after="0" w:before="0" w:line="240"/>
              <w:ind/>
              <w:rPr/>
            </w:pPr>
            <w:r>
              <w:rPr>
                <w:rFonts w:ascii="Times New Roman" w:hAnsi="Times New Roman" w:eastAsia="Times New Roman" w:cs="Times New Roman"/>
                <w:color w:val="000000"/>
                <w:sz w:val="24"/>
              </w:rPr>
              <w:t xml:space="preserve">CoinMetrics community terms allow non-commercial use. Same redistribution restriction as SoSoValue applies until ToS is audited for commercial use.</w:t>
            </w:r>
            <w:r/>
          </w:p>
        </w:tc>
        <w:tc>
          <w:tcPr>
            <w:tcBorders/>
            <w:tcMar>
              <w:left w:w="15" w:type="dxa"/>
              <w:top w:w="15" w:type="dxa"/>
              <w:right w:w="15" w:type="dxa"/>
              <w:bottom w:w="15" w:type="dxa"/>
            </w:tcMar>
            <w:tcW w:w="1608" w:type="dxa"/>
            <w:vAlign w:val="center"/>
          </w:tcPr>
          <w:p w14:paraId="024ECF35">
            <w:pPr>
              <w:pBdr/>
              <w:spacing w:after="0" w:before="0" w:line="240"/>
              <w:ind/>
              <w:rPr/>
            </w:pPr>
            <w:r>
              <w:rPr>
                <w:rFonts w:ascii="Times New Roman" w:hAnsi="Times New Roman" w:eastAsia="Times New Roman" w:cs="Times New Roman"/>
                <w:color w:val="000000"/>
                <w:sz w:val="24"/>
              </w:rPr>
              <w:t xml:space="preserve">Medium — on-chain transfer volume is a key flows feature</w:t>
            </w:r>
            <w:r/>
          </w:p>
        </w:tc>
      </w:tr>
    </w:tbl>
    <w:p w14:paraId="5B29BE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Gap resolution decisions locked by Thread 5:</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51"/>
        <w:gridCol w:w="7404"/>
      </w:tblGrid>
      <w:tr>
        <w:trPr/>
        <w:tc>
          <w:tcPr>
            <w:tcBorders/>
            <w:tcMar>
              <w:left w:w="15" w:type="dxa"/>
              <w:top w:w="15" w:type="dxa"/>
              <w:right w:w="15" w:type="dxa"/>
              <w:bottom w:w="15" w:type="dxa"/>
            </w:tcMar>
            <w:tcW w:w="1951" w:type="dxa"/>
            <w:vAlign w:val="center"/>
          </w:tcPr>
          <w:p w14:paraId="57D787AA">
            <w:pPr>
              <w:pBdr/>
              <w:spacing w:after="0" w:before="0" w:line="240"/>
              <w:ind/>
              <w:jc w:val="center"/>
              <w:rPr/>
            </w:pPr>
            <w:r>
              <w:rPr>
                <w:rFonts w:ascii="Times New Roman" w:hAnsi="Times New Roman" w:eastAsia="Times New Roman" w:cs="Times New Roman"/>
                <w:b/>
                <w:color w:val="000000"/>
                <w:sz w:val="24"/>
              </w:rPr>
              <w:t xml:space="preserve">Gap</w:t>
            </w:r>
            <w:r/>
          </w:p>
        </w:tc>
        <w:tc>
          <w:tcPr>
            <w:tcBorders/>
            <w:tcMar>
              <w:left w:w="15" w:type="dxa"/>
              <w:top w:w="15" w:type="dxa"/>
              <w:right w:w="15" w:type="dxa"/>
              <w:bottom w:w="15" w:type="dxa"/>
            </w:tcMar>
            <w:tcW w:w="7404" w:type="dxa"/>
            <w:vAlign w:val="center"/>
          </w:tcPr>
          <w:p w14:paraId="616E7F40">
            <w:pPr>
              <w:pBdr/>
              <w:spacing w:after="0" w:before="0" w:line="240"/>
              <w:ind/>
              <w:jc w:val="center"/>
              <w:rPr/>
            </w:pPr>
            <w:r>
              <w:rPr>
                <w:rFonts w:ascii="Times New Roman" w:hAnsi="Times New Roman" w:eastAsia="Times New Roman" w:cs="Times New Roman"/>
                <w:b/>
                <w:color w:val="000000"/>
                <w:sz w:val="24"/>
              </w:rPr>
              <w:t xml:space="preserve">Decision</w:t>
            </w:r>
            <w:r/>
          </w:p>
        </w:tc>
      </w:tr>
      <w:tr>
        <w:trPr/>
        <w:tc>
          <w:tcPr>
            <w:tcBorders/>
            <w:tcMar>
              <w:left w:w="15" w:type="dxa"/>
              <w:top w:w="15" w:type="dxa"/>
              <w:right w:w="15" w:type="dxa"/>
              <w:bottom w:w="15" w:type="dxa"/>
            </w:tcMar>
            <w:tcW w:w="1951" w:type="dxa"/>
            <w:vAlign w:val="center"/>
          </w:tcPr>
          <w:p w14:paraId="552B678E">
            <w:pPr>
              <w:pBdr/>
              <w:spacing w:after="0" w:before="0" w:line="240"/>
              <w:ind/>
              <w:rPr/>
            </w:pPr>
            <w:r>
              <w:rPr>
                <w:rFonts w:ascii="Courier New" w:hAnsi="Courier New" w:eastAsia="Courier New" w:cs="Courier New"/>
                <w:color w:val="000000"/>
                <w:sz w:val="20"/>
              </w:rPr>
              <w:t xml:space="preserve">derivatives.perpetual.price_usd</w:t>
            </w:r>
            <w:r/>
          </w:p>
        </w:tc>
        <w:tc>
          <w:tcPr>
            <w:tcBorders/>
            <w:tcMar>
              <w:left w:w="15" w:type="dxa"/>
              <w:top w:w="15" w:type="dxa"/>
              <w:right w:w="15" w:type="dxa"/>
              <w:bottom w:w="15" w:type="dxa"/>
            </w:tcMar>
            <w:tcW w:w="7404" w:type="dxa"/>
            <w:vAlign w:val="center"/>
          </w:tcPr>
          <w:p w14:paraId="49AE3AA1">
            <w:pPr>
              <w:pBdr/>
              <w:spacing w:after="0" w:before="0" w:line="240"/>
              <w:ind/>
              <w:rPr/>
            </w:pPr>
            <w:r>
              <w:rPr>
                <w:rFonts w:ascii="Times New Roman" w:hAnsi="Times New Roman" w:eastAsia="Times New Roman" w:cs="Times New Roman"/>
                <w:color w:val="000000"/>
                <w:sz w:val="24"/>
              </w:rPr>
              <w:t xml:space="preserve">Verify Coinalyze endpoint. If absent, add Binance perp price collection (free API).</w:t>
            </w:r>
            <w:r/>
          </w:p>
        </w:tc>
      </w:tr>
      <w:tr>
        <w:trPr/>
        <w:tc>
          <w:tcPr>
            <w:tcBorders/>
            <w:tcMar>
              <w:left w:w="15" w:type="dxa"/>
              <w:top w:w="15" w:type="dxa"/>
              <w:right w:w="15" w:type="dxa"/>
              <w:bottom w:w="15" w:type="dxa"/>
            </w:tcMar>
            <w:tcW w:w="1951" w:type="dxa"/>
            <w:vAlign w:val="center"/>
          </w:tcPr>
          <w:p w14:paraId="3913B7E0">
            <w:pPr>
              <w:pBdr/>
              <w:spacing w:after="0" w:before="0" w:line="240"/>
              <w:ind/>
              <w:rPr/>
            </w:pPr>
            <w:r>
              <w:rPr>
                <w:rFonts w:ascii="Courier New" w:hAnsi="Courier New" w:eastAsia="Courier New" w:cs="Courier New"/>
                <w:color w:val="000000"/>
                <w:sz w:val="20"/>
              </w:rPr>
              <w:t xml:space="preserve">defi.lending.utilization_rate</w:t>
            </w:r>
            <w:r/>
          </w:p>
        </w:tc>
        <w:tc>
          <w:tcPr>
            <w:tcBorders/>
            <w:tcMar>
              <w:left w:w="15" w:type="dxa"/>
              <w:top w:w="15" w:type="dxa"/>
              <w:right w:w="15" w:type="dxa"/>
              <w:bottom w:w="15" w:type="dxa"/>
            </w:tcMar>
            <w:tcW w:w="7404" w:type="dxa"/>
            <w:vAlign w:val="center"/>
          </w:tcPr>
          <w:p w14:paraId="5C427306">
            <w:pPr>
              <w:pBdr/>
              <w:spacing w:after="0" w:before="0" w:line="240"/>
              <w:ind/>
              <w:rPr/>
            </w:pPr>
            <w:r>
              <w:rPr>
                <w:rFonts w:ascii="Times New Roman" w:hAnsi="Times New Roman" w:eastAsia="Times New Roman" w:cs="Times New Roman"/>
                <w:color w:val="000000"/>
                <w:sz w:val="24"/>
              </w:rPr>
              <w:t xml:space="preserve">Accept as v1 gap. DeFiLlama borrow/supply TVL ratio added as proxy metric </w:t>
            </w:r>
            <w:r>
              <w:rPr>
                <w:rFonts w:ascii="Courier New" w:hAnsi="Courier New" w:eastAsia="Courier New" w:cs="Courier New"/>
                <w:color w:val="000000"/>
                <w:sz w:val="20"/>
              </w:rPr>
              <w:t xml:space="preserve">defi.lending.utilization_proxy</w:t>
            </w:r>
            <w:r>
              <w:rPr>
                <w:rFonts w:ascii="Times New Roman" w:hAnsi="Times New Roman" w:eastAsia="Times New Roman" w:cs="Times New Roman"/>
                <w:color w:val="000000"/>
                <w:sz w:val="24"/>
              </w:rPr>
              <w:t xml:space="preserve">. Full utilization rate deferred to v1.1.</w:t>
            </w:r>
            <w:r/>
          </w:p>
        </w:tc>
      </w:tr>
      <w:tr>
        <w:trPr/>
        <w:tc>
          <w:tcPr>
            <w:tcBorders/>
            <w:tcMar>
              <w:left w:w="15" w:type="dxa"/>
              <w:top w:w="15" w:type="dxa"/>
              <w:right w:w="15" w:type="dxa"/>
              <w:bottom w:w="15" w:type="dxa"/>
            </w:tcMar>
            <w:tcW w:w="1951" w:type="dxa"/>
            <w:vAlign w:val="center"/>
          </w:tcPr>
          <w:p w14:paraId="7504FDCC">
            <w:pPr>
              <w:pBdr/>
              <w:spacing w:after="0" w:before="0" w:line="240"/>
              <w:ind/>
              <w:rPr/>
            </w:pPr>
            <w:r>
              <w:rPr>
                <w:rFonts w:ascii="Courier New" w:hAnsi="Courier New" w:eastAsia="Courier New" w:cs="Courier New"/>
                <w:color w:val="000000"/>
                <w:sz w:val="20"/>
              </w:rPr>
              <w:t xml:space="preserve">flows.exchange.*</w:t>
            </w:r>
            <w:r>
              <w:rPr>
                <w:rFonts w:ascii="Times New Roman" w:hAnsi="Times New Roman" w:eastAsia="Times New Roman" w:cs="Times New Roman"/>
                <w:color w:val="000000"/>
                <w:sz w:val="24"/>
              </w:rPr>
              <w:t xml:space="preserve"> coverage</w:t>
            </w:r>
            <w:r/>
          </w:p>
        </w:tc>
        <w:tc>
          <w:tcPr>
            <w:tcBorders/>
            <w:tcMar>
              <w:left w:w="15" w:type="dxa"/>
              <w:top w:w="15" w:type="dxa"/>
              <w:right w:w="15" w:type="dxa"/>
              <w:bottom w:w="15" w:type="dxa"/>
            </w:tcMar>
            <w:tcW w:w="7404" w:type="dxa"/>
            <w:vAlign w:val="center"/>
          </w:tcPr>
          <w:p w14:paraId="00036655">
            <w:pPr>
              <w:pBdr/>
              <w:spacing w:after="0" w:before="0" w:line="240"/>
              <w:ind/>
              <w:rPr/>
            </w:pPr>
            <w:r>
              <w:rPr>
                <w:rFonts w:ascii="Times New Roman" w:hAnsi="Times New Roman" w:eastAsia="Times New Roman" w:cs="Times New Roman"/>
                <w:color w:val="000000"/>
                <w:sz w:val="24"/>
              </w:rPr>
              <w:t xml:space="preserve">Accept current 18-instrument coverage. Adapter fixes wei→ETH bug first run. Expand coverage in v1.1.</w:t>
            </w:r>
            <w:r/>
          </w:p>
        </w:tc>
      </w:tr>
      <w:tr>
        <w:trPr/>
        <w:tc>
          <w:tcPr>
            <w:tcBorders/>
            <w:tcMar>
              <w:left w:w="15" w:type="dxa"/>
              <w:top w:w="15" w:type="dxa"/>
              <w:right w:w="15" w:type="dxa"/>
              <w:bottom w:w="15" w:type="dxa"/>
            </w:tcMar>
            <w:tcW w:w="1951" w:type="dxa"/>
            <w:vAlign w:val="center"/>
          </w:tcPr>
          <w:p w14:paraId="350588EA">
            <w:pPr>
              <w:pBdr/>
              <w:spacing w:after="0" w:before="0" w:line="240"/>
              <w:ind/>
              <w:rPr/>
            </w:pPr>
            <w:r>
              <w:rPr>
                <w:rFonts w:ascii="Courier New" w:hAnsi="Courier New" w:eastAsia="Courier New" w:cs="Courier New"/>
                <w:color w:val="000000"/>
                <w:sz w:val="20"/>
              </w:rPr>
              <w:t xml:space="preserve">spot.market_cap.usd</w:t>
            </w:r>
            <w:r/>
          </w:p>
        </w:tc>
        <w:tc>
          <w:tcPr>
            <w:tcBorders/>
            <w:tcMar>
              <w:left w:w="15" w:type="dxa"/>
              <w:top w:w="15" w:type="dxa"/>
              <w:right w:w="15" w:type="dxa"/>
              <w:bottom w:w="15" w:type="dxa"/>
            </w:tcMar>
            <w:tcW w:w="7404" w:type="dxa"/>
            <w:vAlign w:val="center"/>
          </w:tcPr>
          <w:p w14:paraId="4130C6C7">
            <w:pPr>
              <w:pBdr/>
              <w:spacing w:after="0" w:before="0" w:line="240"/>
              <w:ind/>
              <w:rPr/>
            </w:pPr>
            <w:r>
              <w:rPr>
                <w:rFonts w:ascii="Times New Roman" w:hAnsi="Times New Roman" w:eastAsia="Times New Roman" w:cs="Times New Roman"/>
                <w:color w:val="000000"/>
                <w:sz w:val="24"/>
              </w:rPr>
              <w:t xml:space="preserve">Add CoinPaprika as source. Existing data available, ToS low risk.</w:t>
            </w:r>
            <w:r/>
          </w:p>
        </w:tc>
      </w:tr>
      <w:tr>
        <w:trPr/>
        <w:tc>
          <w:tcPr>
            <w:tcBorders/>
            <w:tcMar>
              <w:left w:w="15" w:type="dxa"/>
              <w:top w:w="15" w:type="dxa"/>
              <w:right w:w="15" w:type="dxa"/>
              <w:bottom w:w="15" w:type="dxa"/>
            </w:tcMar>
            <w:tcW w:w="1951" w:type="dxa"/>
            <w:vAlign w:val="center"/>
          </w:tcPr>
          <w:p w14:paraId="1724304F">
            <w:pPr>
              <w:pBdr/>
              <w:spacing w:after="0" w:before="0" w:line="240"/>
              <w:ind/>
              <w:rPr/>
            </w:pPr>
            <w:r>
              <w:rPr>
                <w:rFonts w:ascii="Times New Roman" w:hAnsi="Times New Roman" w:eastAsia="Times New Roman" w:cs="Times New Roman"/>
                <w:color w:val="000000"/>
                <w:sz w:val="24"/>
              </w:rPr>
              <w:t xml:space="preserve">Options metrics</w:t>
            </w:r>
            <w:r/>
          </w:p>
        </w:tc>
        <w:tc>
          <w:tcPr>
            <w:tcBorders/>
            <w:tcMar>
              <w:left w:w="15" w:type="dxa"/>
              <w:top w:w="15" w:type="dxa"/>
              <w:right w:w="15" w:type="dxa"/>
              <w:bottom w:w="15" w:type="dxa"/>
            </w:tcMar>
            <w:tcW w:w="7404" w:type="dxa"/>
            <w:vAlign w:val="center"/>
          </w:tcPr>
          <w:p w14:paraId="0BD379E1">
            <w:pPr>
              <w:pBdr/>
              <w:spacing w:after="0" w:before="0" w:line="240"/>
              <w:ind/>
              <w:rPr/>
            </w:pPr>
            <w:r>
              <w:rPr>
                <w:rFonts w:ascii="Times New Roman" w:hAnsi="Times New Roman" w:eastAsia="Times New Roman" w:cs="Times New Roman"/>
                <w:color w:val="000000"/>
                <w:sz w:val="24"/>
              </w:rPr>
              <w:t xml:space="preserve">Null-propagate in v1. Add Deribit adapter in v1.1.</w:t>
            </w:r>
            <w:r/>
          </w:p>
        </w:tc>
      </w:tr>
      <w:tr>
        <w:trPr/>
        <w:tc>
          <w:tcPr>
            <w:tcBorders/>
            <w:tcMar>
              <w:left w:w="15" w:type="dxa"/>
              <w:top w:w="15" w:type="dxa"/>
              <w:right w:w="15" w:type="dxa"/>
              <w:bottom w:w="15" w:type="dxa"/>
            </w:tcMar>
            <w:tcW w:w="1951" w:type="dxa"/>
            <w:vAlign w:val="center"/>
          </w:tcPr>
          <w:p w14:paraId="022667BF">
            <w:pPr>
              <w:pBdr/>
              <w:spacing w:after="0" w:before="0" w:line="240"/>
              <w:ind/>
              <w:rPr/>
            </w:pPr>
            <w:r>
              <w:rPr>
                <w:rFonts w:ascii="Courier New" w:hAnsi="Courier New" w:eastAsia="Courier New" w:cs="Courier New"/>
                <w:color w:val="000000"/>
                <w:sz w:val="20"/>
              </w:rPr>
              <w:t xml:space="preserve">flows.onchain.transfer_volume_usd</w:t>
            </w:r>
            <w:r/>
          </w:p>
        </w:tc>
        <w:tc>
          <w:tcPr>
            <w:tcBorders/>
            <w:tcMar>
              <w:left w:w="15" w:type="dxa"/>
              <w:top w:w="15" w:type="dxa"/>
              <w:right w:w="15" w:type="dxa"/>
              <w:bottom w:w="15" w:type="dxa"/>
            </w:tcMar>
            <w:tcW w:w="7404" w:type="dxa"/>
            <w:vAlign w:val="center"/>
          </w:tcPr>
          <w:p w14:paraId="1FEE5294">
            <w:pPr>
              <w:pBdr/>
              <w:spacing w:after="0" w:before="0" w:line="240"/>
              <w:ind/>
              <w:rPr/>
            </w:pPr>
            <w:r>
              <w:rPr>
                <w:rFonts w:ascii="Times New Roman" w:hAnsi="Times New Roman" w:eastAsia="Times New Roman" w:cs="Times New Roman"/>
                <w:color w:val="000000"/>
                <w:sz w:val="24"/>
              </w:rPr>
              <w:t xml:space="preserve">Use CoinMetrics community for BTC+ETH. Flag as internal-only until ToS audit completes.</w:t>
            </w:r>
            <w:r/>
          </w:p>
        </w:tc>
      </w:tr>
    </w:tbl>
    <w:p w14:paraId="192729A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Migration Plan</w:t>
      </w:r>
      <w:r/>
    </w:p>
    <w:p w14:paraId="4D8F88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Forge is dead. But the data it collected is not necessarily dead — it represents years of history that would take time to backfill from sources. This is a migration assessment, not a migration commitment.</w:t>
      </w:r>
      <w:r/>
    </w:p>
    <w:p w14:paraId="629CF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Assessment criteria for each existing dataset:</w:t>
      </w:r>
      <w:r/>
    </w:p>
    <w:p w14:paraId="6CB4E1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 the data be extracted in a form that allows complete, correct normalization to the canonical schema? Specifically:</w:t>
      </w:r>
      <w:r/>
    </w:p>
    <w:p w14:paraId="0932400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source timestamps reliable and consistent?</w:t>
      </w:r>
      <w:r/>
    </w:p>
    <w:p w14:paraId="2243D882">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units documented or determinable?</w:t>
      </w:r>
      <w:r/>
    </w:p>
    <w:p w14:paraId="721A7D4C">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instrument identifiers mappable to canonical symbols?</w:t>
      </w:r>
      <w:r/>
    </w:p>
    <w:p w14:paraId="38315DD0">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there a clear metric identity for each value?</w:t>
      </w:r>
      <w:r/>
    </w:p>
    <w:p w14:paraId="2ACC8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yes: write a one-time migration adapter that reads the existing table and writes to the canonical store. If no: re-backfill from the original source.</w:t>
      </w:r>
      <w:r/>
    </w:p>
    <w:p w14:paraId="343D09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Dataset-by-dataset assessment: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41"/>
        <w:gridCol w:w="338"/>
        <w:gridCol w:w="4200"/>
        <w:gridCol w:w="3775"/>
      </w:tblGrid>
      <w:tr>
        <w:trPr/>
        <w:tc>
          <w:tcPr>
            <w:tcBorders/>
            <w:tcMar>
              <w:left w:w="15" w:type="dxa"/>
              <w:top w:w="15" w:type="dxa"/>
              <w:right w:w="15" w:type="dxa"/>
              <w:bottom w:w="15" w:type="dxa"/>
            </w:tcMar>
            <w:tcW w:w="1041" w:type="dxa"/>
            <w:vAlign w:val="center"/>
          </w:tcPr>
          <w:p w14:paraId="00F133AB">
            <w:pPr>
              <w:pBdr/>
              <w:spacing w:after="0" w:before="0" w:line="240"/>
              <w:ind/>
              <w:jc w:val="center"/>
              <w:rPr/>
            </w:pPr>
            <w:r>
              <w:rPr>
                <w:rFonts w:ascii="Times New Roman" w:hAnsi="Times New Roman" w:eastAsia="Times New Roman" w:cs="Times New Roman"/>
                <w:b/>
                <w:color w:val="000000"/>
                <w:sz w:val="24"/>
              </w:rPr>
              <w:t xml:space="preserve">Dataset</w:t>
            </w:r>
            <w:r/>
          </w:p>
        </w:tc>
        <w:tc>
          <w:tcPr>
            <w:tcBorders/>
            <w:tcMar>
              <w:left w:w="15" w:type="dxa"/>
              <w:top w:w="15" w:type="dxa"/>
              <w:right w:w="15" w:type="dxa"/>
              <w:bottom w:w="15" w:type="dxa"/>
            </w:tcMar>
            <w:tcW w:w="338" w:type="dxa"/>
            <w:vAlign w:val="center"/>
          </w:tcPr>
          <w:p w14:paraId="5A6BE7AE">
            <w:pPr>
              <w:pBdr/>
              <w:spacing w:after="0" w:before="0" w:line="240"/>
              <w:ind/>
              <w:jc w:val="center"/>
              <w:rPr/>
            </w:pPr>
            <w:r>
              <w:rPr>
                <w:rFonts w:ascii="Times New Roman" w:hAnsi="Times New Roman" w:eastAsia="Times New Roman" w:cs="Times New Roman"/>
                <w:b/>
                <w:color w:val="000000"/>
                <w:sz w:val="24"/>
              </w:rPr>
              <w:t xml:space="preserve">Rows</w:t>
            </w:r>
            <w:r/>
          </w:p>
        </w:tc>
        <w:tc>
          <w:tcPr>
            <w:tcBorders/>
            <w:tcMar>
              <w:left w:w="15" w:type="dxa"/>
              <w:top w:w="15" w:type="dxa"/>
              <w:right w:w="15" w:type="dxa"/>
              <w:bottom w:w="15" w:type="dxa"/>
            </w:tcMar>
            <w:tcW w:w="4200" w:type="dxa"/>
            <w:vAlign w:val="center"/>
          </w:tcPr>
          <w:p w14:paraId="5C6CFFE9">
            <w:pPr>
              <w:pBdr/>
              <w:spacing w:after="0" w:before="0" w:line="240"/>
              <w:ind/>
              <w:jc w:val="center"/>
              <w:rPr/>
            </w:pPr>
            <w:r>
              <w:rPr>
                <w:rFonts w:ascii="Times New Roman" w:hAnsi="Times New Roman" w:eastAsia="Times New Roman" w:cs="Times New Roman"/>
                <w:b/>
                <w:color w:val="000000"/>
                <w:sz w:val="24"/>
              </w:rPr>
              <w:t xml:space="preserve">Assessment</w:t>
            </w:r>
            <w:r/>
          </w:p>
        </w:tc>
        <w:tc>
          <w:tcPr>
            <w:tcBorders/>
            <w:tcMar>
              <w:left w:w="15" w:type="dxa"/>
              <w:top w:w="15" w:type="dxa"/>
              <w:right w:w="15" w:type="dxa"/>
              <w:bottom w:w="15" w:type="dxa"/>
            </w:tcMar>
            <w:tcW w:w="3775" w:type="dxa"/>
            <w:vAlign w:val="center"/>
          </w:tcPr>
          <w:p w14:paraId="3333BA71">
            <w:pPr>
              <w:pBdr/>
              <w:spacing w:after="0" w:before="0" w:line="240"/>
              <w:ind/>
              <w:jc w:val="center"/>
              <w:rPr/>
            </w:pPr>
            <w:r>
              <w:rPr>
                <w:rFonts w:ascii="Times New Roman" w:hAnsi="Times New Roman" w:eastAsia="Times New Roman" w:cs="Times New Roman"/>
                <w:b/>
                <w:color w:val="000000"/>
                <w:sz w:val="24"/>
              </w:rPr>
              <w:t xml:space="preserve">Decision</w:t>
            </w:r>
            <w:r/>
          </w:p>
        </w:tc>
      </w:tr>
      <w:tr>
        <w:trPr/>
        <w:tc>
          <w:tcPr>
            <w:tcBorders/>
            <w:tcMar>
              <w:left w:w="15" w:type="dxa"/>
              <w:top w:w="15" w:type="dxa"/>
              <w:right w:w="15" w:type="dxa"/>
              <w:bottom w:w="15" w:type="dxa"/>
            </w:tcMar>
            <w:tcW w:w="1041" w:type="dxa"/>
            <w:vAlign w:val="center"/>
          </w:tcPr>
          <w:p w14:paraId="228E2680">
            <w:pPr>
              <w:pBdr/>
              <w:spacing w:after="0" w:before="0" w:line="240"/>
              <w:ind/>
              <w:rPr/>
            </w:pPr>
            <w:r>
              <w:rPr>
                <w:rFonts w:ascii="Times New Roman" w:hAnsi="Times New Roman" w:eastAsia="Times New Roman" w:cs="Times New Roman"/>
                <w:color w:val="000000"/>
                <w:sz w:val="24"/>
              </w:rPr>
              <w:t xml:space="preserve">Coinalyze derivatives</w:t>
            </w:r>
            <w:r/>
          </w:p>
        </w:tc>
        <w:tc>
          <w:tcPr>
            <w:tcBorders/>
            <w:tcMar>
              <w:left w:w="15" w:type="dxa"/>
              <w:top w:w="15" w:type="dxa"/>
              <w:right w:w="15" w:type="dxa"/>
              <w:bottom w:w="15" w:type="dxa"/>
            </w:tcMar>
            <w:tcW w:w="338" w:type="dxa"/>
            <w:vAlign w:val="center"/>
          </w:tcPr>
          <w:p w14:paraId="474EB9A8">
            <w:pPr>
              <w:pBdr/>
              <w:spacing w:after="0" w:before="0" w:line="240"/>
              <w:ind/>
              <w:rPr/>
            </w:pPr>
            <w:r>
              <w:rPr>
                <w:rFonts w:ascii="Times New Roman" w:hAnsi="Times New Roman" w:eastAsia="Times New Roman" w:cs="Times New Roman"/>
                <w:color w:val="000000"/>
                <w:sz w:val="24"/>
              </w:rPr>
              <w:t xml:space="preserve">185,066</w:t>
            </w:r>
            <w:r/>
          </w:p>
        </w:tc>
        <w:tc>
          <w:tcPr>
            <w:tcBorders/>
            <w:tcMar>
              <w:left w:w="15" w:type="dxa"/>
              <w:top w:w="15" w:type="dxa"/>
              <w:right w:w="15" w:type="dxa"/>
              <w:bottom w:w="15" w:type="dxa"/>
            </w:tcMar>
            <w:tcW w:w="4200" w:type="dxa"/>
            <w:vAlign w:val="center"/>
          </w:tcPr>
          <w:p w14:paraId="5F21F354">
            <w:pPr>
              <w:pBdr/>
              <w:spacing w:after="0" w:before="0" w:line="240"/>
              <w:ind/>
              <w:rPr/>
            </w:pPr>
            <w:r>
              <w:rPr>
                <w:rFonts w:ascii="Times New Roman" w:hAnsi="Times New Roman" w:eastAsia="Times New Roman" w:cs="Times New Roman"/>
                <w:color w:val="000000"/>
                <w:sz w:val="24"/>
              </w:rPr>
              <w:t xml:space="preserve">Timestamps reliable. Units verified. Symbols mappable. GREEN.</w:t>
            </w:r>
            <w:r/>
          </w:p>
        </w:tc>
        <w:tc>
          <w:tcPr>
            <w:tcBorders/>
            <w:tcMar>
              <w:left w:w="15" w:type="dxa"/>
              <w:top w:w="15" w:type="dxa"/>
              <w:right w:w="15" w:type="dxa"/>
              <w:bottom w:w="15" w:type="dxa"/>
            </w:tcMar>
            <w:tcW w:w="3775" w:type="dxa"/>
            <w:vAlign w:val="center"/>
          </w:tcPr>
          <w:p w14:paraId="2F4FCEF9">
            <w:pPr>
              <w:pBdr/>
              <w:spacing w:after="0" w:before="0" w:line="240"/>
              <w:ind/>
              <w:rPr/>
            </w:pPr>
            <w:r>
              <w:rPr>
                <w:rFonts w:ascii="Times New Roman" w:hAnsi="Times New Roman" w:eastAsia="Times New Roman" w:cs="Times New Roman"/>
                <w:color w:val="000000"/>
                <w:sz w:val="24"/>
              </w:rPr>
              <w:t xml:space="preserve">Migrate via one-time adapter. Estimated effort: 1 day.</w:t>
            </w:r>
            <w:r/>
          </w:p>
        </w:tc>
      </w:tr>
      <w:tr>
        <w:trPr/>
        <w:tc>
          <w:tcPr>
            <w:tcBorders/>
            <w:tcMar>
              <w:left w:w="15" w:type="dxa"/>
              <w:top w:w="15" w:type="dxa"/>
              <w:right w:w="15" w:type="dxa"/>
              <w:bottom w:w="15" w:type="dxa"/>
            </w:tcMar>
            <w:tcW w:w="1041" w:type="dxa"/>
            <w:vAlign w:val="center"/>
          </w:tcPr>
          <w:p w14:paraId="4933A5FA">
            <w:pPr>
              <w:pBdr/>
              <w:spacing w:after="0" w:before="0" w:line="240"/>
              <w:ind/>
              <w:rPr/>
            </w:pPr>
            <w:r>
              <w:rPr>
                <w:rFonts w:ascii="Times New Roman" w:hAnsi="Times New Roman" w:eastAsia="Times New Roman" w:cs="Times New Roman"/>
                <w:color w:val="000000"/>
                <w:sz w:val="24"/>
              </w:rPr>
              <w:t xml:space="preserve">FRED macro</w:t>
            </w:r>
            <w:r/>
          </w:p>
        </w:tc>
        <w:tc>
          <w:tcPr>
            <w:tcBorders/>
            <w:tcMar>
              <w:left w:w="15" w:type="dxa"/>
              <w:top w:w="15" w:type="dxa"/>
              <w:right w:w="15" w:type="dxa"/>
              <w:bottom w:w="15" w:type="dxa"/>
            </w:tcMar>
            <w:tcW w:w="338" w:type="dxa"/>
            <w:vAlign w:val="center"/>
          </w:tcPr>
          <w:p w14:paraId="3E61048B">
            <w:pPr>
              <w:pBdr/>
              <w:spacing w:after="0" w:before="0" w:line="240"/>
              <w:ind/>
              <w:rPr/>
            </w:pPr>
            <w:r>
              <w:rPr>
                <w:rFonts w:ascii="Times New Roman" w:hAnsi="Times New Roman" w:eastAsia="Times New Roman" w:cs="Times New Roman"/>
                <w:color w:val="000000"/>
                <w:sz w:val="24"/>
              </w:rPr>
              <w:t xml:space="preserve">140,261</w:t>
            </w:r>
            <w:r/>
          </w:p>
        </w:tc>
        <w:tc>
          <w:tcPr>
            <w:tcBorders/>
            <w:tcMar>
              <w:left w:w="15" w:type="dxa"/>
              <w:top w:w="15" w:type="dxa"/>
              <w:right w:w="15" w:type="dxa"/>
              <w:bottom w:w="15" w:type="dxa"/>
            </w:tcMar>
            <w:tcW w:w="4200" w:type="dxa"/>
            <w:vAlign w:val="center"/>
          </w:tcPr>
          <w:p w14:paraId="3B2128F6">
            <w:pPr>
              <w:pBdr/>
              <w:spacing w:after="0" w:before="0" w:line="240"/>
              <w:ind/>
              <w:rPr/>
            </w:pPr>
            <w:r>
              <w:rPr>
                <w:rFonts w:ascii="Times New Roman" w:hAnsi="Times New Roman" w:eastAsia="Times New Roman" w:cs="Times New Roman"/>
                <w:color w:val="000000"/>
                <w:sz w:val="24"/>
              </w:rPr>
              <w:t xml:space="preserve">FRED data is authoritative and backfillable. But existing data is clean and well-structured. GREEN.</w:t>
            </w:r>
            <w:r/>
          </w:p>
        </w:tc>
        <w:tc>
          <w:tcPr>
            <w:tcBorders/>
            <w:tcMar>
              <w:left w:w="15" w:type="dxa"/>
              <w:top w:w="15" w:type="dxa"/>
              <w:right w:w="15" w:type="dxa"/>
              <w:bottom w:w="15" w:type="dxa"/>
            </w:tcMar>
            <w:tcW w:w="3775" w:type="dxa"/>
            <w:vAlign w:val="center"/>
          </w:tcPr>
          <w:p w14:paraId="54D8A6A6">
            <w:pPr>
              <w:pBdr/>
              <w:spacing w:after="0" w:before="0" w:line="240"/>
              <w:ind/>
              <w:rPr/>
            </w:pPr>
            <w:r>
              <w:rPr>
                <w:rFonts w:ascii="Times New Roman" w:hAnsi="Times New Roman" w:eastAsia="Times New Roman" w:cs="Times New Roman"/>
                <w:color w:val="000000"/>
                <w:sz w:val="24"/>
              </w:rPr>
              <w:t xml:space="preserve">Migrate for speed. FRED backfill as verification pass.</w:t>
            </w:r>
            <w:r/>
          </w:p>
        </w:tc>
      </w:tr>
      <w:tr>
        <w:trPr/>
        <w:tc>
          <w:tcPr>
            <w:tcBorders/>
            <w:tcMar>
              <w:left w:w="15" w:type="dxa"/>
              <w:top w:w="15" w:type="dxa"/>
              <w:right w:w="15" w:type="dxa"/>
              <w:bottom w:w="15" w:type="dxa"/>
            </w:tcMar>
            <w:tcW w:w="1041" w:type="dxa"/>
            <w:vAlign w:val="center"/>
          </w:tcPr>
          <w:p w14:paraId="39DDF5FC">
            <w:pPr>
              <w:pBdr/>
              <w:spacing w:after="0" w:before="0" w:line="240"/>
              <w:ind/>
              <w:rPr/>
            </w:pPr>
            <w:r>
              <w:rPr>
                <w:rFonts w:ascii="Times New Roman" w:hAnsi="Times New Roman" w:eastAsia="Times New Roman" w:cs="Times New Roman"/>
                <w:color w:val="000000"/>
                <w:sz w:val="24"/>
              </w:rPr>
              <w:t xml:space="preserve">DeFiLlama DEX</w:t>
            </w:r>
            <w:r/>
          </w:p>
        </w:tc>
        <w:tc>
          <w:tcPr>
            <w:tcBorders/>
            <w:tcMar>
              <w:left w:w="15" w:type="dxa"/>
              <w:top w:w="15" w:type="dxa"/>
              <w:right w:w="15" w:type="dxa"/>
              <w:bottom w:w="15" w:type="dxa"/>
            </w:tcMar>
            <w:tcW w:w="338" w:type="dxa"/>
            <w:vAlign w:val="center"/>
          </w:tcPr>
          <w:p w14:paraId="5301B9E4">
            <w:pPr>
              <w:pBdr/>
              <w:spacing w:after="0" w:before="0" w:line="240"/>
              <w:ind/>
              <w:rPr/>
            </w:pPr>
            <w:r>
              <w:rPr>
                <w:rFonts w:ascii="Times New Roman" w:hAnsi="Times New Roman" w:eastAsia="Times New Roman" w:cs="Times New Roman"/>
                <w:color w:val="000000"/>
                <w:sz w:val="24"/>
              </w:rPr>
              <w:t xml:space="preserve">88,239</w:t>
            </w:r>
            <w:r/>
          </w:p>
        </w:tc>
        <w:tc>
          <w:tcPr>
            <w:tcBorders/>
            <w:tcMar>
              <w:left w:w="15" w:type="dxa"/>
              <w:top w:w="15" w:type="dxa"/>
              <w:right w:w="15" w:type="dxa"/>
              <w:bottom w:w="15" w:type="dxa"/>
            </w:tcMar>
            <w:tcW w:w="4200" w:type="dxa"/>
            <w:vAlign w:val="center"/>
          </w:tcPr>
          <w:p w14:paraId="557A7241">
            <w:pPr>
              <w:pBdr/>
              <w:spacing w:after="0" w:before="0" w:line="240"/>
              <w:ind/>
              <w:rPr/>
            </w:pPr>
            <w:r>
              <w:rPr>
                <w:rFonts w:ascii="Times New Roman" w:hAnsi="Times New Roman" w:eastAsia="Times New Roman" w:cs="Times New Roman"/>
                <w:color w:val="000000"/>
                <w:sz w:val="24"/>
              </w:rPr>
              <w:t xml:space="preserve">Protocol slugs present. Timestamps daily. GREEN.</w:t>
            </w:r>
            <w:r/>
          </w:p>
        </w:tc>
        <w:tc>
          <w:tcPr>
            <w:tcBorders/>
            <w:tcMar>
              <w:left w:w="15" w:type="dxa"/>
              <w:top w:w="15" w:type="dxa"/>
              <w:right w:w="15" w:type="dxa"/>
              <w:bottom w:w="15" w:type="dxa"/>
            </w:tcMar>
            <w:tcW w:w="3775" w:type="dxa"/>
            <w:vAlign w:val="center"/>
          </w:tcPr>
          <w:p w14:paraId="673594E1">
            <w:pPr>
              <w:pBdr/>
              <w:spacing w:after="0" w:before="0" w:line="240"/>
              <w:ind/>
              <w:rPr/>
            </w:pPr>
            <w:r>
              <w:rPr>
                <w:rFonts w:ascii="Times New Roman" w:hAnsi="Times New Roman" w:eastAsia="Times New Roman" w:cs="Times New Roman"/>
                <w:color w:val="000000"/>
                <w:sz w:val="24"/>
              </w:rPr>
              <w:t xml:space="preserve">Migrate.</w:t>
            </w:r>
            <w:r/>
          </w:p>
        </w:tc>
      </w:tr>
      <w:tr>
        <w:trPr/>
        <w:tc>
          <w:tcPr>
            <w:tcBorders/>
            <w:tcMar>
              <w:left w:w="15" w:type="dxa"/>
              <w:top w:w="15" w:type="dxa"/>
              <w:right w:w="15" w:type="dxa"/>
              <w:bottom w:w="15" w:type="dxa"/>
            </w:tcMar>
            <w:tcW w:w="1041" w:type="dxa"/>
            <w:vAlign w:val="center"/>
          </w:tcPr>
          <w:p w14:paraId="36EFB83D">
            <w:pPr>
              <w:pBdr/>
              <w:spacing w:after="0" w:before="0" w:line="240"/>
              <w:ind/>
              <w:rPr/>
            </w:pPr>
            <w:r>
              <w:rPr>
                <w:rFonts w:ascii="Times New Roman" w:hAnsi="Times New Roman" w:eastAsia="Times New Roman" w:cs="Times New Roman"/>
                <w:color w:val="000000"/>
                <w:sz w:val="24"/>
              </w:rPr>
              <w:t xml:space="preserve">CoinMetrics on-chain</w:t>
            </w:r>
            <w:r/>
          </w:p>
        </w:tc>
        <w:tc>
          <w:tcPr>
            <w:tcBorders/>
            <w:tcMar>
              <w:left w:w="15" w:type="dxa"/>
              <w:top w:w="15" w:type="dxa"/>
              <w:right w:w="15" w:type="dxa"/>
              <w:bottom w:w="15" w:type="dxa"/>
            </w:tcMar>
            <w:tcW w:w="338" w:type="dxa"/>
            <w:vAlign w:val="center"/>
          </w:tcPr>
          <w:p w14:paraId="45BBFA69">
            <w:pPr>
              <w:pBdr/>
              <w:spacing w:after="0" w:before="0" w:line="240"/>
              <w:ind/>
              <w:rPr/>
            </w:pPr>
            <w:r>
              <w:rPr>
                <w:rFonts w:ascii="Times New Roman" w:hAnsi="Times New Roman" w:eastAsia="Times New Roman" w:cs="Times New Roman"/>
                <w:color w:val="000000"/>
                <w:sz w:val="24"/>
              </w:rPr>
              <w:t xml:space="preserve">10,137</w:t>
            </w:r>
            <w:r/>
          </w:p>
        </w:tc>
        <w:tc>
          <w:tcPr>
            <w:tcBorders/>
            <w:tcMar>
              <w:left w:w="15" w:type="dxa"/>
              <w:top w:w="15" w:type="dxa"/>
              <w:right w:w="15" w:type="dxa"/>
              <w:bottom w:w="15" w:type="dxa"/>
            </w:tcMar>
            <w:tcW w:w="4200" w:type="dxa"/>
            <w:vAlign w:val="center"/>
          </w:tcPr>
          <w:p w14:paraId="5E622645">
            <w:pPr>
              <w:pBdr/>
              <w:spacing w:after="0" w:before="0" w:line="240"/>
              <w:ind/>
              <w:rPr/>
            </w:pPr>
            <w:r>
              <w:rPr>
                <w:rFonts w:ascii="Times New Roman" w:hAnsi="Times New Roman" w:eastAsia="Times New Roman" w:cs="Times New Roman"/>
                <w:color w:val="000000"/>
                <w:sz w:val="24"/>
              </w:rPr>
              <w:t xml:space="preserve">BTC+ETH only. Timestamps reliable. GREEN.</w:t>
            </w:r>
            <w:r/>
          </w:p>
        </w:tc>
        <w:tc>
          <w:tcPr>
            <w:tcBorders/>
            <w:tcMar>
              <w:left w:w="15" w:type="dxa"/>
              <w:top w:w="15" w:type="dxa"/>
              <w:right w:w="15" w:type="dxa"/>
              <w:bottom w:w="15" w:type="dxa"/>
            </w:tcMar>
            <w:tcW w:w="3775" w:type="dxa"/>
            <w:vAlign w:val="center"/>
          </w:tcPr>
          <w:p w14:paraId="01E980EE">
            <w:pPr>
              <w:pBdr/>
              <w:spacing w:after="0" w:before="0" w:line="240"/>
              <w:ind/>
              <w:rPr/>
            </w:pPr>
            <w:r>
              <w:rPr>
                <w:rFonts w:ascii="Times New Roman" w:hAnsi="Times New Roman" w:eastAsia="Times New Roman" w:cs="Times New Roman"/>
                <w:color w:val="000000"/>
                <w:sz w:val="24"/>
              </w:rPr>
              <w:t xml:space="preserve">Migrate. Flag as internal-only pending ToS audit.</w:t>
            </w:r>
            <w:r/>
          </w:p>
        </w:tc>
      </w:tr>
      <w:tr>
        <w:trPr/>
        <w:tc>
          <w:tcPr>
            <w:tcBorders/>
            <w:tcMar>
              <w:left w:w="15" w:type="dxa"/>
              <w:top w:w="15" w:type="dxa"/>
              <w:right w:w="15" w:type="dxa"/>
              <w:bottom w:w="15" w:type="dxa"/>
            </w:tcMar>
            <w:tcW w:w="1041" w:type="dxa"/>
            <w:vAlign w:val="center"/>
          </w:tcPr>
          <w:p w14:paraId="5E55A82F">
            <w:pPr>
              <w:pBdr/>
              <w:spacing w:after="0" w:before="0" w:line="240"/>
              <w:ind/>
              <w:rPr/>
            </w:pPr>
            <w:r>
              <w:rPr>
                <w:rFonts w:ascii="Times New Roman" w:hAnsi="Times New Roman" w:eastAsia="Times New Roman" w:cs="Times New Roman"/>
                <w:color w:val="000000"/>
                <w:sz w:val="24"/>
              </w:rPr>
              <w:t xml:space="preserve">DeFiLlama lending</w:t>
            </w:r>
            <w:r/>
          </w:p>
        </w:tc>
        <w:tc>
          <w:tcPr>
            <w:tcBorders/>
            <w:tcMar>
              <w:left w:w="15" w:type="dxa"/>
              <w:top w:w="15" w:type="dxa"/>
              <w:right w:w="15" w:type="dxa"/>
              <w:bottom w:w="15" w:type="dxa"/>
            </w:tcMar>
            <w:tcW w:w="338" w:type="dxa"/>
            <w:vAlign w:val="center"/>
          </w:tcPr>
          <w:p w14:paraId="043A8DA1">
            <w:pPr>
              <w:pBdr/>
              <w:spacing w:after="0" w:before="0" w:line="240"/>
              <w:ind/>
              <w:rPr/>
            </w:pPr>
            <w:r>
              <w:rPr>
                <w:rFonts w:ascii="Times New Roman" w:hAnsi="Times New Roman" w:eastAsia="Times New Roman" w:cs="Times New Roman"/>
                <w:color w:val="000000"/>
                <w:sz w:val="24"/>
              </w:rPr>
              <w:t xml:space="preserve">9,651</w:t>
            </w:r>
            <w:r/>
          </w:p>
        </w:tc>
        <w:tc>
          <w:tcPr>
            <w:tcBorders/>
            <w:tcMar>
              <w:left w:w="15" w:type="dxa"/>
              <w:top w:w="15" w:type="dxa"/>
              <w:right w:w="15" w:type="dxa"/>
              <w:bottom w:w="15" w:type="dxa"/>
            </w:tcMar>
            <w:tcW w:w="4200" w:type="dxa"/>
            <w:vAlign w:val="center"/>
          </w:tcPr>
          <w:p w14:paraId="77CE00EE">
            <w:pPr>
              <w:pBdr/>
              <w:spacing w:after="0" w:before="0" w:line="240"/>
              <w:ind/>
              <w:rPr/>
            </w:pPr>
            <w:r>
              <w:rPr>
                <w:rFonts w:ascii="Times New Roman" w:hAnsi="Times New Roman" w:eastAsia="Times New Roman" w:cs="Times New Roman"/>
                <w:color w:val="000000"/>
                <w:sz w:val="24"/>
              </w:rPr>
              <w:t xml:space="preserve">GREEN.</w:t>
            </w:r>
            <w:r/>
          </w:p>
        </w:tc>
        <w:tc>
          <w:tcPr>
            <w:tcBorders/>
            <w:tcMar>
              <w:left w:w="15" w:type="dxa"/>
              <w:top w:w="15" w:type="dxa"/>
              <w:right w:w="15" w:type="dxa"/>
              <w:bottom w:w="15" w:type="dxa"/>
            </w:tcMar>
            <w:tcW w:w="3775" w:type="dxa"/>
            <w:vAlign w:val="center"/>
          </w:tcPr>
          <w:p w14:paraId="5708B0C9">
            <w:pPr>
              <w:pBdr/>
              <w:spacing w:after="0" w:before="0" w:line="240"/>
              <w:ind/>
              <w:rPr/>
            </w:pPr>
            <w:r>
              <w:rPr>
                <w:rFonts w:ascii="Times New Roman" w:hAnsi="Times New Roman" w:eastAsia="Times New Roman" w:cs="Times New Roman"/>
                <w:color w:val="000000"/>
                <w:sz w:val="24"/>
              </w:rPr>
              <w:t xml:space="preserve">Migrate.</w:t>
            </w:r>
            <w:r/>
          </w:p>
        </w:tc>
      </w:tr>
      <w:tr>
        <w:trPr/>
        <w:tc>
          <w:tcPr>
            <w:tcBorders/>
            <w:tcMar>
              <w:left w:w="15" w:type="dxa"/>
              <w:top w:w="15" w:type="dxa"/>
              <w:right w:w="15" w:type="dxa"/>
              <w:bottom w:w="15" w:type="dxa"/>
            </w:tcMar>
            <w:tcW w:w="1041" w:type="dxa"/>
            <w:vAlign w:val="center"/>
          </w:tcPr>
          <w:p w14:paraId="6CC29B45">
            <w:pPr>
              <w:pBdr/>
              <w:spacing w:after="0" w:before="0" w:line="240"/>
              <w:ind/>
              <w:rPr/>
            </w:pPr>
            <w:r>
              <w:rPr>
                <w:rFonts w:ascii="Times New Roman" w:hAnsi="Times New Roman" w:eastAsia="Times New Roman" w:cs="Times New Roman"/>
                <w:color w:val="000000"/>
                <w:sz w:val="24"/>
              </w:rPr>
              <w:t xml:space="preserve">Tiingo OHLCV</w:t>
            </w:r>
            <w:r/>
          </w:p>
        </w:tc>
        <w:tc>
          <w:tcPr>
            <w:tcBorders/>
            <w:tcMar>
              <w:left w:w="15" w:type="dxa"/>
              <w:top w:w="15" w:type="dxa"/>
              <w:right w:w="15" w:type="dxa"/>
              <w:bottom w:w="15" w:type="dxa"/>
            </w:tcMar>
            <w:tcW w:w="338" w:type="dxa"/>
            <w:vAlign w:val="center"/>
          </w:tcPr>
          <w:p w14:paraId="6CA18467">
            <w:pPr>
              <w:pBdr/>
              <w:spacing w:after="0" w:before="0" w:line="240"/>
              <w:ind/>
              <w:rPr/>
            </w:pPr>
            <w:r>
              <w:rPr>
                <w:rFonts w:ascii="Times New Roman" w:hAnsi="Times New Roman" w:eastAsia="Times New Roman" w:cs="Times New Roman"/>
                <w:color w:val="000000"/>
                <w:sz w:val="24"/>
              </w:rPr>
              <w:t xml:space="preserve">~800k</w:t>
            </w:r>
            <w:r/>
          </w:p>
        </w:tc>
        <w:tc>
          <w:tcPr>
            <w:tcBorders/>
            <w:tcMar>
              <w:left w:w="15" w:type="dxa"/>
              <w:top w:w="15" w:type="dxa"/>
              <w:right w:w="15" w:type="dxa"/>
              <w:bottom w:w="15" w:type="dxa"/>
            </w:tcMar>
            <w:tcW w:w="4200" w:type="dxa"/>
            <w:vAlign w:val="center"/>
          </w:tcPr>
          <w:p w14:paraId="7FF50B3D">
            <w:pPr>
              <w:pBdr/>
              <w:spacing w:after="0" w:before="0" w:line="240"/>
              <w:ind/>
              <w:rPr/>
            </w:pPr>
            <w:r>
              <w:rPr>
                <w:rFonts w:ascii="Times New Roman" w:hAnsi="Times New Roman" w:eastAsia="Times New Roman" w:cs="Times New Roman"/>
                <w:color w:val="000000"/>
                <w:sz w:val="24"/>
              </w:rPr>
              <w:t xml:space="preserve">TimescaleDB format, well-structured. This is the highest-value migration. BTC from 2014. GREEN.</w:t>
            </w:r>
            <w:r/>
          </w:p>
        </w:tc>
        <w:tc>
          <w:tcPr>
            <w:tcBorders/>
            <w:tcMar>
              <w:left w:w="15" w:type="dxa"/>
              <w:top w:w="15" w:type="dxa"/>
              <w:right w:w="15" w:type="dxa"/>
              <w:bottom w:w="15" w:type="dxa"/>
            </w:tcMar>
            <w:tcW w:w="3775" w:type="dxa"/>
            <w:vAlign w:val="center"/>
          </w:tcPr>
          <w:p w14:paraId="2F7D3303">
            <w:pPr>
              <w:pBdr/>
              <w:spacing w:after="0" w:before="0" w:line="240"/>
              <w:ind/>
              <w:rPr/>
            </w:pPr>
            <w:r>
              <w:rPr>
                <w:rFonts w:ascii="Times New Roman" w:hAnsi="Times New Roman" w:eastAsia="Times New Roman" w:cs="Times New Roman"/>
                <w:color w:val="000000"/>
                <w:sz w:val="24"/>
              </w:rPr>
              <w:t xml:space="preserve">Migrate. One-time adapter reads TimescaleDB, writes to canonical store.</w:t>
            </w:r>
            <w:r/>
          </w:p>
        </w:tc>
      </w:tr>
      <w:tr>
        <w:trPr/>
        <w:tc>
          <w:tcPr>
            <w:tcBorders/>
            <w:tcMar>
              <w:left w:w="15" w:type="dxa"/>
              <w:top w:w="15" w:type="dxa"/>
              <w:right w:w="15" w:type="dxa"/>
              <w:bottom w:w="15" w:type="dxa"/>
            </w:tcMar>
            <w:tcW w:w="1041" w:type="dxa"/>
            <w:vAlign w:val="center"/>
          </w:tcPr>
          <w:p w14:paraId="0312FA38">
            <w:pPr>
              <w:pBdr/>
              <w:spacing w:after="0" w:before="0" w:line="240"/>
              <w:ind/>
              <w:rPr/>
            </w:pPr>
            <w:r>
              <w:rPr>
                <w:rFonts w:ascii="Times New Roman" w:hAnsi="Times New Roman" w:eastAsia="Times New Roman" w:cs="Times New Roman"/>
                <w:color w:val="000000"/>
                <w:sz w:val="24"/>
              </w:rPr>
              <w:t xml:space="preserve">Explorer exchange flows</w:t>
            </w:r>
            <w:r/>
          </w:p>
        </w:tc>
        <w:tc>
          <w:tcPr>
            <w:tcBorders/>
            <w:tcMar>
              <w:left w:w="15" w:type="dxa"/>
              <w:top w:w="15" w:type="dxa"/>
              <w:right w:w="15" w:type="dxa"/>
              <w:bottom w:w="15" w:type="dxa"/>
            </w:tcMar>
            <w:tcW w:w="338" w:type="dxa"/>
            <w:vAlign w:val="center"/>
          </w:tcPr>
          <w:p w14:paraId="03FE9BFD">
            <w:pPr>
              <w:pBdr/>
              <w:spacing w:after="0" w:before="0" w:line="240"/>
              <w:ind/>
              <w:rPr/>
            </w:pPr>
            <w:r>
              <w:rPr>
                <w:rFonts w:ascii="Times New Roman" w:hAnsi="Times New Roman" w:eastAsia="Times New Roman" w:cs="Times New Roman"/>
                <w:color w:val="000000"/>
                <w:sz w:val="24"/>
              </w:rPr>
              <w:t xml:space="preserve">2,177</w:t>
            </w:r>
            <w:r/>
          </w:p>
        </w:tc>
        <w:tc>
          <w:tcPr>
            <w:tcBorders/>
            <w:tcMar>
              <w:left w:w="15" w:type="dxa"/>
              <w:top w:w="15" w:type="dxa"/>
              <w:right w:w="15" w:type="dxa"/>
              <w:bottom w:w="15" w:type="dxa"/>
            </w:tcMar>
            <w:tcW w:w="4200" w:type="dxa"/>
            <w:vAlign w:val="center"/>
          </w:tcPr>
          <w:p w14:paraId="6D209986">
            <w:pPr>
              <w:pBdr/>
              <w:spacing w:after="0" w:before="0" w:line="240"/>
              <w:ind/>
              <w:rPr/>
            </w:pPr>
            <w:r>
              <w:rPr>
                <w:rFonts w:ascii="Times New Roman" w:hAnsi="Times New Roman" w:eastAsia="Times New Roman" w:cs="Times New Roman"/>
                <w:color w:val="000000"/>
                <w:sz w:val="24"/>
              </w:rPr>
              <w:t xml:space="preserve">RED — Gate.io wei bug.</w:t>
            </w:r>
            <w:r/>
          </w:p>
        </w:tc>
        <w:tc>
          <w:tcPr>
            <w:tcBorders/>
            <w:tcMar>
              <w:left w:w="15" w:type="dxa"/>
              <w:top w:w="15" w:type="dxa"/>
              <w:right w:w="15" w:type="dxa"/>
              <w:bottom w:w="15" w:type="dxa"/>
            </w:tcMar>
            <w:tcW w:w="3775" w:type="dxa"/>
            <w:vAlign w:val="center"/>
          </w:tcPr>
          <w:p w14:paraId="292A3970">
            <w:pPr>
              <w:pBdr/>
              <w:spacing w:after="0" w:before="0" w:line="240"/>
              <w:ind/>
              <w:rPr/>
            </w:pPr>
            <w:r>
              <w:rPr>
                <w:rFonts w:ascii="Times New Roman" w:hAnsi="Times New Roman" w:eastAsia="Times New Roman" w:cs="Times New Roman"/>
                <w:color w:val="000000"/>
                <w:sz w:val="24"/>
              </w:rPr>
              <w:t xml:space="preserve">Fix: apply wei→ETH conversion in migration adapter. All other instruments migrate as-is.</w:t>
            </w:r>
            <w:r/>
          </w:p>
        </w:tc>
      </w:tr>
      <w:tr>
        <w:trPr/>
        <w:tc>
          <w:tcPr>
            <w:tcBorders/>
            <w:tcMar>
              <w:left w:w="15" w:type="dxa"/>
              <w:top w:w="15" w:type="dxa"/>
              <w:right w:w="15" w:type="dxa"/>
              <w:bottom w:w="15" w:type="dxa"/>
            </w:tcMar>
            <w:tcW w:w="1041" w:type="dxa"/>
            <w:vAlign w:val="center"/>
          </w:tcPr>
          <w:p w14:paraId="2097E65C">
            <w:pPr>
              <w:pBdr/>
              <w:spacing w:after="0" w:before="0" w:line="240"/>
              <w:ind/>
              <w:rPr/>
            </w:pPr>
            <w:r>
              <w:rPr>
                <w:rFonts w:ascii="Times New Roman" w:hAnsi="Times New Roman" w:eastAsia="Times New Roman" w:cs="Times New Roman"/>
                <w:color w:val="000000"/>
                <w:sz w:val="24"/>
              </w:rPr>
              <w:t xml:space="preserve">DeFi protocols</w:t>
            </w:r>
            <w:r/>
          </w:p>
        </w:tc>
        <w:tc>
          <w:tcPr>
            <w:tcBorders/>
            <w:tcMar>
              <w:left w:w="15" w:type="dxa"/>
              <w:top w:w="15" w:type="dxa"/>
              <w:right w:w="15" w:type="dxa"/>
              <w:bottom w:w="15" w:type="dxa"/>
            </w:tcMar>
            <w:tcW w:w="338" w:type="dxa"/>
            <w:vAlign w:val="center"/>
          </w:tcPr>
          <w:p w14:paraId="1D86CF84">
            <w:pPr>
              <w:pBdr/>
              <w:spacing w:after="0" w:before="0" w:line="240"/>
              <w:ind/>
              <w:rPr/>
            </w:pPr>
            <w:r>
              <w:rPr>
                <w:rFonts w:ascii="Times New Roman" w:hAnsi="Times New Roman" w:eastAsia="Times New Roman" w:cs="Times New Roman"/>
                <w:color w:val="000000"/>
                <w:sz w:val="24"/>
              </w:rPr>
              <w:t xml:space="preserve">195</w:t>
            </w:r>
            <w:r/>
          </w:p>
        </w:tc>
        <w:tc>
          <w:tcPr>
            <w:tcBorders/>
            <w:tcMar>
              <w:left w:w="15" w:type="dxa"/>
              <w:top w:w="15" w:type="dxa"/>
              <w:right w:w="15" w:type="dxa"/>
              <w:bottom w:w="15" w:type="dxa"/>
            </w:tcMar>
            <w:tcW w:w="4200" w:type="dxa"/>
            <w:vAlign w:val="center"/>
          </w:tcPr>
          <w:p w14:paraId="471CEF40">
            <w:pPr>
              <w:pBdr/>
              <w:spacing w:after="0" w:before="0" w:line="240"/>
              <w:ind/>
              <w:rPr/>
            </w:pPr>
            <w:r>
              <w:rPr>
                <w:rFonts w:ascii="Times New Roman" w:hAnsi="Times New Roman" w:eastAsia="Times New Roman" w:cs="Times New Roman"/>
                <w:color w:val="000000"/>
                <w:sz w:val="24"/>
              </w:rPr>
              <w:t xml:space="preserve">8-day history only. Not worth migrating — backfill from DeFiLlama API instead.</w:t>
            </w:r>
            <w:r/>
          </w:p>
        </w:tc>
        <w:tc>
          <w:tcPr>
            <w:tcBorders/>
            <w:tcMar>
              <w:left w:w="15" w:type="dxa"/>
              <w:top w:w="15" w:type="dxa"/>
              <w:right w:w="15" w:type="dxa"/>
              <w:bottom w:w="15" w:type="dxa"/>
            </w:tcMar>
            <w:tcW w:w="3775" w:type="dxa"/>
            <w:vAlign w:val="center"/>
          </w:tcPr>
          <w:p w14:paraId="74565550">
            <w:pPr>
              <w:pBdr/>
              <w:spacing w:after="0" w:before="0" w:line="240"/>
              <w:ind/>
              <w:rPr/>
            </w:pPr>
            <w:r>
              <w:rPr>
                <w:rFonts w:ascii="Times New Roman" w:hAnsi="Times New Roman" w:eastAsia="Times New Roman" w:cs="Times New Roman"/>
                <w:color w:val="000000"/>
                <w:sz w:val="24"/>
              </w:rPr>
              <w:t xml:space="preserve">Skip migration. Backfill from source.</w:t>
            </w:r>
            <w:r/>
          </w:p>
        </w:tc>
      </w:tr>
      <w:tr>
        <w:trPr/>
        <w:tc>
          <w:tcPr>
            <w:tcBorders/>
            <w:tcMar>
              <w:left w:w="15" w:type="dxa"/>
              <w:top w:w="15" w:type="dxa"/>
              <w:right w:w="15" w:type="dxa"/>
              <w:bottom w:w="15" w:type="dxa"/>
            </w:tcMar>
            <w:tcW w:w="1041" w:type="dxa"/>
            <w:vAlign w:val="center"/>
          </w:tcPr>
          <w:p w14:paraId="6F530621">
            <w:pPr>
              <w:pBdr/>
              <w:spacing w:after="0" w:before="0" w:line="240"/>
              <w:ind/>
              <w:rPr/>
            </w:pPr>
            <w:r>
              <w:rPr>
                <w:rFonts w:ascii="Times New Roman" w:hAnsi="Times New Roman" w:eastAsia="Times New Roman" w:cs="Times New Roman"/>
                <w:color w:val="000000"/>
                <w:sz w:val="24"/>
              </w:rPr>
              <w:t xml:space="preserve">Stablecoin metrics</w:t>
            </w:r>
            <w:r/>
          </w:p>
        </w:tc>
        <w:tc>
          <w:tcPr>
            <w:tcBorders/>
            <w:tcMar>
              <w:left w:w="15" w:type="dxa"/>
              <w:top w:w="15" w:type="dxa"/>
              <w:right w:w="15" w:type="dxa"/>
              <w:bottom w:w="15" w:type="dxa"/>
            </w:tcMar>
            <w:tcW w:w="338" w:type="dxa"/>
            <w:vAlign w:val="center"/>
          </w:tcPr>
          <w:p w14:paraId="37CA602D">
            <w:pPr>
              <w:pBdr/>
              <w:spacing w:after="0" w:before="0" w:line="240"/>
              <w:ind/>
              <w:rPr/>
            </w:pPr>
            <w:r>
              <w:rPr>
                <w:rFonts w:ascii="Times New Roman" w:hAnsi="Times New Roman" w:eastAsia="Times New Roman" w:cs="Times New Roman"/>
                <w:color w:val="000000"/>
                <w:sz w:val="24"/>
              </w:rPr>
              <w:t xml:space="preserve">180</w:t>
            </w:r>
            <w:r/>
          </w:p>
        </w:tc>
        <w:tc>
          <w:tcPr>
            <w:tcBorders/>
            <w:tcMar>
              <w:left w:w="15" w:type="dxa"/>
              <w:top w:w="15" w:type="dxa"/>
              <w:right w:w="15" w:type="dxa"/>
              <w:bottom w:w="15" w:type="dxa"/>
            </w:tcMar>
            <w:tcW w:w="4200" w:type="dxa"/>
            <w:vAlign w:val="center"/>
          </w:tcPr>
          <w:p w14:paraId="78274FD7">
            <w:pPr>
              <w:pBdr/>
              <w:spacing w:after="0" w:before="0" w:line="240"/>
              <w:ind/>
              <w:rPr/>
            </w:pPr>
            <w:r>
              <w:rPr>
                <w:rFonts w:ascii="Times New Roman" w:hAnsi="Times New Roman" w:eastAsia="Times New Roman" w:cs="Times New Roman"/>
                <w:color w:val="000000"/>
                <w:sz w:val="24"/>
              </w:rPr>
              <w:t xml:space="preserve">8-day history only. Same as above.</w:t>
            </w:r>
            <w:r/>
          </w:p>
        </w:tc>
        <w:tc>
          <w:tcPr>
            <w:tcBorders/>
            <w:tcMar>
              <w:left w:w="15" w:type="dxa"/>
              <w:top w:w="15" w:type="dxa"/>
              <w:right w:w="15" w:type="dxa"/>
              <w:bottom w:w="15" w:type="dxa"/>
            </w:tcMar>
            <w:tcW w:w="3775" w:type="dxa"/>
            <w:vAlign w:val="center"/>
          </w:tcPr>
          <w:p w14:paraId="3705FAFB">
            <w:pPr>
              <w:pBdr/>
              <w:spacing w:after="0" w:before="0" w:line="240"/>
              <w:ind/>
              <w:rPr/>
            </w:pPr>
            <w:r>
              <w:rPr>
                <w:rFonts w:ascii="Times New Roman" w:hAnsi="Times New Roman" w:eastAsia="Times New Roman" w:cs="Times New Roman"/>
                <w:color w:val="000000"/>
                <w:sz w:val="24"/>
              </w:rPr>
              <w:t xml:space="preserve">Skip migration. Backfill from source.</w:t>
            </w:r>
            <w:r/>
          </w:p>
        </w:tc>
      </w:tr>
      <w:tr>
        <w:trPr/>
        <w:tc>
          <w:tcPr>
            <w:tcBorders/>
            <w:tcMar>
              <w:left w:w="15" w:type="dxa"/>
              <w:top w:w="15" w:type="dxa"/>
              <w:right w:w="15" w:type="dxa"/>
              <w:bottom w:w="15" w:type="dxa"/>
            </w:tcMar>
            <w:tcW w:w="1041" w:type="dxa"/>
            <w:vAlign w:val="center"/>
          </w:tcPr>
          <w:p w14:paraId="35EEC62E">
            <w:pPr>
              <w:pBdr/>
              <w:spacing w:after="0" w:before="0" w:line="240"/>
              <w:ind/>
              <w:rPr/>
            </w:pPr>
            <w:r>
              <w:rPr>
                <w:rFonts w:ascii="Times New Roman" w:hAnsi="Times New Roman" w:eastAsia="Times New Roman" w:cs="Times New Roman"/>
                <w:color w:val="000000"/>
                <w:sz w:val="24"/>
              </w:rPr>
              <w:t xml:space="preserve">ETF flows</w:t>
            </w:r>
            <w:r/>
          </w:p>
        </w:tc>
        <w:tc>
          <w:tcPr>
            <w:tcBorders/>
            <w:tcMar>
              <w:left w:w="15" w:type="dxa"/>
              <w:top w:w="15" w:type="dxa"/>
              <w:right w:w="15" w:type="dxa"/>
              <w:bottom w:w="15" w:type="dxa"/>
            </w:tcMar>
            <w:tcW w:w="338" w:type="dxa"/>
            <w:vAlign w:val="center"/>
          </w:tcPr>
          <w:p w14:paraId="4832976E">
            <w:pPr>
              <w:pBdr/>
              <w:spacing w:after="0" w:before="0" w:line="240"/>
              <w:ind/>
              <w:rPr/>
            </w:pPr>
            <w:r>
              <w:rPr>
                <w:rFonts w:ascii="Times New Roman" w:hAnsi="Times New Roman" w:eastAsia="Times New Roman" w:cs="Times New Roman"/>
                <w:color w:val="000000"/>
                <w:sz w:val="24"/>
              </w:rPr>
              <w:t xml:space="preserve">774</w:t>
            </w:r>
            <w:r/>
          </w:p>
        </w:tc>
        <w:tc>
          <w:tcPr>
            <w:tcBorders/>
            <w:tcMar>
              <w:left w:w="15" w:type="dxa"/>
              <w:top w:w="15" w:type="dxa"/>
              <w:right w:w="15" w:type="dxa"/>
              <w:bottom w:w="15" w:type="dxa"/>
            </w:tcMar>
            <w:tcW w:w="4200" w:type="dxa"/>
            <w:vAlign w:val="center"/>
          </w:tcPr>
          <w:p w14:paraId="1EA3870A">
            <w:pPr>
              <w:pBdr/>
              <w:spacing w:after="0" w:before="0" w:line="240"/>
              <w:ind/>
              <w:rPr/>
            </w:pPr>
            <w:r>
              <w:rPr>
                <w:rFonts w:ascii="Times New Roman" w:hAnsi="Times New Roman" w:eastAsia="Times New Roman" w:cs="Times New Roman"/>
                <w:color w:val="000000"/>
                <w:sz w:val="24"/>
              </w:rPr>
              <w:t xml:space="preserve">From 2024-12. Migrate — any history is valuable given SoSoValue's non-commercial restriction.</w:t>
            </w:r>
            <w:r/>
          </w:p>
        </w:tc>
        <w:tc>
          <w:tcPr>
            <w:tcBorders/>
            <w:tcMar>
              <w:left w:w="15" w:type="dxa"/>
              <w:top w:w="15" w:type="dxa"/>
              <w:right w:w="15" w:type="dxa"/>
              <w:bottom w:w="15" w:type="dxa"/>
            </w:tcMar>
            <w:tcW w:w="3775" w:type="dxa"/>
            <w:vAlign w:val="center"/>
          </w:tcPr>
          <w:p w14:paraId="4BEA30B3">
            <w:pPr>
              <w:pBdr/>
              <w:spacing w:after="0" w:before="0" w:line="240"/>
              <w:ind/>
              <w:rPr/>
            </w:pPr>
            <w:r>
              <w:rPr>
                <w:rFonts w:ascii="Times New Roman" w:hAnsi="Times New Roman" w:eastAsia="Times New Roman" w:cs="Times New Roman"/>
                <w:color w:val="000000"/>
                <w:sz w:val="24"/>
              </w:rPr>
              <w:t xml:space="preserve">Migrate. Flag as internal-only.</w:t>
            </w:r>
            <w:r/>
          </w:p>
        </w:tc>
      </w:tr>
    </w:tbl>
    <w:p w14:paraId="3A09C2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Migration adapter pattern:</w:t>
      </w:r>
      <w:r/>
    </w:p>
    <w:p w14:paraId="65E638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migration adapters follow the same structure as production adapters — they implement the same output contract. The only difference is they read from existing database tables instead of landing zone tables, and they run once rather than on a schedule.</w:t>
      </w:r>
      <w:r/>
    </w:p>
    <w:p w14:paraId="31794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python</w:t>
      </w:r>
      <w:r/>
    </w:p>
    <w:p w14:paraId="2371F1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class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bad60"/>
          <w:sz w:val="24"/>
        </w:rPr>
        <w:t xml:space="preserve">CoinalyzeMigrationAdapter</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BaseAdapter</w:t>
      </w:r>
      <w:r>
        <w:rPr>
          <w:rFonts w:ascii="Times New Roman" w:hAnsi="Times New Roman" w:eastAsia="Times New Roman" w:cs="Times New Roman"/>
          <w:color w:val="d3d7de"/>
          <w:sz w:val="24"/>
        </w:rPr>
        <w:t xml:space="preserve">):</w:t>
      </w:r>
      <w:r/>
    </w:p>
    <w:p w14:paraId="112AF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source_id = COINALYZE_SOURCE_UUID</w:t>
      </w:r>
      <w:r/>
    </w:p>
    <w:p w14:paraId="4D4FD5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4F390D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def</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run</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self</w:t>
      </w:r>
      <w:r>
        <w:rPr>
          <w:rFonts w:ascii="Times New Roman" w:hAnsi="Times New Roman" w:eastAsia="Times New Roman" w:cs="Times New Roman"/>
          <w:color w:val="d3d7de"/>
          <w:sz w:val="24"/>
        </w:rPr>
        <w:t xml:space="preserve">):</w:t>
      </w:r>
      <w:r/>
    </w:p>
    <w:p w14:paraId="5EDB8F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Read from existing Forge table</w:t>
      </w:r>
      <w:r/>
    </w:p>
    <w:p w14:paraId="3BF73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rows = db</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execute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9be963"/>
          <w:sz w:val="24"/>
        </w:rPr>
        <w:t xml:space="preserve">"""</w:t>
      </w:r>
      <w:r/>
    </w:p>
    <w:p w14:paraId="31155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SELECT symbol, timestamp, funding_rate, oi_usd,</w:t>
      </w:r>
      <w:r/>
    </w:p>
    <w:p w14:paraId="3D8A0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long_liquidations, short_liquidations</w:t>
      </w:r>
      <w:r/>
    </w:p>
    <w:p w14:paraId="79F20D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FROM forge.coinalyze_derivatives</w:t>
      </w:r>
      <w:r/>
    </w:p>
    <w:p w14:paraId="548739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WHERE migrated = false</w:t>
      </w:r>
      <w:r/>
    </w:p>
    <w:p w14:paraId="7E299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ORDER BY timestamp ASC</w:t>
      </w:r>
      <w:r/>
    </w:p>
    <w:p w14:paraId="371E9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9be963"/>
          <w:sz w:val="24"/>
        </w:rPr>
        <w:t xml:space="preserve">        """</w:t>
      </w:r>
      <w:r>
        <w:rPr>
          <w:rFonts w:ascii="Times New Roman" w:hAnsi="Times New Roman" w:eastAsia="Times New Roman" w:cs="Times New Roman"/>
          <w:color w:val="d3d7de"/>
          <w:sz w:val="24"/>
        </w:rPr>
        <w:t xml:space="preserve">)</w:t>
      </w:r>
      <w:r/>
    </w:p>
    <w:p w14:paraId="41EBE1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20AF8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for</w:t>
      </w:r>
      <w:r>
        <w:rPr>
          <w:rFonts w:ascii="Times New Roman" w:hAnsi="Times New Roman" w:eastAsia="Times New Roman" w:cs="Times New Roman"/>
          <w:color w:val="eaecf0"/>
          <w:sz w:val="24"/>
        </w:rPr>
        <w:t xml:space="preserve"> row </w:t>
      </w:r>
      <w:r>
        <w:rPr>
          <w:rFonts w:ascii="Times New Roman" w:hAnsi="Times New Roman" w:eastAsia="Times New Roman" w:cs="Times New Roman"/>
          <w:color w:val="cc7bf4"/>
          <w:sz w:val="24"/>
        </w:rPr>
        <w:t xml:space="preserve">in</w:t>
      </w:r>
      <w:r>
        <w:rPr>
          <w:rFonts w:ascii="Times New Roman" w:hAnsi="Times New Roman" w:eastAsia="Times New Roman" w:cs="Times New Roman"/>
          <w:color w:val="eaecf0"/>
          <w:sz w:val="24"/>
        </w:rPr>
        <w:t xml:space="preserve"> rows</w:t>
      </w:r>
      <w:r>
        <w:rPr>
          <w:rFonts w:ascii="Times New Roman" w:hAnsi="Times New Roman" w:eastAsia="Times New Roman" w:cs="Times New Roman"/>
          <w:color w:val="d3d7de"/>
          <w:sz w:val="24"/>
        </w:rPr>
        <w:t xml:space="preserve">:</w:t>
      </w:r>
      <w:r/>
    </w:p>
    <w:p w14:paraId="7EA729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observations = self</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normalize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row</w:t>
      </w:r>
      <w:r>
        <w:rPr>
          <w:rFonts w:ascii="Times New Roman" w:hAnsi="Times New Roman" w:eastAsia="Times New Roman" w:cs="Times New Roman"/>
          <w:color w:val="d3d7de"/>
          <w:sz w:val="24"/>
        </w:rPr>
        <w:t xml:space="preserve">)</w:t>
      </w:r>
      <w:r/>
    </w:p>
    <w:p w14:paraId="6CB83C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self</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write_observations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observations</w:t>
      </w:r>
      <w:r>
        <w:rPr>
          <w:rFonts w:ascii="Times New Roman" w:hAnsi="Times New Roman" w:eastAsia="Times New Roman" w:cs="Times New Roman"/>
          <w:color w:val="d3d7de"/>
          <w:sz w:val="24"/>
        </w:rPr>
        <w:t xml:space="preserve">)</w:t>
      </w:r>
      <w:r/>
    </w:p>
    <w:p w14:paraId="55358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self</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mark_migrated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row</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fbad60"/>
          <w:sz w:val="24"/>
        </w:rPr>
        <w:t xml:space="preserve">id</w:t>
      </w:r>
      <w:r>
        <w:rPr>
          <w:rFonts w:ascii="Times New Roman" w:hAnsi="Times New Roman" w:eastAsia="Times New Roman" w:cs="Times New Roman"/>
          <w:color w:val="d3d7de"/>
          <w:sz w:val="24"/>
        </w:rPr>
        <w:t xml:space="preserve">)</w:t>
      </w:r>
      <w:r/>
    </w:p>
    <w:p w14:paraId="0EED3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Migration runs before the new collection agents start. After migration, collection agents pick up from the latest migrated timestamp. There is no gap between historical data and live collection.</w:t>
      </w:r>
      <w:r/>
    </w:p>
    <w:p w14:paraId="7D917E4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Collection Agent Failure Handling — System-Level</w:t>
      </w:r>
      <w:r/>
    </w:p>
    <w:p w14:paraId="3951CA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Individual agent failure handling was specified per-source above. This section defines the system-level response.</w:t>
      </w:r>
      <w:r/>
    </w:p>
    <w:p w14:paraId="425C5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Circuit breaker pattern:</w:t>
      </w:r>
      <w:r/>
    </w:p>
    <w:p w14:paraId="2EBFDC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source fails more than 3 consecutive collection attempts, it enters a </w:t>
      </w:r>
      <w:r>
        <w:rPr>
          <w:rFonts w:ascii="Courier New" w:hAnsi="Courier New" w:eastAsia="Courier New" w:cs="Courier New"/>
          <w:color w:val="000000"/>
          <w:sz w:val="20"/>
        </w:rPr>
        <w:t xml:space="preserve">DEGRADED</w:t>
      </w:r>
      <w:r>
        <w:rPr>
          <w:rFonts w:ascii="Times New Roman" w:hAnsi="Times New Roman" w:eastAsia="Times New Roman" w:cs="Times New Roman"/>
          <w:color w:val="000000"/>
          <w:sz w:val="24"/>
        </w:rPr>
        <w:t xml:space="preserve"> state. In this state:</w:t>
      </w:r>
      <w:r/>
    </w:p>
    <w:p w14:paraId="46180D55">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Collection continues to attempt at normal cadence</w:t>
      </w:r>
      <w:r/>
    </w:p>
    <w:p w14:paraId="79AEC722">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monitoring escalates the alert from informational to actionable</w:t>
      </w:r>
      <w:r/>
    </w:p>
    <w:p w14:paraId="57E93AD0">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signal layer is notified via metric staleness — it will propagate this as reduced confidence in affected pillars</w:t>
      </w:r>
      <w:r/>
    </w:p>
    <w:p w14:paraId="0B1EF94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automatic fallback to a different source (source substitution is a manual architectural decision, not an automated runtime one)</w:t>
      </w:r>
      <w:r/>
    </w:p>
    <w:p w14:paraId="3873F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Staleness propagation chain:</w:t>
      </w:r>
      <w:r/>
    </w:p>
    <w:p w14:paraId="71576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Source fails → collection_event status = </w:t>
      </w:r>
      <w:r>
        <w:rPr>
          <w:rFonts w:ascii="Courier New" w:hAnsi="Courier New" w:eastAsia="Courier New" w:cs="Courier New"/>
          <w:color w:val="000000"/>
          <w:sz w:val="20"/>
        </w:rPr>
        <w:t xml:space="preserve">failed</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instrument_metric_coverage.latest_observation</w:t>
      </w:r>
      <w:r>
        <w:rPr>
          <w:rFonts w:ascii="Times New Roman" w:hAnsi="Times New Roman" w:eastAsia="Times New Roman" w:cs="Times New Roman"/>
          <w:color w:val="000000"/>
          <w:sz w:val="24"/>
        </w:rPr>
        <w:t xml:space="preserve"> stops updating → feature engineering computes </w:t>
      </w:r>
      <w:r>
        <w:rPr>
          <w:rFonts w:ascii="Courier New" w:hAnsi="Courier New" w:eastAsia="Courier New" w:cs="Courier New"/>
          <w:color w:val="000000"/>
          <w:sz w:val="20"/>
        </w:rPr>
        <w:t xml:space="preserve">SOURCE_STALE</w:t>
      </w:r>
      <w:r>
        <w:rPr>
          <w:rFonts w:ascii="Times New Roman" w:hAnsi="Times New Roman" w:eastAsia="Times New Roman" w:cs="Times New Roman"/>
          <w:color w:val="000000"/>
          <w:sz w:val="24"/>
        </w:rPr>
        <w:t xml:space="preserve"> null state → EDSx pillar confidence decreases → composite signal confidence decreases → customer-facing signal carries honest reduced confidence</w:t>
      </w:r>
      <w:r/>
    </w:p>
    <w:p w14:paraId="64114A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correct behavior. The system does not invent stale data. It does not present yesterday's confidence as today's. It propagates the staleness honestly to the output product.</w:t>
      </w:r>
      <w:r/>
    </w:p>
    <w:p w14:paraId="105B910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Decisions Locked by Thread 5</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7771"/>
      </w:tblGrid>
      <w:tr>
        <w:trPr/>
        <w:tc>
          <w:tcPr>
            <w:tcBorders/>
            <w:tcMar>
              <w:left w:w="15" w:type="dxa"/>
              <w:top w:w="15" w:type="dxa"/>
              <w:right w:w="15" w:type="dxa"/>
              <w:bottom w:w="15" w:type="dxa"/>
            </w:tcMar>
            <w:tcW w:w="1584" w:type="dxa"/>
            <w:vAlign w:val="center"/>
          </w:tcPr>
          <w:p w14:paraId="766791E6">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7771" w:type="dxa"/>
            <w:vAlign w:val="center"/>
          </w:tcPr>
          <w:p w14:paraId="0AAEA403">
            <w:pPr>
              <w:pBdr/>
              <w:spacing w:after="0" w:before="0" w:line="240"/>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1584" w:type="dxa"/>
            <w:vAlign w:val="center"/>
          </w:tcPr>
          <w:p w14:paraId="6D2C29C6">
            <w:pPr>
              <w:pBdr/>
              <w:spacing w:after="0" w:before="0" w:line="240"/>
              <w:ind/>
              <w:rPr/>
            </w:pPr>
            <w:r>
              <w:rPr>
                <w:rFonts w:ascii="Times New Roman" w:hAnsi="Times New Roman" w:eastAsia="Times New Roman" w:cs="Times New Roman"/>
                <w:color w:val="000000"/>
                <w:sz w:val="24"/>
              </w:rPr>
              <w:t xml:space="preserve">Landing zone model</w:t>
            </w:r>
            <w:r/>
          </w:p>
        </w:tc>
        <w:tc>
          <w:tcPr>
            <w:tcBorders/>
            <w:tcMar>
              <w:left w:w="15" w:type="dxa"/>
              <w:top w:w="15" w:type="dxa"/>
              <w:right w:w="15" w:type="dxa"/>
              <w:bottom w:w="15" w:type="dxa"/>
            </w:tcMar>
            <w:tcW w:w="7771" w:type="dxa"/>
            <w:vAlign w:val="center"/>
          </w:tcPr>
          <w:p w14:paraId="2987B999">
            <w:pPr>
              <w:pBdr/>
              <w:spacing w:after="0" w:before="0" w:line="240"/>
              <w:ind/>
              <w:rPr/>
            </w:pPr>
            <w:r>
              <w:rPr>
                <w:rFonts w:ascii="Times New Roman" w:hAnsi="Times New Roman" w:eastAsia="Times New Roman" w:cs="Times New Roman"/>
                <w:color w:val="000000"/>
                <w:sz w:val="24"/>
              </w:rPr>
              <w:t xml:space="preserve">Schema-per-source tables, append-only</w:t>
            </w:r>
            <w:r/>
          </w:p>
        </w:tc>
      </w:tr>
      <w:tr>
        <w:trPr/>
        <w:tc>
          <w:tcPr>
            <w:tcBorders/>
            <w:tcMar>
              <w:left w:w="15" w:type="dxa"/>
              <w:top w:w="15" w:type="dxa"/>
              <w:right w:w="15" w:type="dxa"/>
              <w:bottom w:w="15" w:type="dxa"/>
            </w:tcMar>
            <w:tcW w:w="1584" w:type="dxa"/>
            <w:vAlign w:val="center"/>
          </w:tcPr>
          <w:p w14:paraId="64547F62">
            <w:pPr>
              <w:pBdr/>
              <w:spacing w:after="0" w:before="0" w:line="240"/>
              <w:ind/>
              <w:rPr/>
            </w:pPr>
            <w:r>
              <w:rPr>
                <w:rFonts w:ascii="Times New Roman" w:hAnsi="Times New Roman" w:eastAsia="Times New Roman" w:cs="Times New Roman"/>
                <w:color w:val="000000"/>
                <w:sz w:val="24"/>
              </w:rPr>
              <w:t xml:space="preserve">Landing retention</w:t>
            </w:r>
            <w:r/>
          </w:p>
        </w:tc>
        <w:tc>
          <w:tcPr>
            <w:tcBorders/>
            <w:tcMar>
              <w:left w:w="15" w:type="dxa"/>
              <w:top w:w="15" w:type="dxa"/>
              <w:right w:w="15" w:type="dxa"/>
              <w:bottom w:w="15" w:type="dxa"/>
            </w:tcMar>
            <w:tcW w:w="7771" w:type="dxa"/>
            <w:vAlign w:val="center"/>
          </w:tcPr>
          <w:p w14:paraId="3F0F9A38">
            <w:pPr>
              <w:pBdr/>
              <w:spacing w:after="0" w:before="0" w:line="240"/>
              <w:ind/>
              <w:rPr/>
            </w:pPr>
            <w:r>
              <w:rPr>
                <w:rFonts w:ascii="Times New Roman" w:hAnsi="Times New Roman" w:eastAsia="Times New Roman" w:cs="Times New Roman"/>
                <w:color w:val="000000"/>
                <w:sz w:val="24"/>
              </w:rPr>
              <w:t xml:space="preserve">90 days, then cold archive</w:t>
            </w:r>
            <w:r/>
          </w:p>
        </w:tc>
      </w:tr>
      <w:tr>
        <w:trPr/>
        <w:tc>
          <w:tcPr>
            <w:tcBorders/>
            <w:tcMar>
              <w:left w:w="15" w:type="dxa"/>
              <w:top w:w="15" w:type="dxa"/>
              <w:right w:w="15" w:type="dxa"/>
              <w:bottom w:w="15" w:type="dxa"/>
            </w:tcMar>
            <w:tcW w:w="1584" w:type="dxa"/>
            <w:vAlign w:val="center"/>
          </w:tcPr>
          <w:p w14:paraId="1A9C4FC8">
            <w:pPr>
              <w:pBdr/>
              <w:spacing w:after="0" w:before="0" w:line="240"/>
              <w:ind/>
              <w:rPr/>
            </w:pPr>
            <w:r>
              <w:rPr>
                <w:rFonts w:ascii="Times New Roman" w:hAnsi="Times New Roman" w:eastAsia="Times New Roman" w:cs="Times New Roman"/>
                <w:color w:val="000000"/>
                <w:sz w:val="24"/>
              </w:rPr>
              <w:t xml:space="preserve">Adapter interface</w:t>
            </w:r>
            <w:r/>
          </w:p>
        </w:tc>
        <w:tc>
          <w:tcPr>
            <w:tcBorders/>
            <w:tcMar>
              <w:left w:w="15" w:type="dxa"/>
              <w:top w:w="15" w:type="dxa"/>
              <w:right w:w="15" w:type="dxa"/>
              <w:bottom w:w="15" w:type="dxa"/>
            </w:tcMar>
            <w:tcW w:w="7771" w:type="dxa"/>
            <w:vAlign w:val="center"/>
          </w:tcPr>
          <w:p w14:paraId="2C99E042">
            <w:pPr>
              <w:pBdr/>
              <w:spacing w:after="0" w:before="0" w:line="240"/>
              <w:ind/>
              <w:rPr/>
            </w:pPr>
            <w:r>
              <w:rPr>
                <w:rFonts w:ascii="Times New Roman" w:hAnsi="Times New Roman" w:eastAsia="Times New Roman" w:cs="Times New Roman"/>
                <w:color w:val="000000"/>
                <w:sz w:val="24"/>
              </w:rPr>
              <w:t xml:space="preserve">Standardized: read landing → normalize → validate → write canonical or dead-letter</w:t>
            </w:r>
            <w:r/>
          </w:p>
        </w:tc>
      </w:tr>
      <w:tr>
        <w:trPr/>
        <w:tc>
          <w:tcPr>
            <w:tcBorders/>
            <w:tcMar>
              <w:left w:w="15" w:type="dxa"/>
              <w:top w:w="15" w:type="dxa"/>
              <w:right w:w="15" w:type="dxa"/>
              <w:bottom w:w="15" w:type="dxa"/>
            </w:tcMar>
            <w:tcW w:w="1584" w:type="dxa"/>
            <w:vAlign w:val="center"/>
          </w:tcPr>
          <w:p w14:paraId="553CAF96">
            <w:pPr>
              <w:pBdr/>
              <w:spacing w:after="0" w:before="0" w:line="240"/>
              <w:ind/>
              <w:rPr/>
            </w:pPr>
            <w:r>
              <w:rPr>
                <w:rFonts w:ascii="Times New Roman" w:hAnsi="Times New Roman" w:eastAsia="Times New Roman" w:cs="Times New Roman"/>
                <w:color w:val="000000"/>
                <w:sz w:val="24"/>
              </w:rPr>
              <w:t xml:space="preserve">Instrument resolution</w:t>
            </w:r>
            <w:r/>
          </w:p>
        </w:tc>
        <w:tc>
          <w:tcPr>
            <w:tcBorders/>
            <w:tcMar>
              <w:left w:w="15" w:type="dxa"/>
              <w:top w:w="15" w:type="dxa"/>
              <w:right w:w="15" w:type="dxa"/>
              <w:bottom w:w="15" w:type="dxa"/>
            </w:tcMar>
            <w:tcW w:w="7771" w:type="dxa"/>
            <w:vAlign w:val="center"/>
          </w:tcPr>
          <w:p w14:paraId="7A945A14">
            <w:pPr>
              <w:pBdr/>
              <w:spacing w:after="0" w:before="0" w:line="240"/>
              <w:ind/>
              <w:rPr/>
            </w:pPr>
            <w:r>
              <w:rPr>
                <w:rFonts w:ascii="Times New Roman" w:hAnsi="Times New Roman" w:eastAsia="Times New Roman" w:cs="Times New Roman"/>
                <w:color w:val="000000"/>
                <w:sz w:val="24"/>
              </w:rPr>
              <w:t xml:space="preserve">Symbol mapping table per adapter. Unknown symbols → dead letter. Adapter never creates catalog entries.</w:t>
            </w:r>
            <w:r/>
          </w:p>
        </w:tc>
      </w:tr>
      <w:tr>
        <w:trPr/>
        <w:tc>
          <w:tcPr>
            <w:tcBorders/>
            <w:tcMar>
              <w:left w:w="15" w:type="dxa"/>
              <w:top w:w="15" w:type="dxa"/>
              <w:right w:w="15" w:type="dxa"/>
              <w:bottom w:w="15" w:type="dxa"/>
            </w:tcMar>
            <w:tcW w:w="1584" w:type="dxa"/>
            <w:vAlign w:val="center"/>
          </w:tcPr>
          <w:p w14:paraId="42A7757B">
            <w:pPr>
              <w:pBdr/>
              <w:spacing w:after="0" w:before="0" w:line="240"/>
              <w:ind/>
              <w:rPr/>
            </w:pPr>
            <w:r>
              <w:rPr>
                <w:rFonts w:ascii="Times New Roman" w:hAnsi="Times New Roman" w:eastAsia="Times New Roman" w:cs="Times New Roman"/>
                <w:color w:val="000000"/>
                <w:sz w:val="24"/>
              </w:rPr>
              <w:t xml:space="preserve">Validation scope</w:t>
            </w:r>
            <w:r/>
          </w:p>
        </w:tc>
        <w:tc>
          <w:tcPr>
            <w:tcBorders/>
            <w:tcMar>
              <w:left w:w="15" w:type="dxa"/>
              <w:top w:w="15" w:type="dxa"/>
              <w:right w:w="15" w:type="dxa"/>
              <w:bottom w:w="15" w:type="dxa"/>
            </w:tcMar>
            <w:tcW w:w="7771" w:type="dxa"/>
            <w:vAlign w:val="center"/>
          </w:tcPr>
          <w:p w14:paraId="1F06596B">
            <w:pPr>
              <w:pBdr/>
              <w:spacing w:after="0" w:before="0" w:line="240"/>
              <w:ind/>
              <w:rPr/>
            </w:pPr>
            <w:r>
              <w:rPr>
                <w:rFonts w:ascii="Times New Roman" w:hAnsi="Times New Roman" w:eastAsia="Times New Roman" w:cs="Times New Roman"/>
                <w:color w:val="000000"/>
                <w:sz w:val="24"/>
              </w:rPr>
              <w:t xml:space="preserve">Per-observation, independent. Batch does not fail on single bad value.</w:t>
            </w:r>
            <w:r/>
          </w:p>
        </w:tc>
      </w:tr>
      <w:tr>
        <w:trPr/>
        <w:tc>
          <w:tcPr>
            <w:tcBorders/>
            <w:tcMar>
              <w:left w:w="15" w:type="dxa"/>
              <w:top w:w="15" w:type="dxa"/>
              <w:right w:w="15" w:type="dxa"/>
              <w:bottom w:w="15" w:type="dxa"/>
            </w:tcMar>
            <w:tcW w:w="1584" w:type="dxa"/>
            <w:vAlign w:val="center"/>
          </w:tcPr>
          <w:p w14:paraId="6C8297BD">
            <w:pPr>
              <w:pBdr/>
              <w:spacing w:after="0" w:before="0" w:line="240"/>
              <w:ind/>
              <w:rPr/>
            </w:pPr>
            <w:r>
              <w:rPr>
                <w:rFonts w:ascii="Times New Roman" w:hAnsi="Times New Roman" w:eastAsia="Times New Roman" w:cs="Times New Roman"/>
                <w:color w:val="000000"/>
                <w:sz w:val="24"/>
              </w:rPr>
              <w:t xml:space="preserve">Dead letter policy</w:t>
            </w:r>
            <w:r/>
          </w:p>
        </w:tc>
        <w:tc>
          <w:tcPr>
            <w:tcBorders/>
            <w:tcMar>
              <w:left w:w="15" w:type="dxa"/>
              <w:top w:w="15" w:type="dxa"/>
              <w:right w:w="15" w:type="dxa"/>
              <w:bottom w:w="15" w:type="dxa"/>
            </w:tcMar>
            <w:tcW w:w="7771" w:type="dxa"/>
            <w:vAlign w:val="center"/>
          </w:tcPr>
          <w:p w14:paraId="201E9797">
            <w:pPr>
              <w:pBdr/>
              <w:spacing w:after="0" w:before="0" w:line="240"/>
              <w:ind/>
              <w:rPr/>
            </w:pPr>
            <w:r>
              <w:rPr>
                <w:rFonts w:ascii="Times New Roman" w:hAnsi="Times New Roman" w:eastAsia="Times New Roman" w:cs="Times New Roman"/>
                <w:color w:val="000000"/>
                <w:sz w:val="24"/>
              </w:rPr>
              <w:t xml:space="preserve">Every rejection logged with raw payload, reason, and rejection code. Nothing silently dropped.</w:t>
            </w:r>
            <w:r/>
          </w:p>
        </w:tc>
      </w:tr>
      <w:tr>
        <w:trPr/>
        <w:tc>
          <w:tcPr>
            <w:tcBorders/>
            <w:tcMar>
              <w:left w:w="15" w:type="dxa"/>
              <w:top w:w="15" w:type="dxa"/>
              <w:right w:w="15" w:type="dxa"/>
              <w:bottom w:w="15" w:type="dxa"/>
            </w:tcMar>
            <w:tcW w:w="1584" w:type="dxa"/>
            <w:vAlign w:val="center"/>
          </w:tcPr>
          <w:p w14:paraId="6DD4689B">
            <w:pPr>
              <w:pBdr/>
              <w:spacing w:after="0" w:before="0" w:line="240"/>
              <w:ind/>
              <w:rPr/>
            </w:pPr>
            <w:r>
              <w:rPr>
                <w:rFonts w:ascii="Times New Roman" w:hAnsi="Times New Roman" w:eastAsia="Times New Roman" w:cs="Times New Roman"/>
                <w:color w:val="000000"/>
                <w:sz w:val="24"/>
              </w:rPr>
              <w:t xml:space="preserve">Redistribution enforcement</w:t>
            </w:r>
            <w:r/>
          </w:p>
        </w:tc>
        <w:tc>
          <w:tcPr>
            <w:tcBorders/>
            <w:tcMar>
              <w:left w:w="15" w:type="dxa"/>
              <w:top w:w="15" w:type="dxa"/>
              <w:right w:w="15" w:type="dxa"/>
              <w:bottom w:w="15" w:type="dxa"/>
            </w:tcMar>
            <w:tcW w:w="7771" w:type="dxa"/>
            <w:vAlign w:val="center"/>
          </w:tcPr>
          <w:p w14:paraId="5BB69742">
            <w:pPr>
              <w:pBdr/>
              <w:spacing w:after="0" w:before="0" w:line="240"/>
              <w:ind/>
              <w:rPr/>
            </w:pPr>
            <w:r>
              <w:rPr>
                <w:rFonts w:ascii="Times New Roman" w:hAnsi="Times New Roman" w:eastAsia="Times New Roman" w:cs="Times New Roman"/>
                <w:color w:val="000000"/>
                <w:sz w:val="24"/>
              </w:rPr>
              <w:t xml:space="preserve">Flagged at source catalog level. Enforced at serving layer. SoSoValue and CoinMetrics flagged internal-only pending ToS audit.</w:t>
            </w:r>
            <w:r/>
          </w:p>
        </w:tc>
      </w:tr>
      <w:tr>
        <w:trPr/>
        <w:tc>
          <w:tcPr>
            <w:tcBorders/>
            <w:tcMar>
              <w:left w:w="15" w:type="dxa"/>
              <w:top w:w="15" w:type="dxa"/>
              <w:right w:w="15" w:type="dxa"/>
              <w:bottom w:w="15" w:type="dxa"/>
            </w:tcMar>
            <w:tcW w:w="1584" w:type="dxa"/>
            <w:vAlign w:val="center"/>
          </w:tcPr>
          <w:p w14:paraId="48FCCB58">
            <w:pPr>
              <w:pBdr/>
              <w:spacing w:after="0" w:before="0" w:line="240"/>
              <w:ind/>
              <w:rPr/>
            </w:pPr>
            <w:r>
              <w:rPr>
                <w:rFonts w:ascii="Times New Roman" w:hAnsi="Times New Roman" w:eastAsia="Times New Roman" w:cs="Times New Roman"/>
                <w:color w:val="000000"/>
                <w:sz w:val="24"/>
              </w:rPr>
              <w:t xml:space="preserve">Gate.io wei bug</w:t>
            </w:r>
            <w:r/>
          </w:p>
        </w:tc>
        <w:tc>
          <w:tcPr>
            <w:tcBorders/>
            <w:tcMar>
              <w:left w:w="15" w:type="dxa"/>
              <w:top w:w="15" w:type="dxa"/>
              <w:right w:w="15" w:type="dxa"/>
              <w:bottom w:w="15" w:type="dxa"/>
            </w:tcMar>
            <w:tcW w:w="7771" w:type="dxa"/>
            <w:vAlign w:val="center"/>
          </w:tcPr>
          <w:p w14:paraId="302B00FC">
            <w:pPr>
              <w:pBdr/>
              <w:spacing w:after="0" w:before="0" w:line="240"/>
              <w:ind/>
              <w:rPr/>
            </w:pPr>
            <w:r>
              <w:rPr>
                <w:rFonts w:ascii="Times New Roman" w:hAnsi="Times New Roman" w:eastAsia="Times New Roman" w:cs="Times New Roman"/>
                <w:color w:val="000000"/>
                <w:sz w:val="24"/>
              </w:rPr>
              <w:t xml:space="preserve">Fixed in exchange flows adapter via explicit unit conversion. Raw landing data preserved as-is.</w:t>
            </w:r>
            <w:r/>
          </w:p>
        </w:tc>
      </w:tr>
      <w:tr>
        <w:trPr/>
        <w:tc>
          <w:tcPr>
            <w:tcBorders/>
            <w:tcMar>
              <w:left w:w="15" w:type="dxa"/>
              <w:top w:w="15" w:type="dxa"/>
              <w:right w:w="15" w:type="dxa"/>
              <w:bottom w:w="15" w:type="dxa"/>
            </w:tcMar>
            <w:tcW w:w="1584" w:type="dxa"/>
            <w:vAlign w:val="center"/>
          </w:tcPr>
          <w:p w14:paraId="72E2EF90">
            <w:pPr>
              <w:pBdr/>
              <w:spacing w:after="0" w:before="0" w:line="240"/>
              <w:ind/>
              <w:rPr/>
            </w:pPr>
            <w:r>
              <w:rPr>
                <w:rFonts w:ascii="Times New Roman" w:hAnsi="Times New Roman" w:eastAsia="Times New Roman" w:cs="Times New Roman"/>
                <w:color w:val="000000"/>
                <w:sz w:val="24"/>
              </w:rPr>
              <w:t xml:space="preserve">Coinalyze extreme values</w:t>
            </w:r>
            <w:r/>
          </w:p>
        </w:tc>
        <w:tc>
          <w:tcPr>
            <w:tcBorders/>
            <w:tcMar>
              <w:left w:w="15" w:type="dxa"/>
              <w:top w:w="15" w:type="dxa"/>
              <w:right w:w="15" w:type="dxa"/>
              <w:bottom w:w="15" w:type="dxa"/>
            </w:tcMar>
            <w:tcW w:w="7771" w:type="dxa"/>
            <w:vAlign w:val="center"/>
          </w:tcPr>
          <w:p w14:paraId="47B5A446">
            <w:pPr>
              <w:pBdr/>
              <w:spacing w:after="0" w:before="0" w:line="240"/>
              <w:ind/>
              <w:rPr/>
            </w:pPr>
            <w:r>
              <w:rPr>
                <w:rFonts w:ascii="Times New Roman" w:hAnsi="Times New Roman" w:eastAsia="Times New Roman" w:cs="Times New Roman"/>
                <w:color w:val="000000"/>
                <w:sz w:val="24"/>
              </w:rPr>
              <w:t xml:space="preserve">Dead-lettered with EXTREME_VALUE_PENDING_REVIEW flag. Manual review queue. Not silently passed or silently rejected.</w:t>
            </w:r>
            <w:r/>
          </w:p>
        </w:tc>
      </w:tr>
      <w:tr>
        <w:trPr/>
        <w:tc>
          <w:tcPr>
            <w:tcBorders/>
            <w:tcMar>
              <w:left w:w="15" w:type="dxa"/>
              <w:top w:w="15" w:type="dxa"/>
              <w:right w:w="15" w:type="dxa"/>
              <w:bottom w:w="15" w:type="dxa"/>
            </w:tcMar>
            <w:tcW w:w="1584" w:type="dxa"/>
            <w:vAlign w:val="center"/>
          </w:tcPr>
          <w:p w14:paraId="1D2A616C">
            <w:pPr>
              <w:pBdr/>
              <w:spacing w:after="0" w:before="0" w:line="240"/>
              <w:ind/>
              <w:rPr/>
            </w:pPr>
            <w:r>
              <w:rPr>
                <w:rFonts w:ascii="Times New Roman" w:hAnsi="Times New Roman" w:eastAsia="Times New Roman" w:cs="Times New Roman"/>
                <w:color w:val="000000"/>
                <w:sz w:val="24"/>
              </w:rPr>
              <w:t xml:space="preserve">Migration strategy</w:t>
            </w:r>
            <w:r/>
          </w:p>
        </w:tc>
        <w:tc>
          <w:tcPr>
            <w:tcBorders/>
            <w:tcMar>
              <w:left w:w="15" w:type="dxa"/>
              <w:top w:w="15" w:type="dxa"/>
              <w:right w:w="15" w:type="dxa"/>
              <w:bottom w:w="15" w:type="dxa"/>
            </w:tcMar>
            <w:tcW w:w="7771" w:type="dxa"/>
            <w:vAlign w:val="center"/>
          </w:tcPr>
          <w:p w14:paraId="42FED0A5">
            <w:pPr>
              <w:pBdr/>
              <w:spacing w:after="0" w:before="0" w:line="240"/>
              <w:ind/>
              <w:rPr/>
            </w:pPr>
            <w:r>
              <w:rPr>
                <w:rFonts w:ascii="Times New Roman" w:hAnsi="Times New Roman" w:eastAsia="Times New Roman" w:cs="Times New Roman"/>
                <w:color w:val="000000"/>
                <w:sz w:val="24"/>
              </w:rPr>
              <w:t xml:space="preserve">Migrate clean datasets via one-time adapters. Skip shallow datasets (DeFi protocols, stablecoins). Re-backfill from source for skipped.</w:t>
            </w:r>
            <w:r/>
          </w:p>
        </w:tc>
      </w:tr>
      <w:tr>
        <w:trPr/>
        <w:tc>
          <w:tcPr>
            <w:tcBorders/>
            <w:tcMar>
              <w:left w:w="15" w:type="dxa"/>
              <w:top w:w="15" w:type="dxa"/>
              <w:right w:w="15" w:type="dxa"/>
              <w:bottom w:w="15" w:type="dxa"/>
            </w:tcMar>
            <w:tcW w:w="1584" w:type="dxa"/>
            <w:vAlign w:val="center"/>
          </w:tcPr>
          <w:p w14:paraId="185E6044">
            <w:pPr>
              <w:pBdr/>
              <w:spacing w:after="0" w:before="0" w:line="240"/>
              <w:ind/>
              <w:rPr/>
            </w:pPr>
            <w:r>
              <w:rPr>
                <w:rFonts w:ascii="Times New Roman" w:hAnsi="Times New Roman" w:eastAsia="Times New Roman" w:cs="Times New Roman"/>
                <w:color w:val="000000"/>
                <w:sz w:val="24"/>
              </w:rPr>
              <w:t xml:space="preserve">Gap: lending utilization</w:t>
            </w:r>
            <w:r/>
          </w:p>
        </w:tc>
        <w:tc>
          <w:tcPr>
            <w:tcBorders/>
            <w:tcMar>
              <w:left w:w="15" w:type="dxa"/>
              <w:top w:w="15" w:type="dxa"/>
              <w:right w:w="15" w:type="dxa"/>
              <w:bottom w:w="15" w:type="dxa"/>
            </w:tcMar>
            <w:tcW w:w="7771" w:type="dxa"/>
            <w:vAlign w:val="center"/>
          </w:tcPr>
          <w:p w14:paraId="10EF935F">
            <w:pPr>
              <w:pBdr/>
              <w:spacing w:after="0" w:before="0" w:line="240"/>
              <w:ind/>
              <w:rPr/>
            </w:pPr>
            <w:r>
              <w:rPr>
                <w:rFonts w:ascii="Times New Roman" w:hAnsi="Times New Roman" w:eastAsia="Times New Roman" w:cs="Times New Roman"/>
                <w:color w:val="000000"/>
                <w:sz w:val="24"/>
              </w:rPr>
              <w:t xml:space="preserve">Proxy metric in v1. Full resolution in v1.1.</w:t>
            </w:r>
            <w:r/>
          </w:p>
        </w:tc>
      </w:tr>
      <w:tr>
        <w:trPr/>
        <w:tc>
          <w:tcPr>
            <w:tcBorders/>
            <w:tcMar>
              <w:left w:w="15" w:type="dxa"/>
              <w:top w:w="15" w:type="dxa"/>
              <w:right w:w="15" w:type="dxa"/>
              <w:bottom w:w="15" w:type="dxa"/>
            </w:tcMar>
            <w:tcW w:w="1584" w:type="dxa"/>
            <w:vAlign w:val="center"/>
          </w:tcPr>
          <w:p w14:paraId="6955D442">
            <w:pPr>
              <w:pBdr/>
              <w:spacing w:after="0" w:before="0" w:line="240"/>
              <w:ind/>
              <w:rPr/>
            </w:pPr>
            <w:r>
              <w:rPr>
                <w:rFonts w:ascii="Times New Roman" w:hAnsi="Times New Roman" w:eastAsia="Times New Roman" w:cs="Times New Roman"/>
                <w:color w:val="000000"/>
                <w:sz w:val="24"/>
              </w:rPr>
              <w:t xml:space="preserve">Gap: options data</w:t>
            </w:r>
            <w:r/>
          </w:p>
        </w:tc>
        <w:tc>
          <w:tcPr>
            <w:tcBorders/>
            <w:tcMar>
              <w:left w:w="15" w:type="dxa"/>
              <w:top w:w="15" w:type="dxa"/>
              <w:right w:w="15" w:type="dxa"/>
              <w:bottom w:w="15" w:type="dxa"/>
            </w:tcMar>
            <w:tcW w:w="7771" w:type="dxa"/>
            <w:vAlign w:val="center"/>
          </w:tcPr>
          <w:p w14:paraId="09C26CF0">
            <w:pPr>
              <w:pBdr/>
              <w:spacing w:after="0" w:before="0" w:line="240"/>
              <w:ind/>
              <w:rPr/>
            </w:pPr>
            <w:r>
              <w:rPr>
                <w:rFonts w:ascii="Times New Roman" w:hAnsi="Times New Roman" w:eastAsia="Times New Roman" w:cs="Times New Roman"/>
                <w:color w:val="000000"/>
                <w:sz w:val="24"/>
              </w:rPr>
              <w:t xml:space="preserve">Null-propagate in v1. Deribit adapter in v1.1.</w:t>
            </w:r>
            <w:r/>
          </w:p>
        </w:tc>
      </w:tr>
      <w:tr>
        <w:trPr/>
        <w:tc>
          <w:tcPr>
            <w:tcBorders/>
            <w:tcMar>
              <w:left w:w="15" w:type="dxa"/>
              <w:top w:w="15" w:type="dxa"/>
              <w:right w:w="15" w:type="dxa"/>
              <w:bottom w:w="15" w:type="dxa"/>
            </w:tcMar>
            <w:tcW w:w="1584" w:type="dxa"/>
            <w:vAlign w:val="center"/>
          </w:tcPr>
          <w:p w14:paraId="699E8829">
            <w:pPr>
              <w:pBdr/>
              <w:spacing w:after="0" w:before="0" w:line="240"/>
              <w:ind/>
              <w:rPr/>
            </w:pPr>
            <w:r>
              <w:rPr>
                <w:rFonts w:ascii="Times New Roman" w:hAnsi="Times New Roman" w:eastAsia="Times New Roman" w:cs="Times New Roman"/>
                <w:color w:val="000000"/>
                <w:sz w:val="24"/>
              </w:rPr>
              <w:t xml:space="preserve">Gap: market cap</w:t>
            </w:r>
            <w:r/>
          </w:p>
        </w:tc>
        <w:tc>
          <w:tcPr>
            <w:tcBorders/>
            <w:tcMar>
              <w:left w:w="15" w:type="dxa"/>
              <w:top w:w="15" w:type="dxa"/>
              <w:right w:w="15" w:type="dxa"/>
              <w:bottom w:w="15" w:type="dxa"/>
            </w:tcMar>
            <w:tcW w:w="7771" w:type="dxa"/>
            <w:vAlign w:val="center"/>
          </w:tcPr>
          <w:p w14:paraId="4AB63338">
            <w:pPr>
              <w:pBdr/>
              <w:spacing w:after="0" w:before="0" w:line="240"/>
              <w:ind/>
              <w:rPr/>
            </w:pPr>
            <w:r>
              <w:rPr>
                <w:rFonts w:ascii="Times New Roman" w:hAnsi="Times New Roman" w:eastAsia="Times New Roman" w:cs="Times New Roman"/>
                <w:color w:val="000000"/>
                <w:sz w:val="24"/>
              </w:rPr>
              <w:t xml:space="preserve">CoinPaprika added as source.</w:t>
            </w:r>
            <w:r/>
          </w:p>
        </w:tc>
      </w:tr>
      <w:tr>
        <w:trPr/>
        <w:tc>
          <w:tcPr>
            <w:tcBorders/>
            <w:tcMar>
              <w:left w:w="15" w:type="dxa"/>
              <w:top w:w="15" w:type="dxa"/>
              <w:right w:w="15" w:type="dxa"/>
              <w:bottom w:w="15" w:type="dxa"/>
            </w:tcMar>
            <w:tcW w:w="1584" w:type="dxa"/>
            <w:vAlign w:val="center"/>
          </w:tcPr>
          <w:p w14:paraId="462A5B93">
            <w:pPr>
              <w:pBdr/>
              <w:spacing w:after="0" w:before="0" w:line="240"/>
              <w:ind/>
              <w:rPr/>
            </w:pPr>
            <w:r>
              <w:rPr>
                <w:rFonts w:ascii="Times New Roman" w:hAnsi="Times New Roman" w:eastAsia="Times New Roman" w:cs="Times New Roman"/>
                <w:color w:val="000000"/>
                <w:sz w:val="24"/>
              </w:rPr>
              <w:t xml:space="preserve">Gap: perpetual price</w:t>
            </w:r>
            <w:r/>
          </w:p>
        </w:tc>
        <w:tc>
          <w:tcPr>
            <w:tcBorders/>
            <w:tcMar>
              <w:left w:w="15" w:type="dxa"/>
              <w:top w:w="15" w:type="dxa"/>
              <w:right w:w="15" w:type="dxa"/>
              <w:bottom w:w="15" w:type="dxa"/>
            </w:tcMar>
            <w:tcW w:w="7771" w:type="dxa"/>
            <w:vAlign w:val="center"/>
          </w:tcPr>
          <w:p w14:paraId="25483D5A">
            <w:pPr>
              <w:pBdr/>
              <w:spacing w:after="0" w:before="0" w:line="240"/>
              <w:ind/>
              <w:rPr/>
            </w:pPr>
            <w:r>
              <w:rPr>
                <w:rFonts w:ascii="Times New Roman" w:hAnsi="Times New Roman" w:eastAsia="Times New Roman" w:cs="Times New Roman"/>
                <w:color w:val="000000"/>
                <w:sz w:val="24"/>
              </w:rPr>
              <w:t xml:space="preserve">Verify Coinalyze. Binance fallback if absent.</w:t>
            </w:r>
            <w:r/>
          </w:p>
        </w:tc>
      </w:tr>
      <w:tr>
        <w:trPr/>
        <w:tc>
          <w:tcPr>
            <w:tcBorders/>
            <w:tcMar>
              <w:left w:w="15" w:type="dxa"/>
              <w:top w:w="15" w:type="dxa"/>
              <w:right w:w="15" w:type="dxa"/>
              <w:bottom w:w="15" w:type="dxa"/>
            </w:tcMar>
            <w:tcW w:w="1584" w:type="dxa"/>
            <w:vAlign w:val="center"/>
          </w:tcPr>
          <w:p w14:paraId="203425AD">
            <w:pPr>
              <w:pBdr/>
              <w:spacing w:after="0" w:before="0" w:line="240"/>
              <w:ind/>
              <w:rPr/>
            </w:pPr>
            <w:r>
              <w:rPr>
                <w:rFonts w:ascii="Times New Roman" w:hAnsi="Times New Roman" w:eastAsia="Times New Roman" w:cs="Times New Roman"/>
                <w:color w:val="000000"/>
                <w:sz w:val="24"/>
              </w:rPr>
              <w:t xml:space="preserve">Collection failure model</w:t>
            </w:r>
            <w:r/>
          </w:p>
        </w:tc>
        <w:tc>
          <w:tcPr>
            <w:tcBorders/>
            <w:tcMar>
              <w:left w:w="15" w:type="dxa"/>
              <w:top w:w="15" w:type="dxa"/>
              <w:right w:w="15" w:type="dxa"/>
              <w:bottom w:w="15" w:type="dxa"/>
            </w:tcMar>
            <w:tcW w:w="7771" w:type="dxa"/>
            <w:vAlign w:val="center"/>
          </w:tcPr>
          <w:p w14:paraId="2B05F24F">
            <w:pPr>
              <w:pBdr/>
              <w:spacing w:after="0" w:before="0" w:line="240"/>
              <w:ind/>
              <w:rPr/>
            </w:pPr>
            <w:r>
              <w:rPr>
                <w:rFonts w:ascii="Times New Roman" w:hAnsi="Times New Roman" w:eastAsia="Times New Roman" w:cs="Times New Roman"/>
                <w:color w:val="000000"/>
                <w:sz w:val="24"/>
              </w:rPr>
              <w:t xml:space="preserve">Per-source retry policy. Circuit breaker at 3 consecutive failures. Staleness propagates honestly to signal output.</w:t>
            </w:r>
            <w:r/>
          </w:p>
        </w:tc>
      </w:tr>
    </w:tbl>
    <w:p w14:paraId="1DBD05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design is now complete from Layer 7 down to Layer 0. Every layer has a locked specification and a defined contract to the layers above and below it. Thread 6 takes the complete design and produces the build sequence, phase gates, migration execution pl</w:t>
      </w:r>
      <w:r>
        <w:rPr>
          <w:rFonts w:ascii="Times New Roman" w:hAnsi="Times New Roman" w:eastAsia="Times New Roman" w:cs="Times New Roman"/>
          <w:color w:val="000000"/>
          <w:sz w:val="24"/>
        </w:rPr>
        <w:t xml:space="preserve">an, parallel operation plan, and risk register.</w:t>
      </w:r>
      <w:r/>
    </w:p>
    <w:p w14:paraId="60C6E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Ready to proceed to Thread 6?</w:t>
      </w:r>
      <w:r/>
    </w:p>
    <w:p w14:paraId="23D224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Proceed</w:t>
      </w:r>
      <w:r/>
    </w:p>
    <w:p w14:paraId="6CB98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12:21 PM</w:t>
      </w:r>
      <w:r/>
    </w:p>
    <w:p w14:paraId="6B20DA48">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Synthesized outputs into comprehensive implementation roadmap</w:t>
      </w:r>
      <w:r/>
    </w:p>
    <w:p w14:paraId="4E4557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Synthesized outputs into comprehensive implementation roadmap</w:t>
      </w:r>
      <w:r/>
    </w:p>
    <w:p w14:paraId="3D6FF43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Thread 6: Integration &amp; Build Plan</w:t>
      </w:r>
      <w:r/>
    </w:p>
    <w:p w14:paraId="774DC70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This Thread Produces</w:t>
      </w:r>
      <w:r/>
    </w:p>
    <w:p w14:paraId="0D655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design is complete. Every layer has a locked specification. Thread 6 answers one question: </w:t>
      </w:r>
      <w:r>
        <w:rPr>
          <w:rFonts w:ascii="Times New Roman" w:hAnsi="Times New Roman" w:eastAsia="Times New Roman" w:cs="Times New Roman"/>
          <w:b/>
          <w:color w:val="000000"/>
          <w:sz w:val="24"/>
        </w:rPr>
        <w:t xml:space="preserve">in what order does this get built, and how do we know each piece is working before building the next?</w:t>
      </w:r>
      <w:r/>
    </w:p>
    <w:p w14:paraId="16CD7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Deliverables:</w:t>
      </w:r>
      <w:r/>
    </w:p>
    <w:p w14:paraId="14F5B31E">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sequence with explicit rationale for ordering</w:t>
      </w:r>
      <w:r/>
    </w:p>
    <w:p w14:paraId="4FFADD74">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Phase definitions with hard pass/fail gates</w:t>
      </w:r>
      <w:r/>
    </w:p>
    <w:p w14:paraId="125BBC79">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Migration execution plan</w:t>
      </w:r>
      <w:r/>
    </w:p>
    <w:p w14:paraId="2A9064EE">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Parallel operation plan (existing system while new builds)</w:t>
      </w:r>
      <w:r/>
    </w:p>
    <w:p w14:paraId="4F9BA2EE">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Timeline estimates</w:t>
      </w:r>
      <w:r/>
    </w:p>
    <w:p w14:paraId="4FE76855">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 register</w:t>
      </w:r>
      <w:r/>
    </w:p>
    <w:p w14:paraId="7C57B0F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Governing Constraints on the Build Sequence</w:t>
      </w:r>
      <w:r/>
    </w:p>
    <w:p w14:paraId="00C20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Three constraints shape everything:</w:t>
      </w:r>
      <w:r/>
    </w:p>
    <w:p w14:paraId="092E08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Constraint 1: The schema is the foundation.</w:t>
      </w:r>
      <w:r>
        <w:rPr>
          <w:rFonts w:ascii="Times New Roman" w:hAnsi="Times New Roman" w:eastAsia="Times New Roman" w:cs="Times New Roman"/>
          <w:color w:val="000000"/>
          <w:sz w:val="24"/>
        </w:rPr>
        <w:t xml:space="preserve"> Nothing gets built until the canonical schema exists and is verified. Not the adapters. Not the feature layer. Not the signal layer. The schema is the contract every other component is built against. Building anything before the schema is locked is buildi</w:t>
      </w:r>
      <w:r>
        <w:rPr>
          <w:rFonts w:ascii="Times New Roman" w:hAnsi="Times New Roman" w:eastAsia="Times New Roman" w:cs="Times New Roman"/>
          <w:color w:val="000000"/>
          <w:sz w:val="24"/>
        </w:rPr>
        <w:t xml:space="preserve">ng against a moving target — exactly what this design was created to prevent.</w:t>
      </w:r>
      <w:r/>
    </w:p>
    <w:p w14:paraId="1DE497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Constraint 2: Data flows bottom-up, but builds gate top-down.</w:t>
      </w:r>
      <w:r>
        <w:rPr>
          <w:rFonts w:ascii="Times New Roman" w:hAnsi="Times New Roman" w:eastAsia="Times New Roman" w:cs="Times New Roman"/>
          <w:color w:val="000000"/>
          <w:sz w:val="24"/>
        </w:rPr>
        <w:t xml:space="preserve"> The data flows from sources upward to signals. But the build must be validated top-down: we know what the signal layer needs, so we can verify the data layer is producing it correctly before the signal layer runs against it. Each layer's output is verifie</w:t>
      </w:r>
      <w:r>
        <w:rPr>
          <w:rFonts w:ascii="Times New Roman" w:hAnsi="Times New Roman" w:eastAsia="Times New Roman" w:cs="Times New Roman"/>
          <w:color w:val="000000"/>
          <w:sz w:val="24"/>
        </w:rPr>
        <w:t xml:space="preserve">d against what the layer above it requires.</w:t>
      </w:r>
      <w:r/>
    </w:p>
    <w:p w14:paraId="3B263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Constraint 3: One operator.</w:t>
      </w:r>
      <w:r>
        <w:rPr>
          <w:rFonts w:ascii="Times New Roman" w:hAnsi="Times New Roman" w:eastAsia="Times New Roman" w:cs="Times New Roman"/>
          <w:color w:val="000000"/>
          <w:sz w:val="24"/>
        </w:rPr>
        <w:t xml:space="preserve"> No phase should require parallel workstreams that can't be context-switched by a single person. Each phase is a sequential build, not a concurrent one. The sequencing accounts for this.</w:t>
      </w:r>
      <w:r/>
    </w:p>
    <w:p w14:paraId="53EC49E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Build Sequence Overview</w:t>
      </w:r>
      <w:r/>
    </w:p>
    <w:p w14:paraId="0D1C27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0: Foundation</w:t>
      </w:r>
      <w:r/>
    </w:p>
    <w:p w14:paraId="37394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Canonical database provisioned</w:t>
      </w:r>
      <w:r/>
    </w:p>
    <w:p w14:paraId="5A20B2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Schema DDL applied</w:t>
      </w:r>
      <w:r/>
    </w:p>
    <w:p w14:paraId="1CFCF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Metric catalog seeded</w:t>
      </w:r>
      <w:r/>
    </w:p>
    <w:p w14:paraId="22A61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Instrument catalog seeded (initial universe)</w:t>
      </w:r>
      <w:r/>
    </w:p>
    <w:p w14:paraId="1C737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Sources catalog seeded</w:t>
      </w:r>
      <w:r/>
    </w:p>
    <w:p w14:paraId="2E6AD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D539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1: Data Ingestion</w:t>
      </w:r>
      <w:r/>
    </w:p>
    <w:p w14:paraId="0BC99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Landing zone tables created</w:t>
      </w:r>
      <w:r/>
    </w:p>
    <w:p w14:paraId="229D8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Migration adapters run (historical data)</w:t>
      </w:r>
      <w:r/>
    </w:p>
    <w:p w14:paraId="450BD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Production collection agents deployed</w:t>
      </w:r>
      <w:r/>
    </w:p>
    <w:p w14:paraId="12635E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Production adapters deployed</w:t>
      </w:r>
      <w:r/>
    </w:p>
    <w:p w14:paraId="0E2FC1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Coverage verified against metric catalog requirements</w:t>
      </w:r>
      <w:r/>
    </w:p>
    <w:p w14:paraId="15D42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A06E9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2: Feature Engineering</w:t>
      </w:r>
      <w:r/>
    </w:p>
    <w:p w14:paraId="2AE6D3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Feature computation layer built</w:t>
      </w:r>
      <w:r/>
    </w:p>
    <w:p w14:paraId="1C4DE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Feature catalog populated</w:t>
      </w:r>
      <w:r/>
    </w:p>
    <w:p w14:paraId="2A2A5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Feature values verified (spot-check against hand calculations)</w:t>
      </w:r>
      <w:r/>
    </w:p>
    <w:p w14:paraId="143089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PIT constraint verification (no look-ahead)</w:t>
      </w:r>
      <w:r/>
    </w:p>
    <w:p w14:paraId="2E6B5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B888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3: Signal Generation — EDSx</w:t>
      </w:r>
      <w:r/>
    </w:p>
    <w:p w14:paraId="5AA92B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EDSx pillar scoring built</w:t>
      </w:r>
      <w:r/>
    </w:p>
    <w:p w14:paraId="282B0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EDSx composite scoring built</w:t>
      </w:r>
      <w:r/>
    </w:p>
    <w:p w14:paraId="29EB4A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Regime classifier built</w:t>
      </w:r>
      <w:r/>
    </w:p>
    <w:p w14:paraId="26C51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EDSx backtested against historical feature data</w:t>
      </w:r>
      <w:r/>
    </w:p>
    <w:p w14:paraId="6810ED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Calibration verified</w:t>
      </w:r>
      <w:r/>
    </w:p>
    <w:p w14:paraId="3D1994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0B2B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4: Signal Generation — ML</w:t>
      </w:r>
      <w:r/>
    </w:p>
    <w:p w14:paraId="6DA8AC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Domain model training infrastructure built</w:t>
      </w:r>
      <w:r/>
    </w:p>
    <w:p w14:paraId="52842A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Walk-forward training executed for all five models</w:t>
      </w:r>
      <w:r/>
    </w:p>
    <w:p w14:paraId="31501D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Graduation criteria evaluated</w:t>
      </w:r>
      <w:r/>
    </w:p>
    <w:p w14:paraId="070D2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Shadow mode deployment</w:t>
      </w:r>
      <w:r/>
    </w:p>
    <w:p w14:paraId="36C25F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A1EF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5: Signal Synthesis and Serving</w:t>
      </w:r>
      <w:r/>
    </w:p>
    <w:p w14:paraId="791EC6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Synthesis layer built</w:t>
      </w:r>
      <w:r/>
    </w:p>
    <w:p w14:paraId="04C4A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Output schema verified against Layer 6 contract</w:t>
      </w:r>
      <w:r/>
    </w:p>
    <w:p w14:paraId="6B6536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API serving layer built</w:t>
      </w:r>
      <w:r/>
    </w:p>
    <w:p w14:paraId="02C244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Delivery mechanisms (webhook, Telegram) built</w:t>
      </w:r>
      <w:r/>
    </w:p>
    <w:p w14:paraId="08A70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1298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6: Productization</w:t>
      </w:r>
      <w:r/>
    </w:p>
    <w:p w14:paraId="09BEF7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Authentication and tier enforcement</w:t>
      </w:r>
      <w:r/>
    </w:p>
    <w:p w14:paraId="32314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Redistribution restriction enforcement</w:t>
      </w:r>
      <w:r/>
    </w:p>
    <w:p w14:paraId="21C96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Health monitoring dashboards</w:t>
      </w:r>
      <w:r/>
    </w:p>
    <w:p w14:paraId="21606D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Documentation (methodology, metric catalog)</w:t>
      </w:r>
      <w:r/>
    </w:p>
    <w:p w14:paraId="1F0CC2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First customer delivery</w:t>
      </w:r>
      <w:r/>
    </w:p>
    <w:p w14:paraId="6FD6B6A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0: Foundation</w:t>
      </w:r>
      <w:r/>
    </w:p>
    <w:p w14:paraId="0F2478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gets built:</w:t>
      </w:r>
      <w:r>
        <w:rPr>
          <w:rFonts w:ascii="Times New Roman" w:hAnsi="Times New Roman" w:eastAsia="Times New Roman" w:cs="Times New Roman"/>
          <w:color w:val="000000"/>
          <w:sz w:val="24"/>
        </w:rPr>
        <w:t xml:space="preserve"> The canonical database. Nothing else.</w:t>
      </w:r>
      <w:r/>
    </w:p>
    <w:p w14:paraId="2D88C2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Sequence:</w:t>
      </w:r>
      <w:r/>
    </w:p>
    <w:p w14:paraId="31FC7526">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Provision PostgreSQL 16 + TimescaleDB on target infrastructure. Verify TimescaleDB extension loads. Verify version compatibility.</w:t>
      </w:r>
      <w:r/>
    </w:p>
    <w:p w14:paraId="04CC7731">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Apply schema DDL in dependency order:</w:t>
      </w:r>
      <w:r/>
    </w:p>
    <w:p w14:paraId="1A616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sources → instruments → metrics →</w:t>
      </w:r>
      <w:r/>
    </w:p>
    <w:p w14:paraId="0D24CC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observations (hypertable) → observations_rejected →</w:t>
      </w:r>
      <w:r/>
    </w:p>
    <w:p w14:paraId="5CDF6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collection_events → instrument_metric_coverage</w:t>
      </w:r>
      <w:r/>
    </w:p>
    <w:p w14:paraId="007E2DA3">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indexes exactly as specified in Thread 4 DDL. Verify each index is used by its target query pattern using </w:t>
      </w:r>
      <w:r>
        <w:rPr>
          <w:rFonts w:ascii="Courier New" w:hAnsi="Courier New" w:eastAsia="Courier New" w:cs="Courier New"/>
          <w:color w:val="000000"/>
          <w:sz w:val="20"/>
        </w:rPr>
        <w:t xml:space="preserve">EXPLAIN ANALYZE</w:t>
      </w:r>
      <w:r>
        <w:rPr>
          <w:rFonts w:ascii="Times New Roman" w:hAnsi="Times New Roman" w:eastAsia="Times New Roman" w:cs="Times New Roman"/>
          <w:color w:val="000000"/>
          <w:sz w:val="24"/>
        </w:rPr>
        <w:t xml:space="preserve">.</w:t>
      </w:r>
      <w:r/>
    </w:p>
    <w:p w14:paraId="6DB65D62">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Seed the metric catalog. Every metric concept from Thread 3's data requirements list gets a row in </w:t>
      </w:r>
      <w:r>
        <w:rPr>
          <w:rFonts w:ascii="Courier New" w:hAnsi="Courier New" w:eastAsia="Courier New" w:cs="Courier New"/>
          <w:color w:val="000000"/>
          <w:sz w:val="20"/>
        </w:rPr>
        <w:t xml:space="preserve">metrics</w:t>
      </w:r>
      <w:r>
        <w:rPr>
          <w:rFonts w:ascii="Times New Roman" w:hAnsi="Times New Roman" w:eastAsia="Times New Roman" w:cs="Times New Roman"/>
          <w:color w:val="000000"/>
          <w:sz w:val="24"/>
        </w:rPr>
        <w:t xml:space="preserve"> with its canonical name, cadence, expected range, and validation rules. This is not a code task — it is a data entry task that takes priority over all code.</w:t>
      </w:r>
      <w:r/>
    </w:p>
    <w:p w14:paraId="020ADDDF">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Seed the sources catalog. All sources identified in Thread 5 registered with ToS status and redistribution flags.</w:t>
      </w:r>
      <w:r/>
    </w:p>
    <w:p w14:paraId="0A0C50CB">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Seed the initial instrument universe. BTC, ETH, SOL, and the full Coinalyze instrument list (121 instruments) registered in </w:t>
      </w:r>
      <w:r>
        <w:rPr>
          <w:rFonts w:ascii="Courier New" w:hAnsi="Courier New" w:eastAsia="Courier New" w:cs="Courier New"/>
          <w:color w:val="000000"/>
          <w:sz w:val="20"/>
        </w:rPr>
        <w:t xml:space="preserve">instruments</w:t>
      </w:r>
      <w:r>
        <w:rPr>
          <w:rFonts w:ascii="Times New Roman" w:hAnsi="Times New Roman" w:eastAsia="Times New Roman" w:cs="Times New Roman"/>
          <w:color w:val="000000"/>
          <w:sz w:val="24"/>
        </w:rPr>
        <w:t xml:space="preserve"> at </w:t>
      </w:r>
      <w:r>
        <w:rPr>
          <w:rFonts w:ascii="Courier New" w:hAnsi="Courier New" w:eastAsia="Courier New" w:cs="Courier New"/>
          <w:color w:val="000000"/>
          <w:sz w:val="20"/>
        </w:rPr>
        <w:t xml:space="preserve">collection_tier = 'collection'</w:t>
      </w:r>
      <w:r>
        <w:rPr>
          <w:rFonts w:ascii="Times New Roman" w:hAnsi="Times New Roman" w:eastAsia="Times New Roman" w:cs="Times New Roman"/>
          <w:color w:val="000000"/>
          <w:sz w:val="24"/>
        </w:rPr>
        <w:t xml:space="preserve">.</w:t>
      </w:r>
      <w:r/>
    </w:p>
    <w:p w14:paraId="0AA13205">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Provision DuckDB analytical layer. Verify it can query the PostgreSQL observations table via foreign data wrapper or Parquet export pipeline.</w:t>
      </w:r>
      <w:r/>
    </w:p>
    <w:p w14:paraId="7728F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0 gate — hard pass/fail: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26"/>
        <w:gridCol w:w="7729"/>
      </w:tblGrid>
      <w:tr>
        <w:trPr/>
        <w:tc>
          <w:tcPr>
            <w:tcBorders/>
            <w:tcMar>
              <w:left w:w="15" w:type="dxa"/>
              <w:top w:w="15" w:type="dxa"/>
              <w:right w:w="15" w:type="dxa"/>
              <w:bottom w:w="15" w:type="dxa"/>
            </w:tcMar>
            <w:tcW w:w="1626" w:type="dxa"/>
            <w:vAlign w:val="center"/>
          </w:tcPr>
          <w:p w14:paraId="31817429">
            <w:pPr>
              <w:pBdr/>
              <w:spacing w:after="0" w:before="0" w:line="240"/>
              <w:ind/>
              <w:jc w:val="center"/>
              <w:rPr/>
            </w:pPr>
            <w:r>
              <w:rPr>
                <w:rFonts w:ascii="Times New Roman" w:hAnsi="Times New Roman" w:eastAsia="Times New Roman" w:cs="Times New Roman"/>
                <w:b/>
                <w:color w:val="000000"/>
                <w:sz w:val="24"/>
              </w:rPr>
              <w:t xml:space="preserve">Criterion</w:t>
            </w:r>
            <w:r/>
          </w:p>
        </w:tc>
        <w:tc>
          <w:tcPr>
            <w:tcBorders/>
            <w:tcMar>
              <w:left w:w="15" w:type="dxa"/>
              <w:top w:w="15" w:type="dxa"/>
              <w:right w:w="15" w:type="dxa"/>
              <w:bottom w:w="15" w:type="dxa"/>
            </w:tcMar>
            <w:tcW w:w="7729" w:type="dxa"/>
            <w:vAlign w:val="center"/>
          </w:tcPr>
          <w:p w14:paraId="43371938">
            <w:pPr>
              <w:pBdr/>
              <w:spacing w:after="0" w:before="0" w:line="240"/>
              <w:ind/>
              <w:jc w:val="center"/>
              <w:rPr/>
            </w:pPr>
            <w:r>
              <w:rPr>
                <w:rFonts w:ascii="Times New Roman" w:hAnsi="Times New Roman" w:eastAsia="Times New Roman" w:cs="Times New Roman"/>
                <w:b/>
                <w:color w:val="000000"/>
                <w:sz w:val="24"/>
              </w:rPr>
              <w:t xml:space="preserve">Pass condition</w:t>
            </w:r>
            <w:r/>
          </w:p>
        </w:tc>
      </w:tr>
      <w:tr>
        <w:trPr/>
        <w:tc>
          <w:tcPr>
            <w:tcBorders/>
            <w:tcMar>
              <w:left w:w="15" w:type="dxa"/>
              <w:top w:w="15" w:type="dxa"/>
              <w:right w:w="15" w:type="dxa"/>
              <w:bottom w:w="15" w:type="dxa"/>
            </w:tcMar>
            <w:tcW w:w="1626" w:type="dxa"/>
            <w:vAlign w:val="center"/>
          </w:tcPr>
          <w:p w14:paraId="27239171">
            <w:pPr>
              <w:pBdr/>
              <w:spacing w:after="0" w:before="0" w:line="240"/>
              <w:ind/>
              <w:rPr/>
            </w:pPr>
            <w:r>
              <w:rPr>
                <w:rFonts w:ascii="Times New Roman" w:hAnsi="Times New Roman" w:eastAsia="Times New Roman" w:cs="Times New Roman"/>
                <w:color w:val="000000"/>
                <w:sz w:val="24"/>
              </w:rPr>
              <w:t xml:space="preserve">Schema applied</w:t>
            </w:r>
            <w:r/>
          </w:p>
        </w:tc>
        <w:tc>
          <w:tcPr>
            <w:tcBorders/>
            <w:tcMar>
              <w:left w:w="15" w:type="dxa"/>
              <w:top w:w="15" w:type="dxa"/>
              <w:right w:w="15" w:type="dxa"/>
              <w:bottom w:w="15" w:type="dxa"/>
            </w:tcMar>
            <w:tcW w:w="7729" w:type="dxa"/>
            <w:vAlign w:val="center"/>
          </w:tcPr>
          <w:p w14:paraId="32FFA3ED">
            <w:pPr>
              <w:pBdr/>
              <w:spacing w:after="0" w:before="0" w:line="240"/>
              <w:ind/>
              <w:rPr/>
            </w:pPr>
            <w:r>
              <w:rPr>
                <w:rFonts w:ascii="Times New Roman" w:hAnsi="Times New Roman" w:eastAsia="Times New Roman" w:cs="Times New Roman"/>
                <w:color w:val="000000"/>
                <w:sz w:val="24"/>
              </w:rPr>
              <w:t xml:space="preserve">All tables exist, all constraints enforced</w:t>
            </w:r>
            <w:r/>
          </w:p>
        </w:tc>
      </w:tr>
      <w:tr>
        <w:trPr/>
        <w:tc>
          <w:tcPr>
            <w:tcBorders/>
            <w:tcMar>
              <w:left w:w="15" w:type="dxa"/>
              <w:top w:w="15" w:type="dxa"/>
              <w:right w:w="15" w:type="dxa"/>
              <w:bottom w:w="15" w:type="dxa"/>
            </w:tcMar>
            <w:tcW w:w="1626" w:type="dxa"/>
            <w:vAlign w:val="center"/>
          </w:tcPr>
          <w:p w14:paraId="2ACFC97D">
            <w:pPr>
              <w:pBdr/>
              <w:spacing w:after="0" w:before="0" w:line="240"/>
              <w:ind/>
              <w:rPr/>
            </w:pPr>
            <w:r>
              <w:rPr>
                <w:rFonts w:ascii="Times New Roman" w:hAnsi="Times New Roman" w:eastAsia="Times New Roman" w:cs="Times New Roman"/>
                <w:color w:val="000000"/>
                <w:sz w:val="24"/>
              </w:rPr>
              <w:t xml:space="preserve">Hypertable</w:t>
            </w:r>
            <w:r/>
          </w:p>
        </w:tc>
        <w:tc>
          <w:tcPr>
            <w:tcBorders/>
            <w:tcMar>
              <w:left w:w="15" w:type="dxa"/>
              <w:top w:w="15" w:type="dxa"/>
              <w:right w:w="15" w:type="dxa"/>
              <w:bottom w:w="15" w:type="dxa"/>
            </w:tcMar>
            <w:tcW w:w="7729" w:type="dxa"/>
            <w:vAlign w:val="center"/>
          </w:tcPr>
          <w:p w14:paraId="41F3A0B9">
            <w:pPr>
              <w:pBdr/>
              <w:spacing w:after="0" w:before="0" w:line="240"/>
              <w:ind/>
              <w:rPr/>
            </w:pPr>
            <w:r>
              <w:rPr>
                <w:rFonts w:ascii="Times New Roman" w:hAnsi="Times New Roman" w:eastAsia="Times New Roman" w:cs="Times New Roman"/>
                <w:color w:val="000000"/>
                <w:sz w:val="24"/>
              </w:rPr>
              <w:t xml:space="preserve">TimescaleDB confirms observations is a hypertable</w:t>
            </w:r>
            <w:r/>
          </w:p>
        </w:tc>
      </w:tr>
      <w:tr>
        <w:trPr/>
        <w:tc>
          <w:tcPr>
            <w:tcBorders/>
            <w:tcMar>
              <w:left w:w="15" w:type="dxa"/>
              <w:top w:w="15" w:type="dxa"/>
              <w:right w:w="15" w:type="dxa"/>
              <w:bottom w:w="15" w:type="dxa"/>
            </w:tcMar>
            <w:tcW w:w="1626" w:type="dxa"/>
            <w:vAlign w:val="center"/>
          </w:tcPr>
          <w:p w14:paraId="33187C9D">
            <w:pPr>
              <w:pBdr/>
              <w:spacing w:after="0" w:before="0" w:line="240"/>
              <w:ind/>
              <w:rPr/>
            </w:pPr>
            <w:r>
              <w:rPr>
                <w:rFonts w:ascii="Times New Roman" w:hAnsi="Times New Roman" w:eastAsia="Times New Roman" w:cs="Times New Roman"/>
                <w:color w:val="000000"/>
                <w:sz w:val="24"/>
              </w:rPr>
              <w:t xml:space="preserve">Index verification</w:t>
            </w:r>
            <w:r/>
          </w:p>
        </w:tc>
        <w:tc>
          <w:tcPr>
            <w:tcBorders/>
            <w:tcMar>
              <w:left w:w="15" w:type="dxa"/>
              <w:top w:w="15" w:type="dxa"/>
              <w:right w:w="15" w:type="dxa"/>
              <w:bottom w:w="15" w:type="dxa"/>
            </w:tcMar>
            <w:tcW w:w="7729" w:type="dxa"/>
            <w:vAlign w:val="center"/>
          </w:tcPr>
          <w:p w14:paraId="6CD78397">
            <w:pPr>
              <w:pBdr/>
              <w:spacing w:after="0" w:before="0" w:line="240"/>
              <w:ind/>
              <w:rPr/>
            </w:pPr>
            <w:r>
              <w:rPr>
                <w:rFonts w:ascii="Times New Roman" w:hAnsi="Times New Roman" w:eastAsia="Times New Roman" w:cs="Times New Roman"/>
                <w:color w:val="000000"/>
                <w:sz w:val="24"/>
              </w:rPr>
              <w:t xml:space="preserve">EXPLAIN ANALYZE shows index scans (not seq scans) for all four query patterns from Thread 4</w:t>
            </w:r>
            <w:r/>
          </w:p>
        </w:tc>
      </w:tr>
      <w:tr>
        <w:trPr/>
        <w:tc>
          <w:tcPr>
            <w:tcBorders/>
            <w:tcMar>
              <w:left w:w="15" w:type="dxa"/>
              <w:top w:w="15" w:type="dxa"/>
              <w:right w:w="15" w:type="dxa"/>
              <w:bottom w:w="15" w:type="dxa"/>
            </w:tcMar>
            <w:tcW w:w="1626" w:type="dxa"/>
            <w:vAlign w:val="center"/>
          </w:tcPr>
          <w:p w14:paraId="19CBF4F4">
            <w:pPr>
              <w:pBdr/>
              <w:spacing w:after="0" w:before="0" w:line="240"/>
              <w:ind/>
              <w:rPr/>
            </w:pPr>
            <w:r>
              <w:rPr>
                <w:rFonts w:ascii="Times New Roman" w:hAnsi="Times New Roman" w:eastAsia="Times New Roman" w:cs="Times New Roman"/>
                <w:color w:val="000000"/>
                <w:sz w:val="24"/>
              </w:rPr>
              <w:t xml:space="preserve">Metric catalog complete</w:t>
            </w:r>
            <w:r/>
          </w:p>
        </w:tc>
        <w:tc>
          <w:tcPr>
            <w:tcBorders/>
            <w:tcMar>
              <w:left w:w="15" w:type="dxa"/>
              <w:top w:w="15" w:type="dxa"/>
              <w:right w:w="15" w:type="dxa"/>
              <w:bottom w:w="15" w:type="dxa"/>
            </w:tcMar>
            <w:tcW w:w="7729" w:type="dxa"/>
            <w:vAlign w:val="center"/>
          </w:tcPr>
          <w:p w14:paraId="6137851E">
            <w:pPr>
              <w:pBdr/>
              <w:spacing w:after="0" w:before="0" w:line="240"/>
              <w:ind/>
              <w:rPr/>
            </w:pPr>
            <w:r>
              <w:rPr>
                <w:rFonts w:ascii="Times New Roman" w:hAnsi="Times New Roman" w:eastAsia="Times New Roman" w:cs="Times New Roman"/>
                <w:color w:val="000000"/>
                <w:sz w:val="24"/>
              </w:rPr>
              <w:t xml:space="preserve">Every metric in Thread 3's requirements list has a catalog entry</w:t>
            </w:r>
            <w:r/>
          </w:p>
        </w:tc>
      </w:tr>
      <w:tr>
        <w:trPr/>
        <w:tc>
          <w:tcPr>
            <w:tcBorders/>
            <w:tcMar>
              <w:left w:w="15" w:type="dxa"/>
              <w:top w:w="15" w:type="dxa"/>
              <w:right w:w="15" w:type="dxa"/>
              <w:bottom w:w="15" w:type="dxa"/>
            </w:tcMar>
            <w:tcW w:w="1626" w:type="dxa"/>
            <w:vAlign w:val="center"/>
          </w:tcPr>
          <w:p w14:paraId="6B26488C">
            <w:pPr>
              <w:pBdr/>
              <w:spacing w:after="0" w:before="0" w:line="240"/>
              <w:ind/>
              <w:rPr/>
            </w:pPr>
            <w:r>
              <w:rPr>
                <w:rFonts w:ascii="Times New Roman" w:hAnsi="Times New Roman" w:eastAsia="Times New Roman" w:cs="Times New Roman"/>
                <w:color w:val="000000"/>
                <w:sz w:val="24"/>
              </w:rPr>
              <w:t xml:space="preserve">PIT query</w:t>
            </w:r>
            <w:r/>
          </w:p>
        </w:tc>
        <w:tc>
          <w:tcPr>
            <w:tcBorders/>
            <w:tcMar>
              <w:left w:w="15" w:type="dxa"/>
              <w:top w:w="15" w:type="dxa"/>
              <w:right w:w="15" w:type="dxa"/>
              <w:bottom w:w="15" w:type="dxa"/>
            </w:tcMar>
            <w:tcW w:w="7729" w:type="dxa"/>
            <w:vAlign w:val="center"/>
          </w:tcPr>
          <w:p w14:paraId="44B7A181">
            <w:pPr>
              <w:pBdr/>
              <w:spacing w:after="0" w:before="0" w:line="240"/>
              <w:ind/>
              <w:rPr/>
            </w:pPr>
            <w:r>
              <w:rPr>
                <w:rFonts w:ascii="Times New Roman" w:hAnsi="Times New Roman" w:eastAsia="Times New Roman" w:cs="Times New Roman"/>
                <w:color w:val="000000"/>
                <w:sz w:val="24"/>
              </w:rPr>
              <w:t xml:space="preserve">The PIT query from Thread 4 executes correctly against a manually inserted test observation with a known revision</w:t>
            </w:r>
            <w:r/>
          </w:p>
        </w:tc>
      </w:tr>
      <w:tr>
        <w:trPr/>
        <w:tc>
          <w:tcPr>
            <w:tcBorders/>
            <w:tcMar>
              <w:left w:w="15" w:type="dxa"/>
              <w:top w:w="15" w:type="dxa"/>
              <w:right w:w="15" w:type="dxa"/>
              <w:bottom w:w="15" w:type="dxa"/>
            </w:tcMar>
            <w:tcW w:w="1626" w:type="dxa"/>
            <w:vAlign w:val="center"/>
          </w:tcPr>
          <w:p w14:paraId="68D7A636">
            <w:pPr>
              <w:pBdr/>
              <w:spacing w:after="0" w:before="0" w:line="240"/>
              <w:ind/>
              <w:rPr/>
            </w:pPr>
            <w:r>
              <w:rPr>
                <w:rFonts w:ascii="Times New Roman" w:hAnsi="Times New Roman" w:eastAsia="Times New Roman" w:cs="Times New Roman"/>
                <w:color w:val="000000"/>
                <w:sz w:val="24"/>
              </w:rPr>
              <w:t xml:space="preserve">Redistribution flags</w:t>
            </w:r>
            <w:r/>
          </w:p>
        </w:tc>
        <w:tc>
          <w:tcPr>
            <w:tcBorders/>
            <w:tcMar>
              <w:left w:w="15" w:type="dxa"/>
              <w:top w:w="15" w:type="dxa"/>
              <w:right w:w="15" w:type="dxa"/>
              <w:bottom w:w="15" w:type="dxa"/>
            </w:tcMar>
            <w:tcW w:w="7729" w:type="dxa"/>
            <w:vAlign w:val="center"/>
          </w:tcPr>
          <w:p w14:paraId="39594DF7">
            <w:pPr>
              <w:pBdr/>
              <w:spacing w:after="0" w:before="0" w:line="240"/>
              <w:ind/>
              <w:rPr/>
            </w:pPr>
            <w:r>
              <w:rPr>
                <w:rFonts w:ascii="Times New Roman" w:hAnsi="Times New Roman" w:eastAsia="Times New Roman" w:cs="Times New Roman"/>
                <w:color w:val="000000"/>
                <w:sz w:val="24"/>
              </w:rPr>
              <w:t xml:space="preserve">SoSoValue and CoinMetrics source entries have </w:t>
            </w:r>
            <w:r>
              <w:rPr>
                <w:rFonts w:ascii="Courier New" w:hAnsi="Courier New" w:eastAsia="Courier New" w:cs="Courier New"/>
                <w:color w:val="000000"/>
                <w:sz w:val="20"/>
              </w:rPr>
              <w:t xml:space="preserve">redistribution = false</w:t>
            </w:r>
            <w:r/>
          </w:p>
        </w:tc>
      </w:tr>
    </w:tbl>
    <w:p w14:paraId="4FA6C4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0 does not end until every gate passes.</w:t>
      </w:r>
      <w:r>
        <w:rPr>
          <w:rFonts w:ascii="Times New Roman" w:hAnsi="Times New Roman" w:eastAsia="Times New Roman" w:cs="Times New Roman"/>
          <w:color w:val="000000"/>
          <w:sz w:val="24"/>
        </w:rPr>
        <w:t xml:space="preserve"> If any gate fails, fix the schema. Do not proceed to Phase 1 with a schema defect.</w:t>
      </w:r>
      <w:r/>
    </w:p>
    <w:p w14:paraId="541EA84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1: Data Ingestion</w:t>
      </w:r>
      <w:r/>
    </w:p>
    <w:p w14:paraId="100099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gets built:</w:t>
      </w:r>
      <w:r>
        <w:rPr>
          <w:rFonts w:ascii="Times New Roman" w:hAnsi="Times New Roman" w:eastAsia="Times New Roman" w:cs="Times New Roman"/>
          <w:color w:val="000000"/>
          <w:sz w:val="24"/>
        </w:rPr>
        <w:t xml:space="preserve"> All collection agents, all adapters, migration execution.</w:t>
      </w:r>
      <w:r/>
    </w:p>
    <w:p w14:paraId="783AB4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Sequence:</w:t>
      </w:r>
      <w:r/>
    </w:p>
    <w:p w14:paraId="1B438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1.1: Migration adapters (before live collection starts)</w:t>
      </w:r>
      <w:r/>
    </w:p>
    <w:p w14:paraId="13DEC2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 migration adapters in this order, based on data volume and dependency: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35"/>
        <w:gridCol w:w="896"/>
        <w:gridCol w:w="1086"/>
        <w:gridCol w:w="733"/>
        <w:gridCol w:w="5205"/>
      </w:tblGrid>
      <w:tr>
        <w:trPr/>
        <w:tc>
          <w:tcPr>
            <w:tcBorders/>
            <w:tcMar>
              <w:left w:w="15" w:type="dxa"/>
              <w:top w:w="15" w:type="dxa"/>
              <w:right w:w="15" w:type="dxa"/>
              <w:bottom w:w="15" w:type="dxa"/>
            </w:tcMar>
            <w:tcW w:w="1435" w:type="dxa"/>
            <w:vAlign w:val="center"/>
          </w:tcPr>
          <w:p w14:paraId="031A6A1C">
            <w:pPr>
              <w:pBdr/>
              <w:spacing w:after="0" w:before="0" w:line="240"/>
              <w:ind/>
              <w:jc w:val="center"/>
              <w:rPr/>
            </w:pPr>
            <w:r>
              <w:rPr>
                <w:rFonts w:ascii="Times New Roman" w:hAnsi="Times New Roman" w:eastAsia="Times New Roman" w:cs="Times New Roman"/>
                <w:b/>
                <w:color w:val="000000"/>
                <w:sz w:val="24"/>
              </w:rPr>
              <w:t xml:space="preserve">Migration</w:t>
            </w:r>
            <w:r/>
          </w:p>
        </w:tc>
        <w:tc>
          <w:tcPr>
            <w:tcBorders/>
            <w:tcMar>
              <w:left w:w="15" w:type="dxa"/>
              <w:top w:w="15" w:type="dxa"/>
              <w:right w:w="15" w:type="dxa"/>
              <w:bottom w:w="15" w:type="dxa"/>
            </w:tcMar>
            <w:tcW w:w="896" w:type="dxa"/>
            <w:vAlign w:val="center"/>
          </w:tcPr>
          <w:p w14:paraId="1004EB51">
            <w:pPr>
              <w:pBdr/>
              <w:spacing w:after="0" w:before="0" w:line="240"/>
              <w:ind/>
              <w:jc w:val="center"/>
              <w:rPr/>
            </w:pPr>
            <w:r>
              <w:rPr>
                <w:rFonts w:ascii="Times New Roman" w:hAnsi="Times New Roman" w:eastAsia="Times New Roman" w:cs="Times New Roman"/>
                <w:b/>
                <w:color w:val="000000"/>
                <w:sz w:val="24"/>
              </w:rPr>
              <w:t xml:space="preserve">Source</w:t>
            </w:r>
            <w:r/>
          </w:p>
        </w:tc>
        <w:tc>
          <w:tcPr>
            <w:tcBorders/>
            <w:tcMar>
              <w:left w:w="15" w:type="dxa"/>
              <w:top w:w="15" w:type="dxa"/>
              <w:right w:w="15" w:type="dxa"/>
              <w:bottom w:w="15" w:type="dxa"/>
            </w:tcMar>
            <w:tcW w:w="1086" w:type="dxa"/>
            <w:vAlign w:val="center"/>
          </w:tcPr>
          <w:p w14:paraId="2B3525C3">
            <w:pPr>
              <w:pBdr/>
              <w:spacing w:after="0" w:before="0" w:line="240"/>
              <w:ind/>
              <w:jc w:val="center"/>
              <w:rPr/>
            </w:pPr>
            <w:r>
              <w:rPr>
                <w:rFonts w:ascii="Times New Roman" w:hAnsi="Times New Roman" w:eastAsia="Times New Roman" w:cs="Times New Roman"/>
                <w:b/>
                <w:color w:val="000000"/>
                <w:sz w:val="24"/>
              </w:rPr>
              <w:t xml:space="preserve">Estimated rows</w:t>
            </w:r>
            <w:r/>
          </w:p>
        </w:tc>
        <w:tc>
          <w:tcPr>
            <w:tcBorders/>
            <w:tcMar>
              <w:left w:w="15" w:type="dxa"/>
              <w:top w:w="15" w:type="dxa"/>
              <w:right w:w="15" w:type="dxa"/>
              <w:bottom w:w="15" w:type="dxa"/>
            </w:tcMar>
            <w:tcW w:w="733" w:type="dxa"/>
            <w:vAlign w:val="center"/>
          </w:tcPr>
          <w:p w14:paraId="745C0C99">
            <w:pPr>
              <w:pBdr/>
              <w:spacing w:after="0" w:before="0" w:line="240"/>
              <w:ind/>
              <w:jc w:val="center"/>
              <w:rPr/>
            </w:pPr>
            <w:r>
              <w:rPr>
                <w:rFonts w:ascii="Times New Roman" w:hAnsi="Times New Roman" w:eastAsia="Times New Roman" w:cs="Times New Roman"/>
                <w:b/>
                <w:color w:val="000000"/>
                <w:sz w:val="24"/>
              </w:rPr>
              <w:t xml:space="preserve">Run order</w:t>
            </w:r>
            <w:r/>
          </w:p>
        </w:tc>
        <w:tc>
          <w:tcPr>
            <w:tcBorders/>
            <w:tcMar>
              <w:left w:w="15" w:type="dxa"/>
              <w:top w:w="15" w:type="dxa"/>
              <w:right w:w="15" w:type="dxa"/>
              <w:bottom w:w="15" w:type="dxa"/>
            </w:tcMar>
            <w:tcW w:w="5205" w:type="dxa"/>
            <w:vAlign w:val="center"/>
          </w:tcPr>
          <w:p w14:paraId="097371C5">
            <w:pPr>
              <w:pBdr/>
              <w:spacing w:after="0" w:before="0" w:line="240"/>
              <w:ind/>
              <w:jc w:val="center"/>
              <w:rPr/>
            </w:pPr>
            <w:r>
              <w:rPr>
                <w:rFonts w:ascii="Times New Roman" w:hAnsi="Times New Roman" w:eastAsia="Times New Roman" w:cs="Times New Roman"/>
                <w:b/>
                <w:color w:val="000000"/>
                <w:sz w:val="24"/>
              </w:rPr>
              <w:t xml:space="preserve">Reason</w:t>
            </w:r>
            <w:r/>
          </w:p>
        </w:tc>
      </w:tr>
      <w:tr>
        <w:trPr/>
        <w:tc>
          <w:tcPr>
            <w:tcBorders/>
            <w:tcMar>
              <w:left w:w="15" w:type="dxa"/>
              <w:top w:w="15" w:type="dxa"/>
              <w:right w:w="15" w:type="dxa"/>
              <w:bottom w:w="15" w:type="dxa"/>
            </w:tcMar>
            <w:tcW w:w="1435" w:type="dxa"/>
            <w:vAlign w:val="center"/>
          </w:tcPr>
          <w:p w14:paraId="3A7985A6">
            <w:pPr>
              <w:pBdr/>
              <w:spacing w:after="0" w:before="0" w:line="240"/>
              <w:ind/>
              <w:rPr/>
            </w:pPr>
            <w:r>
              <w:rPr>
                <w:rFonts w:ascii="Times New Roman" w:hAnsi="Times New Roman" w:eastAsia="Times New Roman" w:cs="Times New Roman"/>
                <w:color w:val="000000"/>
                <w:sz w:val="24"/>
              </w:rPr>
              <w:t xml:space="preserve">Tiingo OHLCV</w:t>
            </w:r>
            <w:r/>
          </w:p>
        </w:tc>
        <w:tc>
          <w:tcPr>
            <w:tcBorders/>
            <w:tcMar>
              <w:left w:w="15" w:type="dxa"/>
              <w:top w:w="15" w:type="dxa"/>
              <w:right w:w="15" w:type="dxa"/>
              <w:bottom w:w="15" w:type="dxa"/>
            </w:tcMar>
            <w:tcW w:w="896" w:type="dxa"/>
            <w:vAlign w:val="center"/>
          </w:tcPr>
          <w:p w14:paraId="0000B9D4">
            <w:pPr>
              <w:pBdr/>
              <w:spacing w:after="0" w:before="0" w:line="240"/>
              <w:ind/>
              <w:rPr/>
            </w:pPr>
            <w:r>
              <w:rPr>
                <w:rFonts w:ascii="Times New Roman" w:hAnsi="Times New Roman" w:eastAsia="Times New Roman" w:cs="Times New Roman"/>
                <w:color w:val="000000"/>
                <w:sz w:val="24"/>
              </w:rPr>
              <w:t xml:space="preserve">TimescaleDB</w:t>
            </w:r>
            <w:r/>
          </w:p>
        </w:tc>
        <w:tc>
          <w:tcPr>
            <w:tcBorders/>
            <w:tcMar>
              <w:left w:w="15" w:type="dxa"/>
              <w:top w:w="15" w:type="dxa"/>
              <w:right w:w="15" w:type="dxa"/>
              <w:bottom w:w="15" w:type="dxa"/>
            </w:tcMar>
            <w:tcW w:w="1086" w:type="dxa"/>
            <w:vAlign w:val="center"/>
          </w:tcPr>
          <w:p w14:paraId="6299142E">
            <w:pPr>
              <w:pBdr/>
              <w:spacing w:after="0" w:before="0" w:line="240"/>
              <w:ind/>
              <w:rPr/>
            </w:pPr>
            <w:r>
              <w:rPr>
                <w:rFonts w:ascii="Times New Roman" w:hAnsi="Times New Roman" w:eastAsia="Times New Roman" w:cs="Times New Roman"/>
                <w:color w:val="000000"/>
                <w:sz w:val="24"/>
              </w:rPr>
              <w:t xml:space="preserve">~800k</w:t>
            </w:r>
            <w:r/>
          </w:p>
        </w:tc>
        <w:tc>
          <w:tcPr>
            <w:tcBorders/>
            <w:tcMar>
              <w:left w:w="15" w:type="dxa"/>
              <w:top w:w="15" w:type="dxa"/>
              <w:right w:w="15" w:type="dxa"/>
              <w:bottom w:w="15" w:type="dxa"/>
            </w:tcMar>
            <w:tcW w:w="733" w:type="dxa"/>
            <w:vAlign w:val="center"/>
          </w:tcPr>
          <w:p w14:paraId="3861E896">
            <w:pPr>
              <w:pBdr/>
              <w:spacing w:after="0" w:before="0" w:line="240"/>
              <w:ind/>
              <w:rPr/>
            </w:pPr>
            <w:r>
              <w:rPr>
                <w:rFonts w:ascii="Times New Roman" w:hAnsi="Times New Roman" w:eastAsia="Times New Roman" w:cs="Times New Roman"/>
                <w:color w:val="000000"/>
                <w:sz w:val="24"/>
              </w:rPr>
              <w:t xml:space="preserve">First</w:t>
            </w:r>
            <w:r/>
          </w:p>
        </w:tc>
        <w:tc>
          <w:tcPr>
            <w:tcBorders/>
            <w:tcMar>
              <w:left w:w="15" w:type="dxa"/>
              <w:top w:w="15" w:type="dxa"/>
              <w:right w:w="15" w:type="dxa"/>
              <w:bottom w:w="15" w:type="dxa"/>
            </w:tcMar>
            <w:tcW w:w="5205" w:type="dxa"/>
            <w:vAlign w:val="center"/>
          </w:tcPr>
          <w:p w14:paraId="1FBCF97D">
            <w:pPr>
              <w:pBdr/>
              <w:spacing w:after="0" w:before="0" w:line="240"/>
              <w:ind/>
              <w:rPr/>
            </w:pPr>
            <w:r>
              <w:rPr>
                <w:rFonts w:ascii="Times New Roman" w:hAnsi="Times New Roman" w:eastAsia="Times New Roman" w:cs="Times New Roman"/>
                <w:color w:val="000000"/>
                <w:sz w:val="24"/>
              </w:rPr>
              <w:t xml:space="preserve">Spot price is required by the exchange flows adapter for wei→USD conversion</w:t>
            </w:r>
            <w:r/>
          </w:p>
        </w:tc>
      </w:tr>
      <w:tr>
        <w:trPr/>
        <w:tc>
          <w:tcPr>
            <w:tcBorders/>
            <w:tcMar>
              <w:left w:w="15" w:type="dxa"/>
              <w:top w:w="15" w:type="dxa"/>
              <w:right w:w="15" w:type="dxa"/>
              <w:bottom w:w="15" w:type="dxa"/>
            </w:tcMar>
            <w:tcW w:w="1435" w:type="dxa"/>
            <w:vAlign w:val="center"/>
          </w:tcPr>
          <w:p w14:paraId="48F40E75">
            <w:pPr>
              <w:pBdr/>
              <w:spacing w:after="0" w:before="0" w:line="240"/>
              <w:ind/>
              <w:rPr/>
            </w:pPr>
            <w:r>
              <w:rPr>
                <w:rFonts w:ascii="Times New Roman" w:hAnsi="Times New Roman" w:eastAsia="Times New Roman" w:cs="Times New Roman"/>
                <w:color w:val="000000"/>
                <w:sz w:val="24"/>
              </w:rPr>
              <w:t xml:space="preserve">Coinalyze derivatives</w:t>
            </w:r>
            <w:r/>
          </w:p>
        </w:tc>
        <w:tc>
          <w:tcPr>
            <w:tcBorders/>
            <w:tcMar>
              <w:left w:w="15" w:type="dxa"/>
              <w:top w:w="15" w:type="dxa"/>
              <w:right w:w="15" w:type="dxa"/>
              <w:bottom w:w="15" w:type="dxa"/>
            </w:tcMar>
            <w:tcW w:w="896" w:type="dxa"/>
            <w:vAlign w:val="center"/>
          </w:tcPr>
          <w:p w14:paraId="4A450CA5">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30991B50">
            <w:pPr>
              <w:pBdr/>
              <w:spacing w:after="0" w:before="0" w:line="240"/>
              <w:ind/>
              <w:rPr/>
            </w:pPr>
            <w:r>
              <w:rPr>
                <w:rFonts w:ascii="Times New Roman" w:hAnsi="Times New Roman" w:eastAsia="Times New Roman" w:cs="Times New Roman"/>
                <w:color w:val="000000"/>
                <w:sz w:val="24"/>
              </w:rPr>
              <w:t xml:space="preserve">185,066</w:t>
            </w:r>
            <w:r/>
          </w:p>
        </w:tc>
        <w:tc>
          <w:tcPr>
            <w:tcBorders/>
            <w:tcMar>
              <w:left w:w="15" w:type="dxa"/>
              <w:top w:w="15" w:type="dxa"/>
              <w:right w:w="15" w:type="dxa"/>
              <w:bottom w:w="15" w:type="dxa"/>
            </w:tcMar>
            <w:tcW w:w="733" w:type="dxa"/>
            <w:vAlign w:val="center"/>
          </w:tcPr>
          <w:p w14:paraId="0B72FC60">
            <w:pPr>
              <w:pBdr/>
              <w:spacing w:after="0" w:before="0" w:line="240"/>
              <w:ind/>
              <w:rPr/>
            </w:pPr>
            <w:r>
              <w:rPr>
                <w:rFonts w:ascii="Times New Roman" w:hAnsi="Times New Roman" w:eastAsia="Times New Roman" w:cs="Times New Roman"/>
                <w:color w:val="000000"/>
                <w:sz w:val="24"/>
              </w:rPr>
              <w:t xml:space="preserve">Second</w:t>
            </w:r>
            <w:r/>
          </w:p>
        </w:tc>
        <w:tc>
          <w:tcPr>
            <w:tcBorders/>
            <w:tcMar>
              <w:left w:w="15" w:type="dxa"/>
              <w:top w:w="15" w:type="dxa"/>
              <w:right w:w="15" w:type="dxa"/>
              <w:bottom w:w="15" w:type="dxa"/>
            </w:tcMar>
            <w:tcW w:w="5205" w:type="dxa"/>
            <w:vAlign w:val="center"/>
          </w:tcPr>
          <w:p w14:paraId="0E503DA0">
            <w:pPr>
              <w:pBdr/>
              <w:spacing w:after="0" w:before="0" w:line="240"/>
              <w:ind/>
              <w:rPr/>
            </w:pPr>
            <w:r>
              <w:rPr>
                <w:rFonts w:ascii="Times New Roman" w:hAnsi="Times New Roman" w:eastAsia="Times New Roman" w:cs="Times New Roman"/>
                <w:color w:val="000000"/>
                <w:sz w:val="24"/>
              </w:rPr>
              <w:t xml:space="preserve">Highest signal value, longest history</w:t>
            </w:r>
            <w:r/>
          </w:p>
        </w:tc>
      </w:tr>
      <w:tr>
        <w:trPr/>
        <w:tc>
          <w:tcPr>
            <w:tcBorders/>
            <w:tcMar>
              <w:left w:w="15" w:type="dxa"/>
              <w:top w:w="15" w:type="dxa"/>
              <w:right w:w="15" w:type="dxa"/>
              <w:bottom w:w="15" w:type="dxa"/>
            </w:tcMar>
            <w:tcW w:w="1435" w:type="dxa"/>
            <w:vAlign w:val="center"/>
          </w:tcPr>
          <w:p w14:paraId="04031861">
            <w:pPr>
              <w:pBdr/>
              <w:spacing w:after="0" w:before="0" w:line="240"/>
              <w:ind/>
              <w:rPr/>
            </w:pPr>
            <w:r>
              <w:rPr>
                <w:rFonts w:ascii="Times New Roman" w:hAnsi="Times New Roman" w:eastAsia="Times New Roman" w:cs="Times New Roman"/>
                <w:color w:val="000000"/>
                <w:sz w:val="24"/>
              </w:rPr>
              <w:t xml:space="preserve">FRED macro</w:t>
            </w:r>
            <w:r/>
          </w:p>
        </w:tc>
        <w:tc>
          <w:tcPr>
            <w:tcBorders/>
            <w:tcMar>
              <w:left w:w="15" w:type="dxa"/>
              <w:top w:w="15" w:type="dxa"/>
              <w:right w:w="15" w:type="dxa"/>
              <w:bottom w:w="15" w:type="dxa"/>
            </w:tcMar>
            <w:tcW w:w="896" w:type="dxa"/>
            <w:vAlign w:val="center"/>
          </w:tcPr>
          <w:p w14:paraId="565BF450">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6A530F60">
            <w:pPr>
              <w:pBdr/>
              <w:spacing w:after="0" w:before="0" w:line="240"/>
              <w:ind/>
              <w:rPr/>
            </w:pPr>
            <w:r>
              <w:rPr>
                <w:rFonts w:ascii="Times New Roman" w:hAnsi="Times New Roman" w:eastAsia="Times New Roman" w:cs="Times New Roman"/>
                <w:color w:val="000000"/>
                <w:sz w:val="24"/>
              </w:rPr>
              <w:t xml:space="preserve">140,261</w:t>
            </w:r>
            <w:r/>
          </w:p>
        </w:tc>
        <w:tc>
          <w:tcPr>
            <w:tcBorders/>
            <w:tcMar>
              <w:left w:w="15" w:type="dxa"/>
              <w:top w:w="15" w:type="dxa"/>
              <w:right w:w="15" w:type="dxa"/>
              <w:bottom w:w="15" w:type="dxa"/>
            </w:tcMar>
            <w:tcW w:w="733" w:type="dxa"/>
            <w:vAlign w:val="center"/>
          </w:tcPr>
          <w:p w14:paraId="6E5CE96B">
            <w:pPr>
              <w:pBdr/>
              <w:spacing w:after="0" w:before="0" w:line="240"/>
              <w:ind/>
              <w:rPr/>
            </w:pPr>
            <w:r>
              <w:rPr>
                <w:rFonts w:ascii="Times New Roman" w:hAnsi="Times New Roman" w:eastAsia="Times New Roman" w:cs="Times New Roman"/>
                <w:color w:val="000000"/>
                <w:sz w:val="24"/>
              </w:rPr>
              <w:t xml:space="preserve">Third</w:t>
            </w:r>
            <w:r/>
          </w:p>
        </w:tc>
        <w:tc>
          <w:tcPr>
            <w:tcBorders/>
            <w:tcMar>
              <w:left w:w="15" w:type="dxa"/>
              <w:top w:w="15" w:type="dxa"/>
              <w:right w:w="15" w:type="dxa"/>
              <w:bottom w:w="15" w:type="dxa"/>
            </w:tcMar>
            <w:tcW w:w="5205" w:type="dxa"/>
            <w:vAlign w:val="center"/>
          </w:tcPr>
          <w:p w14:paraId="0DDCA481">
            <w:pPr>
              <w:pBdr/>
              <w:spacing w:after="0" w:before="0" w:line="240"/>
              <w:ind/>
              <w:rPr/>
            </w:pPr>
            <w:r>
              <w:rPr>
                <w:rFonts w:ascii="Times New Roman" w:hAnsi="Times New Roman" w:eastAsia="Times New Roman" w:cs="Times New Roman"/>
                <w:color w:val="000000"/>
                <w:sz w:val="24"/>
              </w:rPr>
              <w:t xml:space="preserve">Independent, no dependencies</w:t>
            </w:r>
            <w:r/>
          </w:p>
        </w:tc>
      </w:tr>
      <w:tr>
        <w:trPr/>
        <w:tc>
          <w:tcPr>
            <w:tcBorders/>
            <w:tcMar>
              <w:left w:w="15" w:type="dxa"/>
              <w:top w:w="15" w:type="dxa"/>
              <w:right w:w="15" w:type="dxa"/>
              <w:bottom w:w="15" w:type="dxa"/>
            </w:tcMar>
            <w:tcW w:w="1435" w:type="dxa"/>
            <w:vAlign w:val="center"/>
          </w:tcPr>
          <w:p w14:paraId="3386375F">
            <w:pPr>
              <w:pBdr/>
              <w:spacing w:after="0" w:before="0" w:line="240"/>
              <w:ind/>
              <w:rPr/>
            </w:pPr>
            <w:r>
              <w:rPr>
                <w:rFonts w:ascii="Times New Roman" w:hAnsi="Times New Roman" w:eastAsia="Times New Roman" w:cs="Times New Roman"/>
                <w:color w:val="000000"/>
                <w:sz w:val="24"/>
              </w:rPr>
              <w:t xml:space="preserve">DeFiLlama DEX</w:t>
            </w:r>
            <w:r/>
          </w:p>
        </w:tc>
        <w:tc>
          <w:tcPr>
            <w:tcBorders/>
            <w:tcMar>
              <w:left w:w="15" w:type="dxa"/>
              <w:top w:w="15" w:type="dxa"/>
              <w:right w:w="15" w:type="dxa"/>
              <w:bottom w:w="15" w:type="dxa"/>
            </w:tcMar>
            <w:tcW w:w="896" w:type="dxa"/>
            <w:vAlign w:val="center"/>
          </w:tcPr>
          <w:p w14:paraId="630DDB26">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69B42B2A">
            <w:pPr>
              <w:pBdr/>
              <w:spacing w:after="0" w:before="0" w:line="240"/>
              <w:ind/>
              <w:rPr/>
            </w:pPr>
            <w:r>
              <w:rPr>
                <w:rFonts w:ascii="Times New Roman" w:hAnsi="Times New Roman" w:eastAsia="Times New Roman" w:cs="Times New Roman"/>
                <w:color w:val="000000"/>
                <w:sz w:val="24"/>
              </w:rPr>
              <w:t xml:space="preserve">88,239</w:t>
            </w:r>
            <w:r/>
          </w:p>
        </w:tc>
        <w:tc>
          <w:tcPr>
            <w:tcBorders/>
            <w:tcMar>
              <w:left w:w="15" w:type="dxa"/>
              <w:top w:w="15" w:type="dxa"/>
              <w:right w:w="15" w:type="dxa"/>
              <w:bottom w:w="15" w:type="dxa"/>
            </w:tcMar>
            <w:tcW w:w="733" w:type="dxa"/>
            <w:vAlign w:val="center"/>
          </w:tcPr>
          <w:p w14:paraId="77F7A22B">
            <w:pPr>
              <w:pBdr/>
              <w:spacing w:after="0" w:before="0" w:line="240"/>
              <w:ind/>
              <w:rPr/>
            </w:pPr>
            <w:r>
              <w:rPr>
                <w:rFonts w:ascii="Times New Roman" w:hAnsi="Times New Roman" w:eastAsia="Times New Roman" w:cs="Times New Roman"/>
                <w:color w:val="000000"/>
                <w:sz w:val="24"/>
              </w:rPr>
              <w:t xml:space="preserve">Fourth</w:t>
            </w:r>
            <w:r/>
          </w:p>
        </w:tc>
        <w:tc>
          <w:tcPr>
            <w:tcBorders/>
            <w:tcMar>
              <w:left w:w="15" w:type="dxa"/>
              <w:top w:w="15" w:type="dxa"/>
              <w:right w:w="15" w:type="dxa"/>
              <w:bottom w:w="15" w:type="dxa"/>
            </w:tcMar>
            <w:tcW w:w="5205" w:type="dxa"/>
            <w:vAlign w:val="center"/>
          </w:tcPr>
          <w:p w14:paraId="306F1BA2">
            <w:pPr>
              <w:pBdr/>
              <w:spacing w:after="0" w:before="0" w:line="240"/>
              <w:ind/>
              <w:rPr/>
            </w:pPr>
            <w:r/>
          </w:p>
        </w:tc>
      </w:tr>
      <w:tr>
        <w:trPr/>
        <w:tc>
          <w:tcPr>
            <w:tcBorders/>
            <w:tcMar>
              <w:left w:w="15" w:type="dxa"/>
              <w:top w:w="15" w:type="dxa"/>
              <w:right w:w="15" w:type="dxa"/>
              <w:bottom w:w="15" w:type="dxa"/>
            </w:tcMar>
            <w:tcW w:w="1435" w:type="dxa"/>
            <w:vAlign w:val="center"/>
          </w:tcPr>
          <w:p w14:paraId="166AF7B5">
            <w:pPr>
              <w:pBdr/>
              <w:spacing w:after="0" w:before="0" w:line="240"/>
              <w:ind/>
              <w:rPr/>
            </w:pPr>
            <w:r>
              <w:rPr>
                <w:rFonts w:ascii="Times New Roman" w:hAnsi="Times New Roman" w:eastAsia="Times New Roman" w:cs="Times New Roman"/>
                <w:color w:val="000000"/>
                <w:sz w:val="24"/>
              </w:rPr>
              <w:t xml:space="preserve">DeFiLlama lending</w:t>
            </w:r>
            <w:r/>
          </w:p>
        </w:tc>
        <w:tc>
          <w:tcPr>
            <w:tcBorders/>
            <w:tcMar>
              <w:left w:w="15" w:type="dxa"/>
              <w:top w:w="15" w:type="dxa"/>
              <w:right w:w="15" w:type="dxa"/>
              <w:bottom w:w="15" w:type="dxa"/>
            </w:tcMar>
            <w:tcW w:w="896" w:type="dxa"/>
            <w:vAlign w:val="center"/>
          </w:tcPr>
          <w:p w14:paraId="5436D8D0">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6C616A1C">
            <w:pPr>
              <w:pBdr/>
              <w:spacing w:after="0" w:before="0" w:line="240"/>
              <w:ind/>
              <w:rPr/>
            </w:pPr>
            <w:r>
              <w:rPr>
                <w:rFonts w:ascii="Times New Roman" w:hAnsi="Times New Roman" w:eastAsia="Times New Roman" w:cs="Times New Roman"/>
                <w:color w:val="000000"/>
                <w:sz w:val="24"/>
              </w:rPr>
              <w:t xml:space="preserve">9,651</w:t>
            </w:r>
            <w:r/>
          </w:p>
        </w:tc>
        <w:tc>
          <w:tcPr>
            <w:tcBorders/>
            <w:tcMar>
              <w:left w:w="15" w:type="dxa"/>
              <w:top w:w="15" w:type="dxa"/>
              <w:right w:w="15" w:type="dxa"/>
              <w:bottom w:w="15" w:type="dxa"/>
            </w:tcMar>
            <w:tcW w:w="733" w:type="dxa"/>
            <w:vAlign w:val="center"/>
          </w:tcPr>
          <w:p w14:paraId="2EBEB041">
            <w:pPr>
              <w:pBdr/>
              <w:spacing w:after="0" w:before="0" w:line="240"/>
              <w:ind/>
              <w:rPr/>
            </w:pPr>
            <w:r>
              <w:rPr>
                <w:rFonts w:ascii="Times New Roman" w:hAnsi="Times New Roman" w:eastAsia="Times New Roman" w:cs="Times New Roman"/>
                <w:color w:val="000000"/>
                <w:sz w:val="24"/>
              </w:rPr>
              <w:t xml:space="preserve">Fifth</w:t>
            </w:r>
            <w:r/>
          </w:p>
        </w:tc>
        <w:tc>
          <w:tcPr>
            <w:tcBorders/>
            <w:tcMar>
              <w:left w:w="15" w:type="dxa"/>
              <w:top w:w="15" w:type="dxa"/>
              <w:right w:w="15" w:type="dxa"/>
              <w:bottom w:w="15" w:type="dxa"/>
            </w:tcMar>
            <w:tcW w:w="5205" w:type="dxa"/>
            <w:vAlign w:val="center"/>
          </w:tcPr>
          <w:p w14:paraId="214E1BD7">
            <w:pPr>
              <w:pBdr/>
              <w:spacing w:after="0" w:before="0" w:line="240"/>
              <w:ind/>
              <w:rPr/>
            </w:pPr>
            <w:r/>
          </w:p>
        </w:tc>
      </w:tr>
      <w:tr>
        <w:trPr/>
        <w:tc>
          <w:tcPr>
            <w:tcBorders/>
            <w:tcMar>
              <w:left w:w="15" w:type="dxa"/>
              <w:top w:w="15" w:type="dxa"/>
              <w:right w:w="15" w:type="dxa"/>
              <w:bottom w:w="15" w:type="dxa"/>
            </w:tcMar>
            <w:tcW w:w="1435" w:type="dxa"/>
            <w:vAlign w:val="center"/>
          </w:tcPr>
          <w:p w14:paraId="0E9BAF30">
            <w:pPr>
              <w:pBdr/>
              <w:spacing w:after="0" w:before="0" w:line="240"/>
              <w:ind/>
              <w:rPr/>
            </w:pPr>
            <w:r>
              <w:rPr>
                <w:rFonts w:ascii="Times New Roman" w:hAnsi="Times New Roman" w:eastAsia="Times New Roman" w:cs="Times New Roman"/>
                <w:color w:val="000000"/>
                <w:sz w:val="24"/>
              </w:rPr>
              <w:t xml:space="preserve">CoinMetrics on-chain</w:t>
            </w:r>
            <w:r/>
          </w:p>
        </w:tc>
        <w:tc>
          <w:tcPr>
            <w:tcBorders/>
            <w:tcMar>
              <w:left w:w="15" w:type="dxa"/>
              <w:top w:w="15" w:type="dxa"/>
              <w:right w:w="15" w:type="dxa"/>
              <w:bottom w:w="15" w:type="dxa"/>
            </w:tcMar>
            <w:tcW w:w="896" w:type="dxa"/>
            <w:vAlign w:val="center"/>
          </w:tcPr>
          <w:p w14:paraId="13836331">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7897FF05">
            <w:pPr>
              <w:pBdr/>
              <w:spacing w:after="0" w:before="0" w:line="240"/>
              <w:ind/>
              <w:rPr/>
            </w:pPr>
            <w:r>
              <w:rPr>
                <w:rFonts w:ascii="Times New Roman" w:hAnsi="Times New Roman" w:eastAsia="Times New Roman" w:cs="Times New Roman"/>
                <w:color w:val="000000"/>
                <w:sz w:val="24"/>
              </w:rPr>
              <w:t xml:space="preserve">10,137</w:t>
            </w:r>
            <w:r/>
          </w:p>
        </w:tc>
        <w:tc>
          <w:tcPr>
            <w:tcBorders/>
            <w:tcMar>
              <w:left w:w="15" w:type="dxa"/>
              <w:top w:w="15" w:type="dxa"/>
              <w:right w:w="15" w:type="dxa"/>
              <w:bottom w:w="15" w:type="dxa"/>
            </w:tcMar>
            <w:tcW w:w="733" w:type="dxa"/>
            <w:vAlign w:val="center"/>
          </w:tcPr>
          <w:p w14:paraId="5F04DB6D">
            <w:pPr>
              <w:pBdr/>
              <w:spacing w:after="0" w:before="0" w:line="240"/>
              <w:ind/>
              <w:rPr/>
            </w:pPr>
            <w:r>
              <w:rPr>
                <w:rFonts w:ascii="Times New Roman" w:hAnsi="Times New Roman" w:eastAsia="Times New Roman" w:cs="Times New Roman"/>
                <w:color w:val="000000"/>
                <w:sz w:val="24"/>
              </w:rPr>
              <w:t xml:space="preserve">Sixth</w:t>
            </w:r>
            <w:r/>
          </w:p>
        </w:tc>
        <w:tc>
          <w:tcPr>
            <w:tcBorders/>
            <w:tcMar>
              <w:left w:w="15" w:type="dxa"/>
              <w:top w:w="15" w:type="dxa"/>
              <w:right w:w="15" w:type="dxa"/>
              <w:bottom w:w="15" w:type="dxa"/>
            </w:tcMar>
            <w:tcW w:w="5205" w:type="dxa"/>
            <w:vAlign w:val="center"/>
          </w:tcPr>
          <w:p w14:paraId="094EA5DC">
            <w:pPr>
              <w:pBdr/>
              <w:spacing w:after="0" w:before="0" w:line="240"/>
              <w:ind/>
              <w:rPr/>
            </w:pPr>
            <w:r>
              <w:rPr>
                <w:rFonts w:ascii="Times New Roman" w:hAnsi="Times New Roman" w:eastAsia="Times New Roman" w:cs="Times New Roman"/>
                <w:color w:val="000000"/>
                <w:sz w:val="24"/>
              </w:rPr>
              <w:t xml:space="preserve">Flag internal-only</w:t>
            </w:r>
            <w:r/>
          </w:p>
        </w:tc>
      </w:tr>
      <w:tr>
        <w:trPr/>
        <w:tc>
          <w:tcPr>
            <w:tcBorders/>
            <w:tcMar>
              <w:left w:w="15" w:type="dxa"/>
              <w:top w:w="15" w:type="dxa"/>
              <w:right w:w="15" w:type="dxa"/>
              <w:bottom w:w="15" w:type="dxa"/>
            </w:tcMar>
            <w:tcW w:w="1435" w:type="dxa"/>
            <w:vAlign w:val="center"/>
          </w:tcPr>
          <w:p w14:paraId="537B18DE">
            <w:pPr>
              <w:pBdr/>
              <w:spacing w:after="0" w:before="0" w:line="240"/>
              <w:ind/>
              <w:rPr/>
            </w:pPr>
            <w:r>
              <w:rPr>
                <w:rFonts w:ascii="Times New Roman" w:hAnsi="Times New Roman" w:eastAsia="Times New Roman" w:cs="Times New Roman"/>
                <w:color w:val="000000"/>
                <w:sz w:val="24"/>
              </w:rPr>
              <w:t xml:space="preserve">Exchange flows</w:t>
            </w:r>
            <w:r/>
          </w:p>
        </w:tc>
        <w:tc>
          <w:tcPr>
            <w:tcBorders/>
            <w:tcMar>
              <w:left w:w="15" w:type="dxa"/>
              <w:top w:w="15" w:type="dxa"/>
              <w:right w:w="15" w:type="dxa"/>
              <w:bottom w:w="15" w:type="dxa"/>
            </w:tcMar>
            <w:tcW w:w="896" w:type="dxa"/>
            <w:vAlign w:val="center"/>
          </w:tcPr>
          <w:p w14:paraId="03D1983F">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44B7D468">
            <w:pPr>
              <w:pBdr/>
              <w:spacing w:after="0" w:before="0" w:line="240"/>
              <w:ind/>
              <w:rPr/>
            </w:pPr>
            <w:r>
              <w:rPr>
                <w:rFonts w:ascii="Times New Roman" w:hAnsi="Times New Roman" w:eastAsia="Times New Roman" w:cs="Times New Roman"/>
                <w:color w:val="000000"/>
                <w:sz w:val="24"/>
              </w:rPr>
              <w:t xml:space="preserve">2,177</w:t>
            </w:r>
            <w:r/>
          </w:p>
        </w:tc>
        <w:tc>
          <w:tcPr>
            <w:tcBorders/>
            <w:tcMar>
              <w:left w:w="15" w:type="dxa"/>
              <w:top w:w="15" w:type="dxa"/>
              <w:right w:w="15" w:type="dxa"/>
              <w:bottom w:w="15" w:type="dxa"/>
            </w:tcMar>
            <w:tcW w:w="733" w:type="dxa"/>
            <w:vAlign w:val="center"/>
          </w:tcPr>
          <w:p w14:paraId="5023B95F">
            <w:pPr>
              <w:pBdr/>
              <w:spacing w:after="0" w:before="0" w:line="240"/>
              <w:ind/>
              <w:rPr/>
            </w:pPr>
            <w:r>
              <w:rPr>
                <w:rFonts w:ascii="Times New Roman" w:hAnsi="Times New Roman" w:eastAsia="Times New Roman" w:cs="Times New Roman"/>
                <w:color w:val="000000"/>
                <w:sz w:val="24"/>
              </w:rPr>
              <w:t xml:space="preserve">Seventh</w:t>
            </w:r>
            <w:r/>
          </w:p>
        </w:tc>
        <w:tc>
          <w:tcPr>
            <w:tcBorders/>
            <w:tcMar>
              <w:left w:w="15" w:type="dxa"/>
              <w:top w:w="15" w:type="dxa"/>
              <w:right w:w="15" w:type="dxa"/>
              <w:bottom w:w="15" w:type="dxa"/>
            </w:tcMar>
            <w:tcW w:w="5205" w:type="dxa"/>
            <w:vAlign w:val="center"/>
          </w:tcPr>
          <w:p w14:paraId="60384047">
            <w:pPr>
              <w:pBdr/>
              <w:spacing w:after="0" w:before="0" w:line="240"/>
              <w:ind/>
              <w:rPr/>
            </w:pPr>
            <w:r>
              <w:rPr>
                <w:rFonts w:ascii="Times New Roman" w:hAnsi="Times New Roman" w:eastAsia="Times New Roman" w:cs="Times New Roman"/>
                <w:color w:val="000000"/>
                <w:sz w:val="24"/>
              </w:rPr>
              <w:t xml:space="preserve">Apply wei fix in adapter</w:t>
            </w:r>
            <w:r/>
          </w:p>
        </w:tc>
      </w:tr>
      <w:tr>
        <w:trPr/>
        <w:tc>
          <w:tcPr>
            <w:tcBorders/>
            <w:tcMar>
              <w:left w:w="15" w:type="dxa"/>
              <w:top w:w="15" w:type="dxa"/>
              <w:right w:w="15" w:type="dxa"/>
              <w:bottom w:w="15" w:type="dxa"/>
            </w:tcMar>
            <w:tcW w:w="1435" w:type="dxa"/>
            <w:vAlign w:val="center"/>
          </w:tcPr>
          <w:p w14:paraId="0CA6C9FA">
            <w:pPr>
              <w:pBdr/>
              <w:spacing w:after="0" w:before="0" w:line="240"/>
              <w:ind/>
              <w:rPr/>
            </w:pPr>
            <w:r>
              <w:rPr>
                <w:rFonts w:ascii="Times New Roman" w:hAnsi="Times New Roman" w:eastAsia="Times New Roman" w:cs="Times New Roman"/>
                <w:color w:val="000000"/>
                <w:sz w:val="24"/>
              </w:rPr>
              <w:t xml:space="preserve">ETF flows</w:t>
            </w:r>
            <w:r/>
          </w:p>
        </w:tc>
        <w:tc>
          <w:tcPr>
            <w:tcBorders/>
            <w:tcMar>
              <w:left w:w="15" w:type="dxa"/>
              <w:top w:w="15" w:type="dxa"/>
              <w:right w:w="15" w:type="dxa"/>
              <w:bottom w:w="15" w:type="dxa"/>
            </w:tcMar>
            <w:tcW w:w="896" w:type="dxa"/>
            <w:vAlign w:val="center"/>
          </w:tcPr>
          <w:p w14:paraId="50E045E9">
            <w:pPr>
              <w:pBdr/>
              <w:spacing w:after="0" w:before="0" w:line="240"/>
              <w:ind/>
              <w:rPr/>
            </w:pPr>
            <w:r>
              <w:rPr>
                <w:rFonts w:ascii="Times New Roman" w:hAnsi="Times New Roman" w:eastAsia="Times New Roman" w:cs="Times New Roman"/>
                <w:color w:val="000000"/>
                <w:sz w:val="24"/>
              </w:rPr>
              <w:t xml:space="preserve">Forge</w:t>
            </w:r>
            <w:r/>
          </w:p>
        </w:tc>
        <w:tc>
          <w:tcPr>
            <w:tcBorders/>
            <w:tcMar>
              <w:left w:w="15" w:type="dxa"/>
              <w:top w:w="15" w:type="dxa"/>
              <w:right w:w="15" w:type="dxa"/>
              <w:bottom w:w="15" w:type="dxa"/>
            </w:tcMar>
            <w:tcW w:w="1086" w:type="dxa"/>
            <w:vAlign w:val="center"/>
          </w:tcPr>
          <w:p w14:paraId="6998FD08">
            <w:pPr>
              <w:pBdr/>
              <w:spacing w:after="0" w:before="0" w:line="240"/>
              <w:ind/>
              <w:rPr/>
            </w:pPr>
            <w:r>
              <w:rPr>
                <w:rFonts w:ascii="Times New Roman" w:hAnsi="Times New Roman" w:eastAsia="Times New Roman" w:cs="Times New Roman"/>
                <w:color w:val="000000"/>
                <w:sz w:val="24"/>
              </w:rPr>
              <w:t xml:space="preserve">774</w:t>
            </w:r>
            <w:r/>
          </w:p>
        </w:tc>
        <w:tc>
          <w:tcPr>
            <w:tcBorders/>
            <w:tcMar>
              <w:left w:w="15" w:type="dxa"/>
              <w:top w:w="15" w:type="dxa"/>
              <w:right w:w="15" w:type="dxa"/>
              <w:bottom w:w="15" w:type="dxa"/>
            </w:tcMar>
            <w:tcW w:w="733" w:type="dxa"/>
            <w:vAlign w:val="center"/>
          </w:tcPr>
          <w:p w14:paraId="56E502F6">
            <w:pPr>
              <w:pBdr/>
              <w:spacing w:after="0" w:before="0" w:line="240"/>
              <w:ind/>
              <w:rPr/>
            </w:pPr>
            <w:r>
              <w:rPr>
                <w:rFonts w:ascii="Times New Roman" w:hAnsi="Times New Roman" w:eastAsia="Times New Roman" w:cs="Times New Roman"/>
                <w:color w:val="000000"/>
                <w:sz w:val="24"/>
              </w:rPr>
              <w:t xml:space="preserve">Eighth</w:t>
            </w:r>
            <w:r/>
          </w:p>
        </w:tc>
        <w:tc>
          <w:tcPr>
            <w:tcBorders/>
            <w:tcMar>
              <w:left w:w="15" w:type="dxa"/>
              <w:top w:w="15" w:type="dxa"/>
              <w:right w:w="15" w:type="dxa"/>
              <w:bottom w:w="15" w:type="dxa"/>
            </w:tcMar>
            <w:tcW w:w="5205" w:type="dxa"/>
            <w:vAlign w:val="center"/>
          </w:tcPr>
          <w:p w14:paraId="263D02E0">
            <w:pPr>
              <w:pBdr/>
              <w:spacing w:after="0" w:before="0" w:line="240"/>
              <w:ind/>
              <w:rPr/>
            </w:pPr>
            <w:r>
              <w:rPr>
                <w:rFonts w:ascii="Times New Roman" w:hAnsi="Times New Roman" w:eastAsia="Times New Roman" w:cs="Times New Roman"/>
                <w:color w:val="000000"/>
                <w:sz w:val="24"/>
              </w:rPr>
              <w:t xml:space="preserve">Flag internal-only</w:t>
            </w:r>
            <w:r/>
          </w:p>
        </w:tc>
      </w:tr>
    </w:tbl>
    <w:p w14:paraId="5E2A5D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each migration adapter runs:</w:t>
      </w:r>
      <w:r/>
    </w:p>
    <w:p w14:paraId="30040C9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row count in </w:t>
      </w:r>
      <w:r>
        <w:rPr>
          <w:rFonts w:ascii="Courier New" w:hAnsi="Courier New" w:eastAsia="Courier New" w:cs="Courier New"/>
          <w:color w:val="000000"/>
          <w:sz w:val="20"/>
        </w:rPr>
        <w:t xml:space="preserve">observations</w:t>
      </w:r>
      <w:r>
        <w:rPr>
          <w:rFonts w:ascii="Times New Roman" w:hAnsi="Times New Roman" w:eastAsia="Times New Roman" w:cs="Times New Roman"/>
          <w:color w:val="000000"/>
          <w:sz w:val="24"/>
        </w:rPr>
        <w:t xml:space="preserve"> matches expected</w:t>
      </w:r>
      <w:r/>
    </w:p>
    <w:p w14:paraId="5854569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no unexpected </w:t>
      </w:r>
      <w:r>
        <w:rPr>
          <w:rFonts w:ascii="Courier New" w:hAnsi="Courier New" w:eastAsia="Courier New" w:cs="Courier New"/>
          <w:color w:val="000000"/>
          <w:sz w:val="20"/>
        </w:rPr>
        <w:t xml:space="preserve">observations_rejected</w:t>
      </w:r>
      <w:r>
        <w:rPr>
          <w:rFonts w:ascii="Times New Roman" w:hAnsi="Times New Roman" w:eastAsia="Times New Roman" w:cs="Times New Roman"/>
          <w:color w:val="000000"/>
          <w:sz w:val="24"/>
        </w:rPr>
        <w:t xml:space="preserve"> entries</w:t>
      </w:r>
      <w:r/>
    </w:p>
    <w:p w14:paraId="6D65F12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Spot-check 5 known values against source records</w:t>
      </w:r>
      <w:r/>
    </w:p>
    <w:p w14:paraId="432444E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w:t>
      </w:r>
      <w:r>
        <w:rPr>
          <w:rFonts w:ascii="Courier New" w:hAnsi="Courier New" w:eastAsia="Courier New" w:cs="Courier New"/>
          <w:color w:val="000000"/>
          <w:sz w:val="20"/>
        </w:rPr>
        <w:t xml:space="preserve">valid_from</w:t>
      </w:r>
      <w:r>
        <w:rPr>
          <w:rFonts w:ascii="Times New Roman" w:hAnsi="Times New Roman" w:eastAsia="Times New Roman" w:cs="Times New Roman"/>
          <w:color w:val="000000"/>
          <w:sz w:val="24"/>
        </w:rPr>
        <w:t xml:space="preserve"> timestamps are correct (not </w:t>
      </w:r>
      <w:r>
        <w:rPr>
          <w:rFonts w:ascii="Courier New" w:hAnsi="Courier New" w:eastAsia="Courier New" w:cs="Courier New"/>
          <w:color w:val="000000"/>
          <w:sz w:val="20"/>
        </w:rPr>
        <w:t xml:space="preserve">ingested_at</w:t>
      </w:r>
      <w:r>
        <w:rPr>
          <w:rFonts w:ascii="Times New Roman" w:hAnsi="Times New Roman" w:eastAsia="Times New Roman" w:cs="Times New Roman"/>
          <w:color w:val="000000"/>
          <w:sz w:val="24"/>
        </w:rPr>
        <w:t xml:space="preserve"> timestamps)</w:t>
      </w:r>
      <w:r/>
    </w:p>
    <w:p w14:paraId="36560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1.2: Backfill jobs for shallow datasets</w:t>
      </w:r>
      <w:r/>
    </w:p>
    <w:p w14:paraId="5C41F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 protocols and stablecoin metrics have only 8 days of existing history. Instead of migrating those shallow records, run backfill agents directly against DeFiLlama historical API:</w:t>
      </w:r>
      <w:r/>
    </w:p>
    <w:p w14:paraId="1F3A89EA">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DeFiLlama protocols: fetch full historical TVL per protocol back to earliest available date</w:t>
      </w:r>
      <w:r/>
    </w:p>
    <w:p w14:paraId="5063452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DeFiLlama stablecoins: fetch full historical supply back to earliest available date</w:t>
      </w:r>
      <w:r/>
    </w:p>
    <w:p w14:paraId="7FC58E61">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CoinPaprika: fetch historical market cap data (fills </w:t>
      </w:r>
      <w:r>
        <w:rPr>
          <w:rFonts w:ascii="Courier New" w:hAnsi="Courier New" w:eastAsia="Courier New" w:cs="Courier New"/>
          <w:color w:val="000000"/>
          <w:sz w:val="20"/>
        </w:rPr>
        <w:t xml:space="preserve">spot.market_cap.usd</w:t>
      </w:r>
      <w:r>
        <w:rPr>
          <w:rFonts w:ascii="Times New Roman" w:hAnsi="Times New Roman" w:eastAsia="Times New Roman" w:cs="Times New Roman"/>
          <w:color w:val="000000"/>
          <w:sz w:val="24"/>
        </w:rPr>
        <w:t xml:space="preserve"> gap)</w:t>
      </w:r>
      <w:r/>
    </w:p>
    <w:p w14:paraId="627C71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Backfill agents are the same as production agents but run with historical date ranges and no cadence constraint. They are rate-limited to avoid source bans.</w:t>
      </w:r>
      <w:r/>
    </w:p>
    <w:p w14:paraId="54FB3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1.3: Production collection agents and adapters</w:t>
      </w:r>
      <w:r/>
    </w:p>
    <w:p w14:paraId="3ABF4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Deploy in same order as migration adapters. Each agent is deployed and verified independently before the next is started:</w:t>
      </w:r>
      <w:r/>
    </w:p>
    <w:p w14:paraId="66F75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source:</w:t>
      </w:r>
      <w:r/>
    </w:p>
    <w:p w14:paraId="6DDADA63">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 collection agent with test run (single collection cycle, inspect landing table)</w:t>
      </w:r>
      <w:r/>
    </w:p>
    <w:p w14:paraId="6414FDAA">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 adapter with test run against landing data</w:t>
      </w:r>
      <w:r/>
    </w:p>
    <w:p w14:paraId="28ECCF20">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observations written to canonical store</w:t>
      </w:r>
      <w:r/>
    </w:p>
    <w:p w14:paraId="0E20AB85">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w:t>
      </w:r>
      <w:r>
        <w:rPr>
          <w:rFonts w:ascii="Courier New" w:hAnsi="Courier New" w:eastAsia="Courier New" w:cs="Courier New"/>
          <w:color w:val="000000"/>
          <w:sz w:val="20"/>
        </w:rPr>
        <w:t xml:space="preserve">instrument_metric_coverage</w:t>
      </w:r>
      <w:r>
        <w:rPr>
          <w:rFonts w:ascii="Times New Roman" w:hAnsi="Times New Roman" w:eastAsia="Times New Roman" w:cs="Times New Roman"/>
          <w:color w:val="000000"/>
          <w:sz w:val="24"/>
        </w:rPr>
        <w:t xml:space="preserve"> updated</w:t>
      </w:r>
      <w:r/>
    </w:p>
    <w:p w14:paraId="776656A3">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rejection rate is within expected range (0% for clean sources, known exceptions for Coinalyze extreme values)</w:t>
      </w:r>
      <w:r/>
    </w:p>
    <w:p w14:paraId="5DC233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1.4: Coverage verification</w:t>
      </w:r>
      <w:r/>
    </w:p>
    <w:p w14:paraId="624E4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all agents and adapters are running:</w:t>
      </w:r>
      <w:r/>
    </w:p>
    <w:p w14:paraId="6D85A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sql</w:t>
      </w:r>
      <w:r/>
    </w:p>
    <w:p w14:paraId="245B9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818898"/>
          <w:sz w:val="24"/>
        </w:rPr>
        <w:t xml:space="preserve">-- What does the metric catalog require that we don't have?</w:t>
      </w:r>
      <w:r/>
    </w:p>
    <w:p w14:paraId="5885D6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SELECT</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canonical_name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cadence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latest_observation</w:t>
      </w:r>
      <w:r/>
    </w:p>
    <w:p w14:paraId="5C37F1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FROM</w:t>
      </w:r>
      <w:r>
        <w:rPr>
          <w:rFonts w:ascii="Times New Roman" w:hAnsi="Times New Roman" w:eastAsia="Times New Roman" w:cs="Times New Roman"/>
          <w:color w:val="eaecf0"/>
          <w:sz w:val="24"/>
        </w:rPr>
        <w:t xml:space="preserve"> metrics m</w:t>
      </w:r>
      <w:r/>
    </w:p>
    <w:p w14:paraId="040F95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LEFT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JOIN</w:t>
      </w:r>
      <w:r>
        <w:rPr>
          <w:rFonts w:ascii="Times New Roman" w:hAnsi="Times New Roman" w:eastAsia="Times New Roman" w:cs="Times New Roman"/>
          <w:color w:val="eaecf0"/>
          <w:sz w:val="24"/>
        </w:rPr>
        <w:t xml:space="preserve"> instrument_metric_coverage imc </w:t>
      </w:r>
      <w:r>
        <w:rPr>
          <w:rFonts w:ascii="Times New Roman" w:hAnsi="Times New Roman" w:eastAsia="Times New Roman" w:cs="Times New Roman"/>
          <w:color w:val="cc7bf4"/>
          <w:sz w:val="24"/>
        </w:rPr>
        <w:t xml:space="preserve">ON</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 =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metric_id</w:t>
      </w:r>
      <w:r/>
    </w:p>
    <w:p w14:paraId="37B1D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WHERE</w:t>
      </w:r>
      <w:r>
        <w:rPr>
          <w:rFonts w:ascii="Times New Roman" w:hAnsi="Times New Roman" w:eastAsia="Times New Roman" w:cs="Times New Roman"/>
          <w:color w:val="eaecf0"/>
          <w:sz w:val="24"/>
        </w:rPr>
        <w:t xml:space="preserve"> m</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eaecf0"/>
          <w:sz w:val="24"/>
        </w:rPr>
        <w:t xml:space="preserve"> = </w:t>
      </w:r>
      <w:r>
        <w:rPr>
          <w:rFonts w:ascii="Times New Roman" w:hAnsi="Times New Roman" w:eastAsia="Times New Roman" w:cs="Times New Roman"/>
          <w:color w:val="9be963"/>
          <w:sz w:val="24"/>
        </w:rPr>
        <w:t xml:space="preserve">'active'</w:t>
      </w:r>
      <w:r/>
    </w:p>
    <w:p w14:paraId="1AE204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AND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 IS </w:t>
      </w:r>
      <w:r>
        <w:rPr>
          <w:rFonts w:ascii="Times New Roman" w:hAnsi="Times New Roman" w:eastAsia="Times New Roman" w:cs="Times New Roman"/>
          <w:color w:val="5eeded"/>
          <w:sz w:val="24"/>
        </w:rPr>
        <w:t xml:space="preserve">NULL</w:t>
      </w:r>
      <w:r>
        <w:rPr>
          <w:rFonts w:ascii="Times New Roman" w:hAnsi="Times New Roman" w:eastAsia="Times New Roman" w:cs="Times New Roman"/>
          <w:color w:val="eaecf0"/>
          <w:sz w:val="24"/>
        </w:rPr>
        <w:t xml:space="preserve"> OR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 &lt; </w:t>
      </w:r>
      <w:r>
        <w:rPr>
          <w:rFonts w:ascii="Times New Roman" w:hAnsi="Times New Roman" w:eastAsia="Times New Roman" w:cs="Times New Roman"/>
          <w:color w:val="5eeded"/>
          <w:sz w:val="24"/>
        </w:rPr>
        <w:t xml:space="preserve">0.90</w:t>
      </w:r>
      <w:r>
        <w:rPr>
          <w:rFonts w:ascii="Times New Roman" w:hAnsi="Times New Roman" w:eastAsia="Times New Roman" w:cs="Times New Roman"/>
          <w:color w:val="d3d7de"/>
          <w:sz w:val="24"/>
        </w:rPr>
        <w:t xml:space="preserve">)</w:t>
      </w:r>
      <w:r/>
    </w:p>
    <w:p w14:paraId="4DE40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cc7bf4"/>
          <w:sz w:val="24"/>
        </w:rPr>
        <w:t xml:space="preserve">ORDER</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BY</w:t>
      </w:r>
      <w:r>
        <w:rPr>
          <w:rFonts w:ascii="Times New Roman" w:hAnsi="Times New Roman" w:eastAsia="Times New Roman" w:cs="Times New Roman"/>
          <w:color w:val="eaecf0"/>
          <w:sz w:val="24"/>
        </w:rPr>
        <w:t xml:space="preserve"> imc</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completeness_30d </w:t>
      </w:r>
      <w:r>
        <w:rPr>
          <w:rFonts w:ascii="Times New Roman" w:hAnsi="Times New Roman" w:eastAsia="Times New Roman" w:cs="Times New Roman"/>
          <w:color w:val="cc7bf4"/>
          <w:sz w:val="24"/>
        </w:rPr>
        <w:t xml:space="preserve">ASC</w:t>
      </w:r>
      <w:r>
        <w:rPr>
          <w:rFonts w:ascii="Times New Roman" w:hAnsi="Times New Roman" w:eastAsia="Times New Roman" w:cs="Times New Roman"/>
          <w:color w:val="eaecf0"/>
          <w:sz w:val="24"/>
        </w:rPr>
        <w:t xml:space="preserve"> NULLS </w:t>
      </w:r>
      <w:r>
        <w:rPr>
          <w:rFonts w:ascii="Times New Roman" w:hAnsi="Times New Roman" w:eastAsia="Times New Roman" w:cs="Times New Roman"/>
          <w:color w:val="cc7bf4"/>
          <w:sz w:val="24"/>
        </w:rPr>
        <w:t xml:space="preserve">FIRST</w:t>
      </w:r>
      <w:r>
        <w:rPr>
          <w:rFonts w:ascii="Times New Roman" w:hAnsi="Times New Roman" w:eastAsia="Times New Roman" w:cs="Times New Roman"/>
          <w:color w:val="d3d7de"/>
          <w:sz w:val="24"/>
        </w:rPr>
        <w:t xml:space="preserve">;</w:t>
      </w:r>
      <w:r/>
    </w:p>
    <w:p w14:paraId="336D35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3E372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0897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Every metric required by the feature catalog must be at ≥90% completeness for signal-eligible instruments before Phase 2 begins. Gaps identified here are resolved before proceeding — either by fixing an adapter, adding a source, or explicitly accepting the</w:t>
      </w:r>
      <w:r>
        <w:rPr>
          <w:rFonts w:ascii="Times New Roman" w:hAnsi="Times New Roman" w:eastAsia="Times New Roman" w:cs="Times New Roman"/>
          <w:color w:val="eaecf0"/>
          <w:sz w:val="24"/>
        </w:rPr>
        <w:t xml:space="preserve"> gap with a documented impact assessment.</w:t>
      </w:r>
      <w:r/>
    </w:p>
    <w:p w14:paraId="4DB455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AC56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1.5: Instrument tier promotion**</w:t>
      </w:r>
      <w:r/>
    </w:p>
    <w:p w14:paraId="1118F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6AAF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Run the tier promotion rules for the first time:</w:t>
      </w:r>
      <w:r/>
    </w:p>
    <w:p w14:paraId="45E14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Instruments with ≥90% completeness on derivatives metrics and ≥90d history: promote to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scoring</w:t>
      </w:r>
      <w:r>
        <w:rPr>
          <w:rFonts w:ascii="Times New Roman" w:hAnsi="Times New Roman" w:eastAsia="Times New Roman" w:cs="Times New Roman"/>
          <w:color w:val="d3d7de"/>
          <w:sz w:val="24"/>
        </w:rPr>
        <w:t xml:space="preserve">`</w:t>
      </w:r>
      <w:r/>
    </w:p>
    <w:p w14:paraId="39845D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Instruments with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scoring</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status and ≥1yr derivatives history + spot data: promote to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signal_eligible</w:t>
      </w:r>
      <w:r>
        <w:rPr>
          <w:rFonts w:ascii="Times New Roman" w:hAnsi="Times New Roman" w:eastAsia="Times New Roman" w:cs="Times New Roman"/>
          <w:color w:val="d3d7de"/>
          <w:sz w:val="24"/>
        </w:rPr>
        <w:t xml:space="preserve">`</w:t>
      </w:r>
      <w:r/>
    </w:p>
    <w:p w14:paraId="32047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E485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The initial signal-eligible universe size is a Phase 1 output, not an input. It emerges from the data.</w:t>
      </w:r>
      <w:r/>
    </w:p>
    <w:p w14:paraId="3201F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F6BB0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1 gate — hard pass/fail:**</w:t>
      </w:r>
      <w:r/>
    </w:p>
    <w:p w14:paraId="01235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DBC0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Criterion | Pass condition |</w:t>
      </w:r>
      <w:r/>
    </w:p>
    <w:p w14:paraId="745A3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294F8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Migration complete | All migrate-eligible datasets loaded, spot-checked, no systematic errors |</w:t>
      </w:r>
      <w:r/>
    </w:p>
    <w:p w14:paraId="7EA373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Live collection running | All 6 production agents collecting at specified cadence |</w:t>
      </w:r>
      <w:r/>
    </w:p>
    <w:p w14:paraId="5CCA1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Rejection rate | Global rejection rate &lt; 5%. Known exceptions (Coinalyze extreme values) documented. |</w:t>
      </w:r>
      <w:r/>
    </w:p>
    <w:p w14:paraId="5C6B04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Coverage threshold | All active metrics at ≥90% completeness for signal-eligible instruments |</w:t>
      </w:r>
      <w:r/>
    </w:p>
    <w:p w14:paraId="392EA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Tiingo spot price | BTC history from 2014, ETH from 2015 confirmed in canonical store |</w:t>
      </w:r>
      <w:r/>
    </w:p>
    <w:p w14:paraId="0264AF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Wei conversion | Exchange flows adapter verified — Gate.io values in USD, not wei |</w:t>
      </w:r>
      <w:r/>
    </w:p>
    <w:p w14:paraId="479B0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Tier promotion | At least 20 instruments at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signal_eligible</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tier |</w:t>
      </w:r>
      <w:r/>
    </w:p>
    <w:p w14:paraId="5078C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Redistribution flags | Query against observations confirms SoSoValue/CoinMetrics rows have correct source flags |</w:t>
      </w:r>
      <w:r/>
    </w:p>
    <w:p w14:paraId="3CE936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D9F9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22DAE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8F42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Phase 2: Feature Engineering</w:t>
      </w:r>
      <w:r/>
    </w:p>
    <w:p w14:paraId="388B9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C91C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**What gets built:** The feature computation layer. Everything in Thread 3.</w:t>
      </w:r>
      <w:r/>
    </w:p>
    <w:p w14:paraId="344C07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D5036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**Sequence:**</w:t>
      </w:r>
      <w:r/>
    </w:p>
    <w:p w14:paraId="15A6B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61B3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2.1: Feature catalog population**</w:t>
      </w:r>
      <w:r/>
    </w:p>
    <w:p w14:paraId="11E26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466B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Before writing any computation code, populate the feature catalog (the YAML/database structure defined in Thread 3) for every feature. This is the equivalent of Phase 0's metric catalog seeding — it is a specification task that precedes implementation.</w:t>
      </w:r>
      <w:r/>
    </w:p>
    <w:p w14:paraId="50687F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54206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Every feature entry must specify:</w:t>
      </w:r>
      <w:r/>
    </w:p>
    <w:p w14:paraId="0D3831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Canonical name</w:t>
      </w:r>
      <w:r/>
    </w:p>
    <w:p w14:paraId="44CF35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Input metric canonical name(s)</w:t>
      </w:r>
      <w:r/>
    </w:p>
    <w:p w14:paraId="74655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Formula (exact)</w:t>
      </w:r>
      <w:r/>
    </w:p>
    <w:p w14:paraId="2D958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Window</w:t>
      </w:r>
      <w:r/>
    </w:p>
    <w:p w14:paraId="6B1CEF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Null state handling</w:t>
      </w:r>
      <w:r/>
    </w:p>
    <w:p w14:paraId="2B1C3C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PIT constraint statement</w:t>
      </w:r>
      <w:r/>
    </w:p>
    <w:p w14:paraId="58AC3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Consuming models</w:t>
      </w:r>
      <w:r/>
    </w:p>
    <w:p w14:paraId="45A70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DBE9B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2.2: Infrastructure build**</w:t>
      </w:r>
      <w:r/>
    </w:p>
    <w:p w14:paraId="413267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0A93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Build the feature computation engine:</w:t>
      </w:r>
      <w:r/>
    </w:p>
    <w:p w14:paraId="0F33F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Event trigger mechanism: observe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collection_events</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table for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cc7bf4"/>
          <w:sz w:val="24"/>
        </w:rPr>
        <w:t xml:space="preserve">status</w:t>
      </w:r>
      <w:r>
        <w:rPr>
          <w:rFonts w:ascii="Times New Roman" w:hAnsi="Times New Roman" w:eastAsia="Times New Roman" w:cs="Times New Roman"/>
          <w:color w:val="eaecf0"/>
          <w:sz w:val="24"/>
        </w:rPr>
        <w:t xml:space="preserve"> = </w:t>
      </w:r>
      <w:r>
        <w:rPr>
          <w:rFonts w:ascii="Times New Roman" w:hAnsi="Times New Roman" w:eastAsia="Times New Roman" w:cs="Times New Roman"/>
          <w:color w:val="9be963"/>
          <w:sz w:val="24"/>
        </w:rPr>
        <w:t xml:space="preserve">'completed'</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entries, trigger feature recomputation for affected metrics and instruments</w:t>
      </w:r>
      <w:r/>
    </w:p>
    <w:p w14:paraId="65A46D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Computation order enforcement: Categories A → C → B → F → G → D → E</w:t>
      </w:r>
      <w:r/>
    </w:p>
    <w:p w14:paraId="5E4948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Idempotency guarantee: computation framework verifies same inputs produce same outputs before writing</w:t>
      </w:r>
      <w:r/>
    </w:p>
    <w:p w14:paraId="3C308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DuckDB integration: batch feature computation for historical window runs against Parquet exports</w:t>
      </w:r>
      <w:r/>
    </w:p>
    <w:p w14:paraId="62E2EB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08A2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2.3: Category-by-category implementation**</w:t>
      </w:r>
      <w:r/>
    </w:p>
    <w:p w14:paraId="3FF9E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60DBC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Implement and verify each feature category independently:</w:t>
      </w:r>
      <w:r/>
    </w:p>
    <w:p w14:paraId="5276C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7094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Category | Implementation order | Verification method |</w:t>
      </w:r>
      <w:r/>
    </w:p>
    <w:p w14:paraId="754229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31FB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 Rolling transforms | First | Hand-calculate 5 known values for funding_rate_zscore_30d for BTC. Compare to computed output. |</w:t>
      </w:r>
      <w:r/>
    </w:p>
    <w:p w14:paraId="498A5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 Ratio/interaction | After A | Verify OI-to-volume ratio for known timestamps. |</w:t>
      </w:r>
      <w:r/>
    </w:p>
    <w:p w14:paraId="3E1EAB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B: Cross-sectional ranks | After A complete for all instruments | Verify rank ordering for a timestamp where BTC funding rate is known to be extreme. |</w:t>
      </w:r>
      <w:r/>
    </w:p>
    <w:p w14:paraId="24901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 Breadth aggregation | After A and B | Verify breadth score components sum correctly. |</w:t>
      </w:r>
      <w:r/>
    </w:p>
    <w:p w14:paraId="007A81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G: Cross-asset | After A for all instruments | Verify BTC dominance calculation against known market cap totals. |</w:t>
      </w:r>
      <w:r/>
    </w:p>
    <w:p w14:paraId="270548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 Regime labels | After A–C | Verify regime state transitions at known market inflection points. |</w:t>
      </w:r>
      <w:r/>
    </w:p>
    <w:p w14:paraId="4C842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 Calendar | Independent | Verify days-to-expiry calculation against actual Deribit expiry calendar. |</w:t>
      </w:r>
      <w:r/>
    </w:p>
    <w:p w14:paraId="2EE624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374A5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2.4: PIT constraint audit**</w:t>
      </w:r>
      <w:r/>
    </w:p>
    <w:p w14:paraId="1DD2CA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8C3C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For every feature in the catalog, manually verify that its formula cannot use future data. The audit checks:</w:t>
      </w:r>
      <w:r/>
    </w:p>
    <w:p w14:paraId="63C67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Rolling windows are backward-looking only (window extends from T backward, not forward)</w:t>
      </w:r>
      <w:r/>
    </w:p>
    <w:p w14:paraId="3B9BC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Cross-sectional ranks use only instruments available at T</w:t>
      </w:r>
      <w:r/>
    </w:p>
    <w:p w14:paraId="0B090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Derived market metrics are computed from inputs all available at T</w:t>
      </w:r>
      <w:r/>
    </w:p>
    <w:p w14:paraId="43C5F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E0AD9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Any feature that fails this audit is removed from the catalog and redesigned before Phase 3 begins.</w:t>
      </w:r>
      <w:r/>
    </w:p>
    <w:p w14:paraId="395218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6FE3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2.5: Historical feature generation**</w:t>
      </w:r>
      <w:r/>
    </w:p>
    <w:p w14:paraId="2B9413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69082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Run feature computation over the full available history to generate the feature matrix that Phase 4 will use for ML training. This is the most computationally intensive step in the build. Use DuckDB for this — it will be significantly faster than PostgreSQ</w:t>
      </w:r>
      <w:r>
        <w:rPr>
          <w:rFonts w:ascii="Times New Roman" w:hAnsi="Times New Roman" w:eastAsia="Times New Roman" w:cs="Times New Roman"/>
          <w:color w:val="eaecf0"/>
          <w:sz w:val="24"/>
        </w:rPr>
        <w:t xml:space="preserve">L for the window computations over years of data.</w:t>
      </w:r>
      <w:r/>
    </w:p>
    <w:p w14:paraId="115FF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45CB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**Phase 2 gate — hard pass/fail:**</w:t>
      </w:r>
      <w:r/>
    </w:p>
    <w:p w14:paraId="5EBA5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E6F63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Criterion | Pass condition |</w:t>
      </w:r>
      <w:r/>
    </w:p>
    <w:p w14:paraId="43A25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CB7E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Feature catalog | All features specified in Thread 3 have catalog entries |</w:t>
      </w:r>
      <w:r/>
    </w:p>
    <w:p w14:paraId="3EB20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Hand calculation match | 5 spot-checked values per feature type match computed output exactly |</w:t>
      </w:r>
      <w:r/>
    </w:p>
    <w:p w14:paraId="53E5D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PIT audit | Zero features fail the PIT constraint audit |</w:t>
      </w:r>
      <w:r/>
    </w:p>
    <w:p w14:paraId="1120DC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Historical matrix | Feature matrix generated from earliest available history to present |</w:t>
      </w:r>
      <w:r/>
    </w:p>
    <w:p w14:paraId="7F5FB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Null state coverage | All three null states (INSUFFICIENT_HISTORY, SOURCE_STALE, METRIC_UNAVAILABLE) verified to fire correctly in test conditions |</w:t>
      </w:r>
      <w:r/>
    </w:p>
    <w:p w14:paraId="5F162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Idempotency | Feature computation run twice on same inputs produces identical output |</w:t>
      </w:r>
      <w:r/>
    </w:p>
    <w:p w14:paraId="3824A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0594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26383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5C06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Phase 3: Signal Generation — EDSx</w:t>
      </w:r>
      <w:r/>
    </w:p>
    <w:p w14:paraId="3AFF6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84B6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**What gets built:** The deterministic scoring track. Fully auditable, no training required.</w:t>
      </w:r>
      <w:r/>
    </w:p>
    <w:p w14:paraId="17B968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3E25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**Sequence:**</w:t>
      </w:r>
      <w:r/>
    </w:p>
    <w:p w14:paraId="52F7C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46968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3.1: Pillar scoring rules**</w:t>
      </w:r>
      <w:r/>
    </w:p>
    <w:p w14:paraId="3BF89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2B912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For each of the four pillars, implement the rule set that maps feature values to a pillar score and direction. These rules are the EDSx methodology — they must be written down as documentation before they are implemented as code. The documentation is the s</w:t>
      </w:r>
      <w:r>
        <w:rPr>
          <w:rFonts w:ascii="Times New Roman" w:hAnsi="Times New Roman" w:eastAsia="Times New Roman" w:cs="Times New Roman"/>
          <w:color w:val="eaecf0"/>
          <w:sz w:val="24"/>
        </w:rPr>
        <w:t xml:space="preserve">pecification; the code implements the specification.</w:t>
      </w:r>
      <w:r/>
    </w:p>
    <w:p w14:paraId="2D4750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FD76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Each pillar rule set specifies:</w:t>
      </w:r>
      <w:r/>
    </w:p>
    <w:p w14:paraId="370DF0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Which features are inputs</w:t>
      </w:r>
      <w:r/>
    </w:p>
    <w:p w14:paraId="152D59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What constitutes a bullish / neutral / bearish signal for each feature</w:t>
      </w:r>
      <w:r/>
    </w:p>
    <w:p w14:paraId="75410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How individual feature signals are combined into a pillar score</w:t>
      </w:r>
      <w:r/>
    </w:p>
    <w:p w14:paraId="014B16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How confidence is computed from data completeness</w:t>
      </w:r>
      <w:r/>
    </w:p>
    <w:p w14:paraId="6A16D5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85238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3.2: Composite scoring**</w:t>
      </w:r>
      <w:r/>
    </w:p>
    <w:p w14:paraId="57E85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181DF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Implement the composite formation logic from Thread 2:</w:t>
      </w:r>
      <w:r/>
    </w:p>
    <w:p w14:paraId="1C327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Weighted sum of pillar scores</w:t>
      </w:r>
      <w:r/>
    </w:p>
    <w:p w14:paraId="1CF8D7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Direction thresholding (&gt;0.55 bullish, &lt;0.45 bearish)</w:t>
      </w:r>
      <w:r/>
    </w:p>
    <w:p w14:paraId="46742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Threshold calibration against historical data</w:t>
      </w:r>
      <w:r/>
    </w:p>
    <w:p w14:paraId="6B87D9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7BF5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**Step 3.3: Regime classification**</w:t>
      </w:r>
      <w:r/>
    </w:p>
    <w:p w14:paraId="0B5FA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43694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Implement the regime classifier. For EDSx, this is a rule-based classifier (not ML) derived from macro features:</w:t>
      </w:r>
      <w:r/>
    </w:p>
    <w:p w14:paraId="3E864C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rPr>
          <w:rFonts w:ascii="Times New Roman" w:hAnsi="Times New Roman" w:eastAsia="Times New Roman" w:cs="Times New Roman"/>
          <w:color w:val="d3d7de"/>
          <w:sz w:val="24"/>
        </w:rPr>
        <w:t xml:space="preserve">`</w:t>
      </w:r>
      <w:r/>
    </w:p>
    <w:p w14:paraId="25DD52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yield_curve_10y2y &gt; </w:t>
      </w:r>
      <w:r>
        <w:rPr>
          <w:rFonts w:ascii="Times New Roman" w:hAnsi="Times New Roman" w:eastAsia="Times New Roman" w:cs="Times New Roman"/>
          <w:color w:val="5eeded"/>
          <w:sz w:val="24"/>
        </w:rPr>
        <w:t xml:space="preserve">0</w:t>
      </w:r>
      <w:r>
        <w:rPr>
          <w:rFonts w:ascii="Times New Roman" w:hAnsi="Times New Roman" w:eastAsia="Times New Roman" w:cs="Times New Roman"/>
          <w:color w:val="eaecf0"/>
          <w:sz w:val="24"/>
        </w:rPr>
        <w:t xml:space="preserve"> AND hy_oas_zscore_90d &lt; </w:t>
      </w:r>
      <w:r>
        <w:rPr>
          <w:rFonts w:ascii="Times New Roman" w:hAnsi="Times New Roman" w:eastAsia="Times New Roman" w:cs="Times New Roman"/>
          <w:color w:val="5eeded"/>
          <w:sz w:val="24"/>
        </w:rPr>
        <w:t xml:space="preserve">0.5</w:t>
      </w:r>
      <w:r>
        <w:rPr>
          <w:rFonts w:ascii="Times New Roman" w:hAnsi="Times New Roman" w:eastAsia="Times New Roman" w:cs="Times New Roman"/>
          <w:color w:val="eaecf0"/>
          <w:sz w:val="24"/>
        </w:rPr>
        <w:t xml:space="preserve"> AND dxy_change_30d &lt; </w:t>
      </w:r>
      <w:r>
        <w:rPr>
          <w:rFonts w:ascii="Times New Roman" w:hAnsi="Times New Roman" w:eastAsia="Times New Roman" w:cs="Times New Roman"/>
          <w:color w:val="5eeded"/>
          <w:sz w:val="24"/>
        </w:rPr>
        <w:t xml:space="preserve">0</w:t>
      </w:r>
      <w:r>
        <w:rPr>
          <w:rFonts w:ascii="Times New Roman" w:hAnsi="Times New Roman" w:eastAsia="Times New Roman" w:cs="Times New Roman"/>
          <w:color w:val="eaecf0"/>
          <w:sz w:val="24"/>
        </w:rPr>
        <w:t xml:space="preserve"> → RISK_ON</w:t>
      </w:r>
      <w:r/>
    </w:p>
    <w:p w14:paraId="62076E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yield_curve_10y2y &lt; -</w:t>
      </w:r>
      <w:r>
        <w:rPr>
          <w:rFonts w:ascii="Times New Roman" w:hAnsi="Times New Roman" w:eastAsia="Times New Roman" w:cs="Times New Roman"/>
          <w:color w:val="5eeded"/>
          <w:sz w:val="24"/>
        </w:rPr>
        <w:t xml:space="preserve">0.5</w:t>
      </w:r>
      <w:r>
        <w:rPr>
          <w:rFonts w:ascii="Times New Roman" w:hAnsi="Times New Roman" w:eastAsia="Times New Roman" w:cs="Times New Roman"/>
          <w:color w:val="eaecf0"/>
          <w:sz w:val="24"/>
        </w:rPr>
        <w:t xml:space="preserve"> OR hy_oas_zscore_90d &gt; </w:t>
      </w:r>
      <w:r>
        <w:rPr>
          <w:rFonts w:ascii="Times New Roman" w:hAnsi="Times New Roman" w:eastAsia="Times New Roman" w:cs="Times New Roman"/>
          <w:color w:val="5eeded"/>
          <w:sz w:val="24"/>
        </w:rPr>
        <w:t xml:space="preserve">1.5</w:t>
      </w:r>
      <w:r>
        <w:rPr>
          <w:rFonts w:ascii="Times New Roman" w:hAnsi="Times New Roman" w:eastAsia="Times New Roman" w:cs="Times New Roman"/>
          <w:color w:val="eaecf0"/>
          <w:sz w:val="24"/>
        </w:rPr>
        <w:t xml:space="preserve"> → RISK_OFF</w:t>
      </w:r>
      <w:r/>
    </w:p>
    <w:p w14:paraId="25B7D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otherwise → TRANSITION</w:t>
      </w:r>
      <w:r/>
    </w:p>
    <w:p w14:paraId="7F19A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thresholds are initial estimates. They are calibrated in the next step.</w:t>
      </w:r>
      <w:r/>
    </w:p>
    <w:p w14:paraId="4A95A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3.4: Backtesting and calibration</w:t>
      </w:r>
      <w:r/>
    </w:p>
    <w:p w14:paraId="458ACA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 EDSx over the full historical feature matrix. Evaluate:</w:t>
      </w:r>
      <w:r/>
    </w:p>
    <w:p w14:paraId="03790A18">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Directional accuracy at 14-day horizon for each instrument</w:t>
      </w:r>
      <w:r/>
    </w:p>
    <w:p w14:paraId="30CB6070">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Confusion matrix per pillar</w:t>
      </w:r>
      <w:r/>
    </w:p>
    <w:p w14:paraId="5A3711C2">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Confidence calibration: does 80% confidence correspond to ~80% accuracy?</w:t>
      </w:r>
      <w:r/>
    </w:p>
    <w:p w14:paraId="4B76D243">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Regime classification accuracy against known historical regimes</w:t>
      </w:r>
      <w:r/>
    </w:p>
    <w:p w14:paraId="5A49B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Calibrate:</w:t>
      </w:r>
      <w:r/>
    </w:p>
    <w:p w14:paraId="4CAB27BB">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Composite score thresholds (currently 0.55/0.45) against F1 maximization</w:t>
      </w:r>
      <w:r/>
    </w:p>
    <w:p w14:paraId="14DD1B04">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Regime classifier thresholds against historical known states (COVID crash = RISK_OFF, 2021 bull run = RISK_ON, etc.)</w:t>
      </w:r>
      <w:r/>
    </w:p>
    <w:p w14:paraId="479359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3.5: Output schema verification</w:t>
      </w:r>
      <w:r/>
    </w:p>
    <w:p w14:paraId="4051A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 EDSx for a sample of recent dates and verify the output exactly matches the Layer 6 contract from Thread 1:</w:t>
      </w:r>
      <w:r/>
    </w:p>
    <w:p w14:paraId="4CB2B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json</w:t>
      </w:r>
      <w:r/>
    </w:p>
    <w:p w14:paraId="29E87F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31B509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"instrument"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"BTC"</w:t>
      </w:r>
      <w:r>
        <w:rPr>
          <w:rFonts w:ascii="Times New Roman" w:hAnsi="Times New Roman" w:eastAsia="Times New Roman" w:cs="Times New Roman"/>
          <w:color w:val="d3d7de"/>
          <w:sz w:val="24"/>
        </w:rPr>
        <w:t xml:space="preserve">,</w:t>
      </w:r>
      <w:r/>
    </w:p>
    <w:p w14:paraId="744CB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"timestamp"</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w:t>
      </w:r>
      <w:r>
        <w:rPr>
          <w:rFonts w:ascii="Times New Roman" w:hAnsi="Times New Roman" w:eastAsia="Times New Roman" w:cs="Times New Roman"/>
          <w:color w:val="d3d7de"/>
          <w:sz w:val="24"/>
        </w:rPr>
        <w:t xml:space="preserve">,</w:t>
      </w:r>
      <w:r/>
    </w:p>
    <w:p w14:paraId="216010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"signal"</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5B54A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"direction"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"bullish"</w:t>
      </w:r>
      <w:r>
        <w:rPr>
          <w:rFonts w:ascii="Times New Roman" w:hAnsi="Times New Roman" w:eastAsia="Times New Roman" w:cs="Times New Roman"/>
          <w:color w:val="d3d7de"/>
          <w:sz w:val="24"/>
        </w:rPr>
        <w:t xml:space="preserve">,</w:t>
      </w:r>
      <w:r/>
    </w:p>
    <w:p w14:paraId="38450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"confidence"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5eeded"/>
          <w:sz w:val="24"/>
        </w:rPr>
        <w:t xml:space="preserve">0.73</w:t>
      </w:r>
      <w:r>
        <w:rPr>
          <w:rFonts w:ascii="Times New Roman" w:hAnsi="Times New Roman" w:eastAsia="Times New Roman" w:cs="Times New Roman"/>
          <w:color w:val="d3d7de"/>
          <w:sz w:val="24"/>
        </w:rPr>
        <w:t xml:space="preserve">,</w:t>
      </w:r>
      <w:r/>
    </w:p>
    <w:p w14:paraId="3ADDDA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"magnitude"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cc7bf4"/>
          <w:sz w:val="24"/>
        </w:rPr>
        <w:t xml:space="preserve">null</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EDSx does not produce magnitude</w:t>
      </w:r>
      <w:r/>
    </w:p>
    <w:p w14:paraId="5FC935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"horizon"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"14d"</w:t>
      </w:r>
      <w:r>
        <w:rPr>
          <w:rFonts w:ascii="Times New Roman" w:hAnsi="Times New Roman" w:eastAsia="Times New Roman" w:cs="Times New Roman"/>
          <w:color w:val="d3d7de"/>
          <w:sz w:val="24"/>
        </w:rPr>
        <w:t xml:space="preserve">,</w:t>
      </w:r>
      <w:r/>
    </w:p>
    <w:p w14:paraId="452EF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"regime"</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"risk_on"</w:t>
      </w:r>
      <w:r/>
    </w:p>
    <w:p w14:paraId="1078F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p>
    <w:p w14:paraId="0DD093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f47b85"/>
          <w:sz w:val="24"/>
        </w:rPr>
        <w:t xml:space="preserve">"components"</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d3d7de"/>
          <w:sz w:val="24"/>
        </w:rPr>
        <w:t xml:space="preserve">{</w:t>
      </w:r>
      <w:r>
        <w:rPr>
          <w:rFonts w:ascii="Times New Roman" w:hAnsi="Times New Roman" w:eastAsia="Times New Roman" w:cs="Times New Roman"/>
          <w:color w:val="eaecf0"/>
          <w:sz w:val="24"/>
        </w:rPr>
        <w:t xml:space="preserve"> ... </w:t>
      </w:r>
      <w:r>
        <w:rPr>
          <w:rFonts w:ascii="Times New Roman" w:hAnsi="Times New Roman" w:eastAsia="Times New Roman" w:cs="Times New Roman"/>
          <w:color w:val="d3d7de"/>
          <w:sz w:val="24"/>
        </w:rPr>
        <w:t xml:space="preserve">}</w:t>
      </w:r>
      <w:r/>
    </w:p>
    <w:p w14:paraId="18AFA2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d3d7de"/>
          <w:sz w:val="24"/>
        </w:rPr>
        <w:t xml:space="preserve">}</w:t>
      </w:r>
      <w:r/>
    </w:p>
    <w:p w14:paraId="5C839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Magnitude is null at this phase — EDSx doesn't produce it. The API layer will synthesize magnitude from the ML track in Phase 5. The output schema must be structurally valid with null magnitude before Phase 4 begins.</w:t>
      </w:r>
      <w:r/>
    </w:p>
    <w:p w14:paraId="4EE3D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3 gate — hard pass/fail: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0"/>
        <w:gridCol w:w="7915"/>
      </w:tblGrid>
      <w:tr>
        <w:trPr/>
        <w:tc>
          <w:tcPr>
            <w:tcBorders/>
            <w:tcMar>
              <w:left w:w="15" w:type="dxa"/>
              <w:top w:w="15" w:type="dxa"/>
              <w:right w:w="15" w:type="dxa"/>
              <w:bottom w:w="15" w:type="dxa"/>
            </w:tcMar>
            <w:tcW w:w="1440" w:type="dxa"/>
            <w:vAlign w:val="center"/>
          </w:tcPr>
          <w:p w14:paraId="3CF0A689">
            <w:pPr>
              <w:pBdr/>
              <w:spacing w:after="0" w:before="0" w:line="240"/>
              <w:ind/>
              <w:jc w:val="center"/>
              <w:rPr/>
            </w:pPr>
            <w:r>
              <w:rPr>
                <w:rFonts w:ascii="Times New Roman" w:hAnsi="Times New Roman" w:eastAsia="Times New Roman" w:cs="Times New Roman"/>
                <w:b/>
                <w:color w:val="000000"/>
                <w:sz w:val="24"/>
              </w:rPr>
              <w:t xml:space="preserve">Criterion</w:t>
            </w:r>
            <w:r/>
          </w:p>
        </w:tc>
        <w:tc>
          <w:tcPr>
            <w:tcBorders/>
            <w:tcMar>
              <w:left w:w="15" w:type="dxa"/>
              <w:top w:w="15" w:type="dxa"/>
              <w:right w:w="15" w:type="dxa"/>
              <w:bottom w:w="15" w:type="dxa"/>
            </w:tcMar>
            <w:tcW w:w="7915" w:type="dxa"/>
            <w:vAlign w:val="center"/>
          </w:tcPr>
          <w:p w14:paraId="66156C29">
            <w:pPr>
              <w:pBdr/>
              <w:spacing w:after="0" w:before="0" w:line="240"/>
              <w:ind/>
              <w:jc w:val="center"/>
              <w:rPr/>
            </w:pPr>
            <w:r>
              <w:rPr>
                <w:rFonts w:ascii="Times New Roman" w:hAnsi="Times New Roman" w:eastAsia="Times New Roman" w:cs="Times New Roman"/>
                <w:b/>
                <w:color w:val="000000"/>
                <w:sz w:val="24"/>
              </w:rPr>
              <w:t xml:space="preserve">Pass condition</w:t>
            </w:r>
            <w:r/>
          </w:p>
        </w:tc>
      </w:tr>
      <w:tr>
        <w:trPr/>
        <w:tc>
          <w:tcPr>
            <w:tcBorders/>
            <w:tcMar>
              <w:left w:w="15" w:type="dxa"/>
              <w:top w:w="15" w:type="dxa"/>
              <w:right w:w="15" w:type="dxa"/>
              <w:bottom w:w="15" w:type="dxa"/>
            </w:tcMar>
            <w:tcW w:w="1440" w:type="dxa"/>
            <w:vAlign w:val="center"/>
          </w:tcPr>
          <w:p w14:paraId="69884D80">
            <w:pPr>
              <w:pBdr/>
              <w:spacing w:after="0" w:before="0" w:line="240"/>
              <w:ind/>
              <w:rPr/>
            </w:pPr>
            <w:r>
              <w:rPr>
                <w:rFonts w:ascii="Times New Roman" w:hAnsi="Times New Roman" w:eastAsia="Times New Roman" w:cs="Times New Roman"/>
                <w:color w:val="000000"/>
                <w:sz w:val="24"/>
              </w:rPr>
              <w:t xml:space="preserve">Rule documentation</w:t>
            </w:r>
            <w:r/>
          </w:p>
        </w:tc>
        <w:tc>
          <w:tcPr>
            <w:tcBorders/>
            <w:tcMar>
              <w:left w:w="15" w:type="dxa"/>
              <w:top w:w="15" w:type="dxa"/>
              <w:right w:w="15" w:type="dxa"/>
              <w:bottom w:w="15" w:type="dxa"/>
            </w:tcMar>
            <w:tcW w:w="7915" w:type="dxa"/>
            <w:vAlign w:val="center"/>
          </w:tcPr>
          <w:p w14:paraId="642B7076">
            <w:pPr>
              <w:pBdr/>
              <w:spacing w:after="0" w:before="0" w:line="240"/>
              <w:ind/>
              <w:rPr/>
            </w:pPr>
            <w:r>
              <w:rPr>
                <w:rFonts w:ascii="Times New Roman" w:hAnsi="Times New Roman" w:eastAsia="Times New Roman" w:cs="Times New Roman"/>
                <w:color w:val="000000"/>
                <w:sz w:val="24"/>
              </w:rPr>
              <w:t xml:space="preserve">All four pillar rule sets written as methodology documents before code review</w:t>
            </w:r>
            <w:r/>
          </w:p>
        </w:tc>
      </w:tr>
      <w:tr>
        <w:trPr/>
        <w:tc>
          <w:tcPr>
            <w:tcBorders/>
            <w:tcMar>
              <w:left w:w="15" w:type="dxa"/>
              <w:top w:w="15" w:type="dxa"/>
              <w:right w:w="15" w:type="dxa"/>
              <w:bottom w:w="15" w:type="dxa"/>
            </w:tcMar>
            <w:tcW w:w="1440" w:type="dxa"/>
            <w:vAlign w:val="center"/>
          </w:tcPr>
          <w:p w14:paraId="648BAF9F">
            <w:pPr>
              <w:pBdr/>
              <w:spacing w:after="0" w:before="0" w:line="240"/>
              <w:ind/>
              <w:rPr/>
            </w:pPr>
            <w:r>
              <w:rPr>
                <w:rFonts w:ascii="Times New Roman" w:hAnsi="Times New Roman" w:eastAsia="Times New Roman" w:cs="Times New Roman"/>
                <w:color w:val="000000"/>
                <w:sz w:val="24"/>
              </w:rPr>
              <w:t xml:space="preserve">Backtested accuracy</w:t>
            </w:r>
            <w:r/>
          </w:p>
        </w:tc>
        <w:tc>
          <w:tcPr>
            <w:tcBorders/>
            <w:tcMar>
              <w:left w:w="15" w:type="dxa"/>
              <w:top w:w="15" w:type="dxa"/>
              <w:right w:w="15" w:type="dxa"/>
              <w:bottom w:w="15" w:type="dxa"/>
            </w:tcMar>
            <w:tcW w:w="7915" w:type="dxa"/>
            <w:vAlign w:val="center"/>
          </w:tcPr>
          <w:p w14:paraId="002AEA84">
            <w:pPr>
              <w:pBdr/>
              <w:spacing w:after="0" w:before="0" w:line="240"/>
              <w:ind/>
              <w:rPr/>
            </w:pPr>
            <w:r>
              <w:rPr>
                <w:rFonts w:ascii="Times New Roman" w:hAnsi="Times New Roman" w:eastAsia="Times New Roman" w:cs="Times New Roman"/>
                <w:color w:val="000000"/>
                <w:sz w:val="24"/>
              </w:rPr>
              <w:t xml:space="preserve">EDSx directional accuracy &gt; 52% at 14-day horizon on OOS period (modest bar — EDSx is not the primary accuracy driver)</w:t>
            </w:r>
            <w:r/>
          </w:p>
        </w:tc>
      </w:tr>
      <w:tr>
        <w:trPr/>
        <w:tc>
          <w:tcPr>
            <w:tcBorders/>
            <w:tcMar>
              <w:left w:w="15" w:type="dxa"/>
              <w:top w:w="15" w:type="dxa"/>
              <w:right w:w="15" w:type="dxa"/>
              <w:bottom w:w="15" w:type="dxa"/>
            </w:tcMar>
            <w:tcW w:w="1440" w:type="dxa"/>
            <w:vAlign w:val="center"/>
          </w:tcPr>
          <w:p w14:paraId="556CC729">
            <w:pPr>
              <w:pBdr/>
              <w:spacing w:after="0" w:before="0" w:line="240"/>
              <w:ind/>
              <w:rPr/>
            </w:pPr>
            <w:r>
              <w:rPr>
                <w:rFonts w:ascii="Times New Roman" w:hAnsi="Times New Roman" w:eastAsia="Times New Roman" w:cs="Times New Roman"/>
                <w:color w:val="000000"/>
                <w:sz w:val="24"/>
              </w:rPr>
              <w:t xml:space="preserve">Confidence calibration</w:t>
            </w:r>
            <w:r/>
          </w:p>
        </w:tc>
        <w:tc>
          <w:tcPr>
            <w:tcBorders/>
            <w:tcMar>
              <w:left w:w="15" w:type="dxa"/>
              <w:top w:w="15" w:type="dxa"/>
              <w:right w:w="15" w:type="dxa"/>
              <w:bottom w:w="15" w:type="dxa"/>
            </w:tcMar>
            <w:tcW w:w="7915" w:type="dxa"/>
            <w:vAlign w:val="center"/>
          </w:tcPr>
          <w:p w14:paraId="45B3C3AF">
            <w:pPr>
              <w:pBdr/>
              <w:spacing w:after="0" w:before="0" w:line="240"/>
              <w:ind/>
              <w:rPr/>
            </w:pPr>
            <w:r>
              <w:rPr>
                <w:rFonts w:ascii="Times New Roman" w:hAnsi="Times New Roman" w:eastAsia="Times New Roman" w:cs="Times New Roman"/>
                <w:color w:val="000000"/>
                <w:sz w:val="24"/>
              </w:rPr>
              <w:t xml:space="preserve">Calibration curve shows monotonic relationship between confidence and accuracy</w:t>
            </w:r>
            <w:r/>
          </w:p>
        </w:tc>
      </w:tr>
      <w:tr>
        <w:trPr/>
        <w:tc>
          <w:tcPr>
            <w:tcBorders/>
            <w:tcMar>
              <w:left w:w="15" w:type="dxa"/>
              <w:top w:w="15" w:type="dxa"/>
              <w:right w:w="15" w:type="dxa"/>
              <w:bottom w:w="15" w:type="dxa"/>
            </w:tcMar>
            <w:tcW w:w="1440" w:type="dxa"/>
            <w:vAlign w:val="center"/>
          </w:tcPr>
          <w:p w14:paraId="49C171B8">
            <w:pPr>
              <w:pBdr/>
              <w:spacing w:after="0" w:before="0" w:line="240"/>
              <w:ind/>
              <w:rPr/>
            </w:pPr>
            <w:r>
              <w:rPr>
                <w:rFonts w:ascii="Times New Roman" w:hAnsi="Times New Roman" w:eastAsia="Times New Roman" w:cs="Times New Roman"/>
                <w:color w:val="000000"/>
                <w:sz w:val="24"/>
              </w:rPr>
              <w:t xml:space="preserve">Regime classification</w:t>
            </w:r>
            <w:r/>
          </w:p>
        </w:tc>
        <w:tc>
          <w:tcPr>
            <w:tcBorders/>
            <w:tcMar>
              <w:left w:w="15" w:type="dxa"/>
              <w:top w:w="15" w:type="dxa"/>
              <w:right w:w="15" w:type="dxa"/>
              <w:bottom w:w="15" w:type="dxa"/>
            </w:tcMar>
            <w:tcW w:w="7915" w:type="dxa"/>
            <w:vAlign w:val="center"/>
          </w:tcPr>
          <w:p w14:paraId="1EC5E26B">
            <w:pPr>
              <w:pBdr/>
              <w:spacing w:after="0" w:before="0" w:line="240"/>
              <w:ind/>
              <w:rPr/>
            </w:pPr>
            <w:r>
              <w:rPr>
                <w:rFonts w:ascii="Times New Roman" w:hAnsi="Times New Roman" w:eastAsia="Times New Roman" w:cs="Times New Roman"/>
                <w:color w:val="000000"/>
                <w:sz w:val="24"/>
              </w:rPr>
              <w:t xml:space="preserve">Manual spot-check of 10 known historical regime periods — ≥8 correctly classified</w:t>
            </w:r>
            <w:r/>
          </w:p>
        </w:tc>
      </w:tr>
      <w:tr>
        <w:trPr/>
        <w:tc>
          <w:tcPr>
            <w:tcBorders/>
            <w:tcMar>
              <w:left w:w="15" w:type="dxa"/>
              <w:top w:w="15" w:type="dxa"/>
              <w:right w:w="15" w:type="dxa"/>
              <w:bottom w:w="15" w:type="dxa"/>
            </w:tcMar>
            <w:tcW w:w="1440" w:type="dxa"/>
            <w:vAlign w:val="center"/>
          </w:tcPr>
          <w:p w14:paraId="50256C53">
            <w:pPr>
              <w:pBdr/>
              <w:spacing w:after="0" w:before="0" w:line="240"/>
              <w:ind/>
              <w:rPr/>
            </w:pPr>
            <w:r>
              <w:rPr>
                <w:rFonts w:ascii="Times New Roman" w:hAnsi="Times New Roman" w:eastAsia="Times New Roman" w:cs="Times New Roman"/>
                <w:color w:val="000000"/>
                <w:sz w:val="24"/>
              </w:rPr>
              <w:t xml:space="preserve">Output schema</w:t>
            </w:r>
            <w:r/>
          </w:p>
        </w:tc>
        <w:tc>
          <w:tcPr>
            <w:tcBorders/>
            <w:tcMar>
              <w:left w:w="15" w:type="dxa"/>
              <w:top w:w="15" w:type="dxa"/>
              <w:right w:w="15" w:type="dxa"/>
              <w:bottom w:w="15" w:type="dxa"/>
            </w:tcMar>
            <w:tcW w:w="7915" w:type="dxa"/>
            <w:vAlign w:val="center"/>
          </w:tcPr>
          <w:p w14:paraId="107E9240">
            <w:pPr>
              <w:pBdr/>
              <w:spacing w:after="0" w:before="0" w:line="240"/>
              <w:ind/>
              <w:rPr/>
            </w:pPr>
            <w:r>
              <w:rPr>
                <w:rFonts w:ascii="Times New Roman" w:hAnsi="Times New Roman" w:eastAsia="Times New Roman" w:cs="Times New Roman"/>
                <w:color w:val="000000"/>
                <w:sz w:val="24"/>
              </w:rPr>
              <w:t xml:space="preserve">EDSx output validates against Layer 6 contract schema for all signal-eligible instruments</w:t>
            </w:r>
            <w:r/>
          </w:p>
        </w:tc>
      </w:tr>
      <w:tr>
        <w:trPr/>
        <w:tc>
          <w:tcPr>
            <w:tcBorders/>
            <w:tcMar>
              <w:left w:w="15" w:type="dxa"/>
              <w:top w:w="15" w:type="dxa"/>
              <w:right w:w="15" w:type="dxa"/>
              <w:bottom w:w="15" w:type="dxa"/>
            </w:tcMar>
            <w:tcW w:w="1440" w:type="dxa"/>
            <w:vAlign w:val="center"/>
          </w:tcPr>
          <w:p w14:paraId="3E44FFAF">
            <w:pPr>
              <w:pBdr/>
              <w:spacing w:after="0" w:before="0" w:line="240"/>
              <w:ind/>
              <w:rPr/>
            </w:pPr>
            <w:r>
              <w:rPr>
                <w:rFonts w:ascii="Times New Roman" w:hAnsi="Times New Roman" w:eastAsia="Times New Roman" w:cs="Times New Roman"/>
                <w:color w:val="000000"/>
                <w:sz w:val="24"/>
              </w:rPr>
              <w:t xml:space="preserve">Null propagation</w:t>
            </w:r>
            <w:r/>
          </w:p>
        </w:tc>
        <w:tc>
          <w:tcPr>
            <w:tcBorders/>
            <w:tcMar>
              <w:left w:w="15" w:type="dxa"/>
              <w:top w:w="15" w:type="dxa"/>
              <w:right w:w="15" w:type="dxa"/>
              <w:bottom w:w="15" w:type="dxa"/>
            </w:tcMar>
            <w:tcW w:w="7915" w:type="dxa"/>
            <w:vAlign w:val="center"/>
          </w:tcPr>
          <w:p w14:paraId="393352FB">
            <w:pPr>
              <w:pBdr/>
              <w:spacing w:after="0" w:before="0" w:line="240"/>
              <w:ind/>
              <w:rPr/>
            </w:pPr>
            <w:r>
              <w:rPr>
                <w:rFonts w:ascii="Times New Roman" w:hAnsi="Times New Roman" w:eastAsia="Times New Roman" w:cs="Times New Roman"/>
                <w:color w:val="000000"/>
                <w:sz w:val="24"/>
              </w:rPr>
              <w:t xml:space="preserve">Verified: when a pillar input is missing, confidence decreases and signal still serves (it does not crash or return null signal)</w:t>
            </w:r>
            <w:r/>
          </w:p>
        </w:tc>
      </w:tr>
    </w:tbl>
    <w:p w14:paraId="5F25393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4: Signal Generation — ML</w:t>
      </w:r>
      <w:r/>
    </w:p>
    <w:p w14:paraId="50D5C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gets built:</w:t>
      </w:r>
      <w:r>
        <w:rPr>
          <w:rFonts w:ascii="Times New Roman" w:hAnsi="Times New Roman" w:eastAsia="Times New Roman" w:cs="Times New Roman"/>
          <w:color w:val="000000"/>
          <w:sz w:val="24"/>
        </w:rPr>
        <w:t xml:space="preserve"> The five ML models. Walk-forward trained, calibrated, shadow-deployed.</w:t>
      </w:r>
      <w:r/>
    </w:p>
    <w:p w14:paraId="673FDD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Sequence:</w:t>
      </w:r>
      <w:r/>
    </w:p>
    <w:p w14:paraId="253E1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4.1: Training infrastructure</w:t>
      </w:r>
      <w:r/>
    </w:p>
    <w:p w14:paraId="61B2A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the training pipeline before training any model:</w:t>
      </w:r>
      <w:r/>
    </w:p>
    <w:p w14:paraId="64071041">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Walk-forward fold generator: given a dataset and a fold config, produces training and validation windows without look-ahead</w:t>
      </w:r>
      <w:r/>
    </w:p>
    <w:p w14:paraId="311DE269">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LightGBM wrapper: handles training, calibration (isotonic regression), and model serialization</w:t>
      </w:r>
      <w:r/>
    </w:p>
    <w:p w14:paraId="66381B66">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Evaluation framework: computes all five graduation criteria automatically</w:t>
      </w:r>
      <w:r/>
    </w:p>
    <w:p w14:paraId="08CCAEBF">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Feature importance logging: extracts and stores feature importance after each training run</w:t>
      </w:r>
      <w:r/>
    </w:p>
    <w:p w14:paraId="170D48F3">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registry: tracks model versions, training dates, feature versions, and graduation status</w:t>
      </w:r>
      <w:r/>
    </w:p>
    <w:p w14:paraId="5271D4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4.2: Label generation</w:t>
      </w:r>
      <w:r/>
    </w:p>
    <w:p w14:paraId="13DDC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Generate 14-day volume-adjusted forward return labels for all signal-eligible instruments over the full available history. This requires careful PIT handling:</w:t>
      </w:r>
      <w:r/>
    </w:p>
    <w:p w14:paraId="2E6D76DF">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Labels are generated on the historical data only</w:t>
      </w:r>
      <w:r/>
    </w:p>
    <w:p w14:paraId="0B3E116D">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Label at time T = 14-day forward return starting at T — this uses data from T+1 to T+14</w:t>
      </w:r>
      <w:r/>
    </w:p>
    <w:p w14:paraId="6D95C291">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Labels are ONLY used for training. They are never served to customers. They are never used in production signal computation. They exist only in the training pipeline.</w:t>
      </w:r>
      <w:r/>
    </w:p>
    <w:p w14:paraId="742FB125">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Tercile boundaries computed on each training window independently</w:t>
      </w:r>
      <w:r/>
    </w:p>
    <w:p w14:paraId="38363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4.3: Domain model training</w:t>
      </w:r>
      <w:r/>
    </w:p>
    <w:p w14:paraId="176D27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Train each of the five models independently. For each:</w:t>
      </w:r>
      <w:r/>
    </w:p>
    <w:p w14:paraId="2DD8B605">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 feature matrix for the model's feature subset</w:t>
      </w:r>
      <w:r/>
    </w:p>
    <w:p w14:paraId="57B6A6BE">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 walk-forward training with 12 minimum OOS months</w:t>
      </w:r>
      <w:r/>
    </w:p>
    <w:p w14:paraId="1F723DDB">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Apply isotonic calibration</w:t>
      </w:r>
      <w:r/>
    </w:p>
    <w:p w14:paraId="611A4653">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Evaluate all five graduation criteria</w:t>
      </w:r>
      <w:r/>
    </w:p>
    <w:p w14:paraId="608CE23D">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criteria pass: model graduates to shadow. If not: investigate, adjust features or hyperparameters, retrain. Do not graduate a model that fails.</w:t>
      </w:r>
      <w:r/>
    </w:p>
    <w:p w14:paraId="3D534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Training order: M-Macro first (fastest, market-level features, no per-instrument complexity), then M-Derivatives, M-Flows, M-DeFi, then M-Synthesis last (depends on the four domain model outputs).</w:t>
      </w:r>
      <w:r/>
    </w:p>
    <w:p w14:paraId="387F8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4.4: Shadow deployment</w:t>
      </w:r>
      <w:r/>
    </w:p>
    <w:p w14:paraId="7F0BD0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five models enter shadow mode. Shadow mode means:</w:t>
      </w:r>
      <w:r/>
    </w:p>
    <w:p w14:paraId="072F3780">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Models run in the production infrastructure on the production schedule</w:t>
      </w:r>
      <w:r/>
    </w:p>
    <w:p w14:paraId="61590198">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Outputs are written to shadow tables, not to the live signal output</w:t>
      </w:r>
      <w:r/>
    </w:p>
    <w:p w14:paraId="14616FBE">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Shadow outputs are compared to EDSx outputs daily</w:t>
      </w:r>
      <w:r/>
    </w:p>
    <w:p w14:paraId="3B4DBD9C">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Agreement rate, directional accuracy (where verifiable), and confidence calibration are tracked</w:t>
      </w:r>
      <w:r/>
    </w:p>
    <w:p w14:paraId="740384B6">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Shadow period: minimum 30 days</w:t>
      </w:r>
      <w:r/>
    </w:p>
    <w:p w14:paraId="52438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4.5: Shadow evaluation</w:t>
      </w:r>
      <w:r/>
    </w:p>
    <w:p w14:paraId="37F33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end of the shadow period, evaluate:</w:t>
      </w:r>
      <w:r/>
    </w:p>
    <w:p w14:paraId="5064E46B">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 graduation criteria hold on the shadow period data?</w:t>
      </w:r>
      <w:r/>
    </w:p>
    <w:p w14:paraId="6EC40B1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the track agreement rate between EDSx and ML reasonable (&gt;60% expected)?</w:t>
      </w:r>
      <w:r/>
    </w:p>
    <w:p w14:paraId="37F1F31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there systematic disagreements on specific instruments or regimes?</w:t>
      </w:r>
      <w:r/>
    </w:p>
    <w:p w14:paraId="0B67EBA4">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Feature importance: is any single feature explaining &gt;40% of importance (instability signal)?</w:t>
      </w:r>
      <w:r/>
    </w:p>
    <w:p w14:paraId="1F543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shadow evaluation passes: proceed to Phase 5. If not: investigate, retrain if needed, extend shadow period.</w:t>
      </w:r>
      <w:r/>
    </w:p>
    <w:p w14:paraId="0C1CE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4 gate — hard pass/fail: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58"/>
        <w:gridCol w:w="7896"/>
      </w:tblGrid>
      <w:tr>
        <w:trPr/>
        <w:tc>
          <w:tcPr>
            <w:tcBorders/>
            <w:tcMar>
              <w:left w:w="15" w:type="dxa"/>
              <w:top w:w="15" w:type="dxa"/>
              <w:right w:w="15" w:type="dxa"/>
              <w:bottom w:w="15" w:type="dxa"/>
            </w:tcMar>
            <w:tcW w:w="1458" w:type="dxa"/>
            <w:vAlign w:val="center"/>
          </w:tcPr>
          <w:p w14:paraId="00FBAFB0">
            <w:pPr>
              <w:pBdr/>
              <w:spacing w:after="0" w:before="0" w:line="240"/>
              <w:ind/>
              <w:jc w:val="center"/>
              <w:rPr/>
            </w:pPr>
            <w:r>
              <w:rPr>
                <w:rFonts w:ascii="Times New Roman" w:hAnsi="Times New Roman" w:eastAsia="Times New Roman" w:cs="Times New Roman"/>
                <w:b/>
                <w:color w:val="000000"/>
                <w:sz w:val="24"/>
              </w:rPr>
              <w:t xml:space="preserve">Criterion</w:t>
            </w:r>
            <w:r/>
          </w:p>
        </w:tc>
        <w:tc>
          <w:tcPr>
            <w:tcBorders/>
            <w:tcMar>
              <w:left w:w="15" w:type="dxa"/>
              <w:top w:w="15" w:type="dxa"/>
              <w:right w:w="15" w:type="dxa"/>
              <w:bottom w:w="15" w:type="dxa"/>
            </w:tcMar>
            <w:tcW w:w="7896" w:type="dxa"/>
            <w:vAlign w:val="center"/>
          </w:tcPr>
          <w:p w14:paraId="76F9B805">
            <w:pPr>
              <w:pBdr/>
              <w:spacing w:after="0" w:before="0" w:line="240"/>
              <w:ind/>
              <w:jc w:val="center"/>
              <w:rPr/>
            </w:pPr>
            <w:r>
              <w:rPr>
                <w:rFonts w:ascii="Times New Roman" w:hAnsi="Times New Roman" w:eastAsia="Times New Roman" w:cs="Times New Roman"/>
                <w:b/>
                <w:color w:val="000000"/>
                <w:sz w:val="24"/>
              </w:rPr>
              <w:t xml:space="preserve">Pass condition</w:t>
            </w:r>
            <w:r/>
          </w:p>
        </w:tc>
      </w:tr>
      <w:tr>
        <w:trPr/>
        <w:tc>
          <w:tcPr>
            <w:tcBorders/>
            <w:tcMar>
              <w:left w:w="15" w:type="dxa"/>
              <w:top w:w="15" w:type="dxa"/>
              <w:right w:w="15" w:type="dxa"/>
              <w:bottom w:w="15" w:type="dxa"/>
            </w:tcMar>
            <w:tcW w:w="1458" w:type="dxa"/>
            <w:vAlign w:val="center"/>
          </w:tcPr>
          <w:p w14:paraId="259FB583">
            <w:pPr>
              <w:pBdr/>
              <w:spacing w:after="0" w:before="0" w:line="240"/>
              <w:ind/>
              <w:rPr/>
            </w:pPr>
            <w:r>
              <w:rPr>
                <w:rFonts w:ascii="Times New Roman" w:hAnsi="Times New Roman" w:eastAsia="Times New Roman" w:cs="Times New Roman"/>
                <w:color w:val="000000"/>
                <w:sz w:val="24"/>
              </w:rPr>
              <w:t xml:space="preserve">All 5 models trained</w:t>
            </w:r>
            <w:r/>
          </w:p>
        </w:tc>
        <w:tc>
          <w:tcPr>
            <w:tcBorders/>
            <w:tcMar>
              <w:left w:w="15" w:type="dxa"/>
              <w:top w:w="15" w:type="dxa"/>
              <w:right w:w="15" w:type="dxa"/>
              <w:bottom w:w="15" w:type="dxa"/>
            </w:tcMar>
            <w:tcW w:w="7896" w:type="dxa"/>
            <w:vAlign w:val="center"/>
          </w:tcPr>
          <w:p w14:paraId="32D3C82A">
            <w:pPr>
              <w:pBdr/>
              <w:spacing w:after="0" w:before="0" w:line="240"/>
              <w:ind/>
              <w:rPr/>
            </w:pPr>
            <w:r>
              <w:rPr>
                <w:rFonts w:ascii="Times New Roman" w:hAnsi="Times New Roman" w:eastAsia="Times New Roman" w:cs="Times New Roman"/>
                <w:color w:val="000000"/>
                <w:sz w:val="24"/>
              </w:rPr>
              <w:t xml:space="preserve">Walk-forward training completed, OOS period ≥12 months</w:t>
            </w:r>
            <w:r/>
          </w:p>
        </w:tc>
      </w:tr>
      <w:tr>
        <w:trPr/>
        <w:tc>
          <w:tcPr>
            <w:tcBorders/>
            <w:tcMar>
              <w:left w:w="15" w:type="dxa"/>
              <w:top w:w="15" w:type="dxa"/>
              <w:right w:w="15" w:type="dxa"/>
              <w:bottom w:w="15" w:type="dxa"/>
            </w:tcMar>
            <w:tcW w:w="1458" w:type="dxa"/>
            <w:vAlign w:val="center"/>
          </w:tcPr>
          <w:p w14:paraId="11643FC0">
            <w:pPr>
              <w:pBdr/>
              <w:spacing w:after="0" w:before="0" w:line="240"/>
              <w:ind/>
              <w:rPr/>
            </w:pPr>
            <w:r>
              <w:rPr>
                <w:rFonts w:ascii="Times New Roman" w:hAnsi="Times New Roman" w:eastAsia="Times New Roman" w:cs="Times New Roman"/>
                <w:color w:val="000000"/>
                <w:sz w:val="24"/>
              </w:rPr>
              <w:t xml:space="preserve">Graduation criteria</w:t>
            </w:r>
            <w:r/>
          </w:p>
        </w:tc>
        <w:tc>
          <w:tcPr>
            <w:tcBorders/>
            <w:tcMar>
              <w:left w:w="15" w:type="dxa"/>
              <w:top w:w="15" w:type="dxa"/>
              <w:right w:w="15" w:type="dxa"/>
              <w:bottom w:w="15" w:type="dxa"/>
            </w:tcMar>
            <w:tcW w:w="7896" w:type="dxa"/>
            <w:vAlign w:val="center"/>
          </w:tcPr>
          <w:p w14:paraId="178DCF59">
            <w:pPr>
              <w:pBdr/>
              <w:spacing w:after="0" w:before="0" w:line="240"/>
              <w:ind/>
              <w:rPr/>
            </w:pPr>
            <w:r>
              <w:rPr>
                <w:rFonts w:ascii="Times New Roman" w:hAnsi="Times New Roman" w:eastAsia="Times New Roman" w:cs="Times New Roman"/>
                <w:color w:val="000000"/>
                <w:sz w:val="24"/>
              </w:rPr>
              <w:t xml:space="preserve">All 5 models pass all 5 graduation criteria on OOS data</w:t>
            </w:r>
            <w:r/>
          </w:p>
        </w:tc>
      </w:tr>
      <w:tr>
        <w:trPr/>
        <w:tc>
          <w:tcPr>
            <w:tcBorders/>
            <w:tcMar>
              <w:left w:w="15" w:type="dxa"/>
              <w:top w:w="15" w:type="dxa"/>
              <w:right w:w="15" w:type="dxa"/>
              <w:bottom w:w="15" w:type="dxa"/>
            </w:tcMar>
            <w:tcW w:w="1458" w:type="dxa"/>
            <w:vAlign w:val="center"/>
          </w:tcPr>
          <w:p w14:paraId="5050C539">
            <w:pPr>
              <w:pBdr/>
              <w:spacing w:after="0" w:before="0" w:line="240"/>
              <w:ind/>
              <w:rPr/>
            </w:pPr>
            <w:r>
              <w:rPr>
                <w:rFonts w:ascii="Times New Roman" w:hAnsi="Times New Roman" w:eastAsia="Times New Roman" w:cs="Times New Roman"/>
                <w:color w:val="000000"/>
                <w:sz w:val="24"/>
              </w:rPr>
              <w:t xml:space="preserve">Calibration</w:t>
            </w:r>
            <w:r/>
          </w:p>
        </w:tc>
        <w:tc>
          <w:tcPr>
            <w:tcBorders/>
            <w:tcMar>
              <w:left w:w="15" w:type="dxa"/>
              <w:top w:w="15" w:type="dxa"/>
              <w:right w:w="15" w:type="dxa"/>
              <w:bottom w:w="15" w:type="dxa"/>
            </w:tcMar>
            <w:tcW w:w="7896" w:type="dxa"/>
            <w:vAlign w:val="center"/>
          </w:tcPr>
          <w:p w14:paraId="407C10BE">
            <w:pPr>
              <w:pBdr/>
              <w:spacing w:after="0" w:before="0" w:line="240"/>
              <w:ind/>
              <w:rPr/>
            </w:pPr>
            <w:r>
              <w:rPr>
                <w:rFonts w:ascii="Times New Roman" w:hAnsi="Times New Roman" w:eastAsia="Times New Roman" w:cs="Times New Roman"/>
                <w:color w:val="000000"/>
                <w:sz w:val="24"/>
              </w:rPr>
              <w:t xml:space="preserve">ECE &lt; 0.05 for all models</w:t>
            </w:r>
            <w:r/>
          </w:p>
        </w:tc>
      </w:tr>
      <w:tr>
        <w:trPr/>
        <w:tc>
          <w:tcPr>
            <w:tcBorders/>
            <w:tcMar>
              <w:left w:w="15" w:type="dxa"/>
              <w:top w:w="15" w:type="dxa"/>
              <w:right w:w="15" w:type="dxa"/>
              <w:bottom w:w="15" w:type="dxa"/>
            </w:tcMar>
            <w:tcW w:w="1458" w:type="dxa"/>
            <w:vAlign w:val="center"/>
          </w:tcPr>
          <w:p w14:paraId="088C2F71">
            <w:pPr>
              <w:pBdr/>
              <w:spacing w:after="0" w:before="0" w:line="240"/>
              <w:ind/>
              <w:rPr/>
            </w:pPr>
            <w:r>
              <w:rPr>
                <w:rFonts w:ascii="Times New Roman" w:hAnsi="Times New Roman" w:eastAsia="Times New Roman" w:cs="Times New Roman"/>
                <w:color w:val="000000"/>
                <w:sz w:val="24"/>
              </w:rPr>
              <w:t xml:space="preserve">Shadow period</w:t>
            </w:r>
            <w:r/>
          </w:p>
        </w:tc>
        <w:tc>
          <w:tcPr>
            <w:tcBorders/>
            <w:tcMar>
              <w:left w:w="15" w:type="dxa"/>
              <w:top w:w="15" w:type="dxa"/>
              <w:right w:w="15" w:type="dxa"/>
              <w:bottom w:w="15" w:type="dxa"/>
            </w:tcMar>
            <w:tcW w:w="7896" w:type="dxa"/>
            <w:vAlign w:val="center"/>
          </w:tcPr>
          <w:p w14:paraId="38902D96">
            <w:pPr>
              <w:pBdr/>
              <w:spacing w:after="0" w:before="0" w:line="240"/>
              <w:ind/>
              <w:rPr/>
            </w:pPr>
            <w:r>
              <w:rPr>
                <w:rFonts w:ascii="Times New Roman" w:hAnsi="Times New Roman" w:eastAsia="Times New Roman" w:cs="Times New Roman"/>
                <w:color w:val="000000"/>
                <w:sz w:val="24"/>
              </w:rPr>
              <w:t xml:space="preserve">≥30 days shadow operation without infrastructure failures</w:t>
            </w:r>
            <w:r/>
          </w:p>
        </w:tc>
      </w:tr>
      <w:tr>
        <w:trPr/>
        <w:tc>
          <w:tcPr>
            <w:tcBorders/>
            <w:tcMar>
              <w:left w:w="15" w:type="dxa"/>
              <w:top w:w="15" w:type="dxa"/>
              <w:right w:w="15" w:type="dxa"/>
              <w:bottom w:w="15" w:type="dxa"/>
            </w:tcMar>
            <w:tcW w:w="1458" w:type="dxa"/>
            <w:vAlign w:val="center"/>
          </w:tcPr>
          <w:p w14:paraId="50C7FB88">
            <w:pPr>
              <w:pBdr/>
              <w:spacing w:after="0" w:before="0" w:line="240"/>
              <w:ind/>
              <w:rPr/>
            </w:pPr>
            <w:r>
              <w:rPr>
                <w:rFonts w:ascii="Times New Roman" w:hAnsi="Times New Roman" w:eastAsia="Times New Roman" w:cs="Times New Roman"/>
                <w:color w:val="000000"/>
                <w:sz w:val="24"/>
              </w:rPr>
              <w:t xml:space="preserve">Shadow accuracy</w:t>
            </w:r>
            <w:r/>
          </w:p>
        </w:tc>
        <w:tc>
          <w:tcPr>
            <w:tcBorders/>
            <w:tcMar>
              <w:left w:w="15" w:type="dxa"/>
              <w:top w:w="15" w:type="dxa"/>
              <w:right w:w="15" w:type="dxa"/>
              <w:bottom w:w="15" w:type="dxa"/>
            </w:tcMar>
            <w:tcW w:w="7896" w:type="dxa"/>
            <w:vAlign w:val="center"/>
          </w:tcPr>
          <w:p w14:paraId="2AC5E683">
            <w:pPr>
              <w:pBdr/>
              <w:spacing w:after="0" w:before="0" w:line="240"/>
              <w:ind/>
              <w:rPr/>
            </w:pPr>
            <w:r>
              <w:rPr>
                <w:rFonts w:ascii="Times New Roman" w:hAnsi="Times New Roman" w:eastAsia="Times New Roman" w:cs="Times New Roman"/>
                <w:color w:val="000000"/>
                <w:sz w:val="24"/>
              </w:rPr>
              <w:t xml:space="preserve">Directional accuracy in shadow period consistent with OOS evaluation (no cliff)</w:t>
            </w:r>
            <w:r/>
          </w:p>
        </w:tc>
      </w:tr>
      <w:tr>
        <w:trPr/>
        <w:tc>
          <w:tcPr>
            <w:tcBorders/>
            <w:tcMar>
              <w:left w:w="15" w:type="dxa"/>
              <w:top w:w="15" w:type="dxa"/>
              <w:right w:w="15" w:type="dxa"/>
              <w:bottom w:w="15" w:type="dxa"/>
            </w:tcMar>
            <w:tcW w:w="1458" w:type="dxa"/>
            <w:vAlign w:val="center"/>
          </w:tcPr>
          <w:p w14:paraId="08CEEF3F">
            <w:pPr>
              <w:pBdr/>
              <w:spacing w:after="0" w:before="0" w:line="240"/>
              <w:ind/>
              <w:rPr/>
            </w:pPr>
            <w:r>
              <w:rPr>
                <w:rFonts w:ascii="Times New Roman" w:hAnsi="Times New Roman" w:eastAsia="Times New Roman" w:cs="Times New Roman"/>
                <w:color w:val="000000"/>
                <w:sz w:val="24"/>
              </w:rPr>
              <w:t xml:space="preserve">Feature importance</w:t>
            </w:r>
            <w:r/>
          </w:p>
        </w:tc>
        <w:tc>
          <w:tcPr>
            <w:tcBorders/>
            <w:tcMar>
              <w:left w:w="15" w:type="dxa"/>
              <w:top w:w="15" w:type="dxa"/>
              <w:right w:w="15" w:type="dxa"/>
              <w:bottom w:w="15" w:type="dxa"/>
            </w:tcMar>
            <w:tcW w:w="7896" w:type="dxa"/>
            <w:vAlign w:val="center"/>
          </w:tcPr>
          <w:p w14:paraId="7A93B15A">
            <w:pPr>
              <w:pBdr/>
              <w:spacing w:after="0" w:before="0" w:line="240"/>
              <w:ind/>
              <w:rPr/>
            </w:pPr>
            <w:r>
              <w:rPr>
                <w:rFonts w:ascii="Times New Roman" w:hAnsi="Times New Roman" w:eastAsia="Times New Roman" w:cs="Times New Roman"/>
                <w:color w:val="000000"/>
                <w:sz w:val="24"/>
              </w:rPr>
              <w:t xml:space="preserve">No single feature &gt; 40% importance in any model</w:t>
            </w:r>
            <w:r/>
          </w:p>
        </w:tc>
      </w:tr>
      <w:tr>
        <w:trPr/>
        <w:tc>
          <w:tcPr>
            <w:tcBorders/>
            <w:tcMar>
              <w:left w:w="15" w:type="dxa"/>
              <w:top w:w="15" w:type="dxa"/>
              <w:right w:w="15" w:type="dxa"/>
              <w:bottom w:w="15" w:type="dxa"/>
            </w:tcMar>
            <w:tcW w:w="1458" w:type="dxa"/>
            <w:vAlign w:val="center"/>
          </w:tcPr>
          <w:p w14:paraId="29C78D32">
            <w:pPr>
              <w:pBdr/>
              <w:spacing w:after="0" w:before="0" w:line="240"/>
              <w:ind/>
              <w:rPr/>
            </w:pPr>
            <w:r>
              <w:rPr>
                <w:rFonts w:ascii="Times New Roman" w:hAnsi="Times New Roman" w:eastAsia="Times New Roman" w:cs="Times New Roman"/>
                <w:color w:val="000000"/>
                <w:sz w:val="24"/>
              </w:rPr>
              <w:t xml:space="preserve">M-Synthesis</w:t>
            </w:r>
            <w:r/>
          </w:p>
        </w:tc>
        <w:tc>
          <w:tcPr>
            <w:tcBorders/>
            <w:tcMar>
              <w:left w:w="15" w:type="dxa"/>
              <w:top w:w="15" w:type="dxa"/>
              <w:right w:w="15" w:type="dxa"/>
              <w:bottom w:w="15" w:type="dxa"/>
            </w:tcMar>
            <w:tcW w:w="7896" w:type="dxa"/>
            <w:vAlign w:val="center"/>
          </w:tcPr>
          <w:p w14:paraId="7DAF9B88">
            <w:pPr>
              <w:pBdr/>
              <w:spacing w:after="0" w:before="0" w:line="240"/>
              <w:ind/>
              <w:rPr/>
            </w:pPr>
            <w:r>
              <w:rPr>
                <w:rFonts w:ascii="Times New Roman" w:hAnsi="Times New Roman" w:eastAsia="Times New Roman" w:cs="Times New Roman"/>
                <w:color w:val="000000"/>
                <w:sz w:val="24"/>
              </w:rPr>
              <w:t xml:space="preserve">Synthesis model produces valid probability distributions for all signal-eligible instruments on each shadow run</w:t>
            </w:r>
            <w:r/>
          </w:p>
        </w:tc>
      </w:tr>
    </w:tbl>
    <w:p w14:paraId="2EBF3C8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5: Signal Synthesis and Serving</w:t>
      </w:r>
      <w:r/>
    </w:p>
    <w:p w14:paraId="374911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gets built:</w:t>
      </w:r>
      <w:r>
        <w:rPr>
          <w:rFonts w:ascii="Times New Roman" w:hAnsi="Times New Roman" w:eastAsia="Times New Roman" w:cs="Times New Roman"/>
          <w:color w:val="000000"/>
          <w:sz w:val="24"/>
        </w:rPr>
        <w:t xml:space="preserve"> The synthesis layer, API, and delivery mechanisms.</w:t>
      </w:r>
      <w:r/>
    </w:p>
    <w:p w14:paraId="71212C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Sequence:</w:t>
      </w:r>
      <w:r/>
    </w:p>
    <w:p w14:paraId="2E85E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5.1: Synthesis layer</w:t>
      </w:r>
      <w:r/>
    </w:p>
    <w:p w14:paraId="0A06D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 the synthesis logic from Thread 2:</w:t>
      </w:r>
      <w:r/>
    </w:p>
    <w:p w14:paraId="6A54B69D">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Agreement check between EDSx and ML-Synthesis</w:t>
      </w:r>
      <w:r/>
    </w:p>
    <w:p w14:paraId="4EDEA45D">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Confidence-weighted direction combination</w:t>
      </w:r>
      <w:r/>
    </w:p>
    <w:p w14:paraId="105ADA69">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Magnitude from ML track</w:t>
      </w:r>
      <w:r/>
    </w:p>
    <w:p w14:paraId="4262B439">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Regime from regime classifier</w:t>
      </w:r>
      <w:r/>
    </w:p>
    <w:p w14:paraId="7B45395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Null handling for missing pillar inputs</w:t>
      </w:r>
      <w:r/>
    </w:p>
    <w:p w14:paraId="287D542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 schema assembly</w:t>
      </w:r>
      <w:r/>
    </w:p>
    <w:p w14:paraId="493B6C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Verify synthesis output against all three scenarios:</w:t>
      </w:r>
      <w:r/>
    </w:p>
    <w:p w14:paraId="05A721C9">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EDSx and ML agree: confidence boost applied correctly</w:t>
      </w:r>
      <w:r/>
    </w:p>
    <w:p w14:paraId="107BAAB9">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EDSx and ML disagree: penalty applied, flag set in output</w:t>
      </w:r>
      <w:r/>
    </w:p>
    <w:p w14:paraId="0BA3323C">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Pillar missing: null confidence on that component, overall confidence recalculated on available pillars</w:t>
      </w:r>
      <w:r/>
    </w:p>
    <w:p w14:paraId="2D601B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5.2: API serving layer</w:t>
      </w:r>
      <w:r/>
    </w:p>
    <w:p w14:paraId="24FA0A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the FastAPI serving layer:</w:t>
      </w:r>
      <w:r/>
    </w:p>
    <w:p w14:paraId="454EC199">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 /v1/signals/instrument</w:t>
      </w:r>
      <w:r>
        <w:rPr>
          <w:rFonts w:ascii="Times New Roman" w:hAnsi="Times New Roman" w:eastAsia="Times New Roman" w:cs="Times New Roman"/>
          <w:color w:val="000000"/>
          <w:sz w:val="24"/>
        </w:rPr>
        <w:t xml:space="preserve"> — current signal for a single instrument</w:t>
      </w:r>
      <w:r/>
    </w:p>
    <w:p w14:paraId="1C2F5AFB">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 /v1/signals/universe</w:t>
      </w:r>
      <w:r>
        <w:rPr>
          <w:rFonts w:ascii="Times New Roman" w:hAnsi="Times New Roman" w:eastAsia="Times New Roman" w:cs="Times New Roman"/>
          <w:color w:val="000000"/>
          <w:sz w:val="24"/>
        </w:rPr>
        <w:t xml:space="preserve"> — current signals for all signal-eligible instruments</w:t>
      </w:r>
      <w:r/>
    </w:p>
    <w:p w14:paraId="79031440">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 /v1/timeseries/metrics</w:t>
      </w:r>
      <w:r>
        <w:rPr>
          <w:rFonts w:ascii="Times New Roman" w:hAnsi="Times New Roman" w:eastAsia="Times New Roman" w:cs="Times New Roman"/>
          <w:color w:val="000000"/>
          <w:sz w:val="24"/>
        </w:rPr>
        <w:t xml:space="preserve"> — time-series metric data (Data-as-a-Service surface)</w:t>
      </w:r>
      <w:r/>
    </w:p>
    <w:p w14:paraId="5149D068">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API key tier enforcement</w:t>
      </w:r>
      <w:r/>
    </w:p>
    <w:p w14:paraId="67A4EB9F">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Redistribution filter: exclude </w:t>
      </w:r>
      <w:r>
        <w:rPr>
          <w:rFonts w:ascii="Courier New" w:hAnsi="Courier New" w:eastAsia="Courier New" w:cs="Courier New"/>
          <w:color w:val="000000"/>
          <w:sz w:val="20"/>
        </w:rPr>
        <w:t xml:space="preserve">redistribution = false</w:t>
      </w:r>
      <w:r>
        <w:rPr>
          <w:rFonts w:ascii="Times New Roman" w:hAnsi="Times New Roman" w:eastAsia="Times New Roman" w:cs="Times New Roman"/>
          <w:color w:val="000000"/>
          <w:sz w:val="24"/>
        </w:rPr>
        <w:t xml:space="preserve"> observations from all external responses</w:t>
      </w:r>
      <w:r/>
    </w:p>
    <w:p w14:paraId="342B4C05">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limiting: per tier as specified in Thread 1</w:t>
      </w:r>
      <w:r/>
    </w:p>
    <w:p w14:paraId="21A42C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5.3: Delivery mechanisms</w:t>
      </w:r>
      <w:r/>
    </w:p>
    <w:p w14:paraId="0247D4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push delivery:</w:t>
      </w:r>
      <w:r/>
    </w:p>
    <w:p w14:paraId="5338384C">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Webhook delivery: POST signal output to configured customer endpoints on each computation cycle</w:t>
      </w:r>
      <w:r/>
    </w:p>
    <w:p w14:paraId="67CFD96D">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Telegram delivery: formatted signal summary message after each 8h derivatives settlement</w:t>
      </w:r>
      <w:r/>
    </w:p>
    <w:p w14:paraId="127EC24D">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Staleness flag propagation: if signal is stale (input data older than threshold), delivery payload includes explicit staleness flag</w:t>
      </w:r>
      <w:r/>
    </w:p>
    <w:p w14:paraId="0E5DEA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5.4: End-to-end verification</w:t>
      </w:r>
      <w:r/>
    </w:p>
    <w:p w14:paraId="7C714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Full trace from customer-facing output back to source:</w:t>
      </w:r>
      <w:r/>
    </w:p>
    <w:p w14:paraId="3575908E">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Retrieve a signal from the API for BTC</w:t>
      </w:r>
      <w:r/>
    </w:p>
    <w:p w14:paraId="24A56BFC">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Record the component confidence values and which features drove the EDSx score</w:t>
      </w:r>
      <w:r/>
    </w:p>
    <w:p w14:paraId="39A3DAE5">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 the observations table for the exact metric values that produced those features</w:t>
      </w:r>
      <w:r/>
    </w:p>
    <w:p w14:paraId="26EF6B77">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 collection_events to confirm when those observations were collected</w:t>
      </w:r>
      <w:r/>
    </w:p>
    <w:p w14:paraId="13C5C419">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the provenance chain is complete: signal → feature values → metric observations → collection event → source</w:t>
      </w:r>
      <w:r/>
    </w:p>
    <w:p w14:paraId="01E09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any link in this chain is broken, fix it before Phase 6.</w:t>
      </w:r>
      <w:r/>
    </w:p>
    <w:p w14:paraId="76AE40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5 gate — hard pass/fail: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4"/>
        <w:gridCol w:w="7150"/>
      </w:tblGrid>
      <w:tr>
        <w:trPr/>
        <w:tc>
          <w:tcPr>
            <w:tcBorders/>
            <w:tcMar>
              <w:left w:w="15" w:type="dxa"/>
              <w:top w:w="15" w:type="dxa"/>
              <w:right w:w="15" w:type="dxa"/>
              <w:bottom w:w="15" w:type="dxa"/>
            </w:tcMar>
            <w:tcW w:w="2204" w:type="dxa"/>
            <w:vAlign w:val="center"/>
          </w:tcPr>
          <w:p w14:paraId="61CA6E61">
            <w:pPr>
              <w:pBdr/>
              <w:spacing w:after="0" w:before="0" w:line="240"/>
              <w:ind/>
              <w:jc w:val="center"/>
              <w:rPr/>
            </w:pPr>
            <w:r>
              <w:rPr>
                <w:rFonts w:ascii="Times New Roman" w:hAnsi="Times New Roman" w:eastAsia="Times New Roman" w:cs="Times New Roman"/>
                <w:b/>
                <w:color w:val="000000"/>
                <w:sz w:val="24"/>
              </w:rPr>
              <w:t xml:space="preserve">Criterion</w:t>
            </w:r>
            <w:r/>
          </w:p>
        </w:tc>
        <w:tc>
          <w:tcPr>
            <w:tcBorders/>
            <w:tcMar>
              <w:left w:w="15" w:type="dxa"/>
              <w:top w:w="15" w:type="dxa"/>
              <w:right w:w="15" w:type="dxa"/>
              <w:bottom w:w="15" w:type="dxa"/>
            </w:tcMar>
            <w:tcW w:w="7150" w:type="dxa"/>
            <w:vAlign w:val="center"/>
          </w:tcPr>
          <w:p w14:paraId="20E39A50">
            <w:pPr>
              <w:pBdr/>
              <w:spacing w:after="0" w:before="0" w:line="240"/>
              <w:ind/>
              <w:jc w:val="center"/>
              <w:rPr/>
            </w:pPr>
            <w:r>
              <w:rPr>
                <w:rFonts w:ascii="Times New Roman" w:hAnsi="Times New Roman" w:eastAsia="Times New Roman" w:cs="Times New Roman"/>
                <w:b/>
                <w:color w:val="000000"/>
                <w:sz w:val="24"/>
              </w:rPr>
              <w:t xml:space="preserve">Pass condition</w:t>
            </w:r>
            <w:r/>
          </w:p>
        </w:tc>
      </w:tr>
      <w:tr>
        <w:trPr/>
        <w:tc>
          <w:tcPr>
            <w:tcBorders/>
            <w:tcMar>
              <w:left w:w="15" w:type="dxa"/>
              <w:top w:w="15" w:type="dxa"/>
              <w:right w:w="15" w:type="dxa"/>
              <w:bottom w:w="15" w:type="dxa"/>
            </w:tcMar>
            <w:tcW w:w="2204" w:type="dxa"/>
            <w:vAlign w:val="center"/>
          </w:tcPr>
          <w:p w14:paraId="7EC918C1">
            <w:pPr>
              <w:pBdr/>
              <w:spacing w:after="0" w:before="0" w:line="240"/>
              <w:ind/>
              <w:rPr/>
            </w:pPr>
            <w:r>
              <w:rPr>
                <w:rFonts w:ascii="Times New Roman" w:hAnsi="Times New Roman" w:eastAsia="Times New Roman" w:cs="Times New Roman"/>
                <w:color w:val="000000"/>
                <w:sz w:val="24"/>
              </w:rPr>
              <w:t xml:space="preserve">Synthesis output</w:t>
            </w:r>
            <w:r/>
          </w:p>
        </w:tc>
        <w:tc>
          <w:tcPr>
            <w:tcBorders/>
            <w:tcMar>
              <w:left w:w="15" w:type="dxa"/>
              <w:top w:w="15" w:type="dxa"/>
              <w:right w:w="15" w:type="dxa"/>
              <w:bottom w:w="15" w:type="dxa"/>
            </w:tcMar>
            <w:tcW w:w="7150" w:type="dxa"/>
            <w:vAlign w:val="center"/>
          </w:tcPr>
          <w:p w14:paraId="5BBEA31B">
            <w:pPr>
              <w:pBdr/>
              <w:spacing w:after="0" w:before="0" w:line="240"/>
              <w:ind/>
              <w:rPr/>
            </w:pPr>
            <w:r>
              <w:rPr>
                <w:rFonts w:ascii="Times New Roman" w:hAnsi="Times New Roman" w:eastAsia="Times New Roman" w:cs="Times New Roman"/>
                <w:color w:val="000000"/>
                <w:sz w:val="24"/>
              </w:rPr>
              <w:t xml:space="preserve">Matches Layer 6 contract schema for all signal-eligible instruments</w:t>
            </w:r>
            <w:r/>
          </w:p>
        </w:tc>
      </w:tr>
      <w:tr>
        <w:trPr/>
        <w:tc>
          <w:tcPr>
            <w:tcBorders/>
            <w:tcMar>
              <w:left w:w="15" w:type="dxa"/>
              <w:top w:w="15" w:type="dxa"/>
              <w:right w:w="15" w:type="dxa"/>
              <w:bottom w:w="15" w:type="dxa"/>
            </w:tcMar>
            <w:tcW w:w="2204" w:type="dxa"/>
            <w:vAlign w:val="center"/>
          </w:tcPr>
          <w:p w14:paraId="3F831E57">
            <w:pPr>
              <w:pBdr/>
              <w:spacing w:after="0" w:before="0" w:line="240"/>
              <w:ind/>
              <w:rPr/>
            </w:pPr>
            <w:r>
              <w:rPr>
                <w:rFonts w:ascii="Times New Roman" w:hAnsi="Times New Roman" w:eastAsia="Times New Roman" w:cs="Times New Roman"/>
                <w:color w:val="000000"/>
                <w:sz w:val="24"/>
              </w:rPr>
              <w:t xml:space="preserve">Agreement/disagreement logic</w:t>
            </w:r>
            <w:r/>
          </w:p>
        </w:tc>
        <w:tc>
          <w:tcPr>
            <w:tcBorders/>
            <w:tcMar>
              <w:left w:w="15" w:type="dxa"/>
              <w:top w:w="15" w:type="dxa"/>
              <w:right w:w="15" w:type="dxa"/>
              <w:bottom w:w="15" w:type="dxa"/>
            </w:tcMar>
            <w:tcW w:w="7150" w:type="dxa"/>
            <w:vAlign w:val="center"/>
          </w:tcPr>
          <w:p w14:paraId="083CA011">
            <w:pPr>
              <w:pBdr/>
              <w:spacing w:after="0" w:before="0" w:line="240"/>
              <w:ind/>
              <w:rPr/>
            </w:pPr>
            <w:r>
              <w:rPr>
                <w:rFonts w:ascii="Times New Roman" w:hAnsi="Times New Roman" w:eastAsia="Times New Roman" w:cs="Times New Roman"/>
                <w:color w:val="000000"/>
                <w:sz w:val="24"/>
              </w:rPr>
              <w:t xml:space="preserve">Both scenarios verified to produce correct confidence adjustments</w:t>
            </w:r>
            <w:r/>
          </w:p>
        </w:tc>
      </w:tr>
      <w:tr>
        <w:trPr/>
        <w:tc>
          <w:tcPr>
            <w:tcBorders/>
            <w:tcMar>
              <w:left w:w="15" w:type="dxa"/>
              <w:top w:w="15" w:type="dxa"/>
              <w:right w:w="15" w:type="dxa"/>
              <w:bottom w:w="15" w:type="dxa"/>
            </w:tcMar>
            <w:tcW w:w="2204" w:type="dxa"/>
            <w:vAlign w:val="center"/>
          </w:tcPr>
          <w:p w14:paraId="2FBF521B">
            <w:pPr>
              <w:pBdr/>
              <w:spacing w:after="0" w:before="0" w:line="240"/>
              <w:ind/>
              <w:rPr/>
            </w:pPr>
            <w:r>
              <w:rPr>
                <w:rFonts w:ascii="Times New Roman" w:hAnsi="Times New Roman" w:eastAsia="Times New Roman" w:cs="Times New Roman"/>
                <w:color w:val="000000"/>
                <w:sz w:val="24"/>
              </w:rPr>
              <w:t xml:space="preserve">Magnitude populated</w:t>
            </w:r>
            <w:r/>
          </w:p>
        </w:tc>
        <w:tc>
          <w:tcPr>
            <w:tcBorders/>
            <w:tcMar>
              <w:left w:w="15" w:type="dxa"/>
              <w:top w:w="15" w:type="dxa"/>
              <w:right w:w="15" w:type="dxa"/>
              <w:bottom w:w="15" w:type="dxa"/>
            </w:tcMar>
            <w:tcW w:w="7150" w:type="dxa"/>
            <w:vAlign w:val="center"/>
          </w:tcPr>
          <w:p w14:paraId="04410A84">
            <w:pPr>
              <w:pBdr/>
              <w:spacing w:after="0" w:before="0" w:line="240"/>
              <w:ind/>
              <w:rPr/>
            </w:pPr>
            <w:r>
              <w:rPr>
                <w:rFonts w:ascii="Times New Roman" w:hAnsi="Times New Roman" w:eastAsia="Times New Roman" w:cs="Times New Roman"/>
                <w:color w:val="000000"/>
                <w:sz w:val="24"/>
              </w:rPr>
              <w:t xml:space="preserve">ML magnitude field non-null for all signal-eligible instruments</w:t>
            </w:r>
            <w:r/>
          </w:p>
        </w:tc>
      </w:tr>
      <w:tr>
        <w:trPr/>
        <w:tc>
          <w:tcPr>
            <w:tcBorders/>
            <w:tcMar>
              <w:left w:w="15" w:type="dxa"/>
              <w:top w:w="15" w:type="dxa"/>
              <w:right w:w="15" w:type="dxa"/>
              <w:bottom w:w="15" w:type="dxa"/>
            </w:tcMar>
            <w:tcW w:w="2204" w:type="dxa"/>
            <w:vAlign w:val="center"/>
          </w:tcPr>
          <w:p w14:paraId="4D20E37F">
            <w:pPr>
              <w:pBdr/>
              <w:spacing w:after="0" w:before="0" w:line="240"/>
              <w:ind/>
              <w:rPr/>
            </w:pPr>
            <w:r>
              <w:rPr>
                <w:rFonts w:ascii="Times New Roman" w:hAnsi="Times New Roman" w:eastAsia="Times New Roman" w:cs="Times New Roman"/>
                <w:color w:val="000000"/>
                <w:sz w:val="24"/>
              </w:rPr>
              <w:t xml:space="preserve">API endpoints</w:t>
            </w:r>
            <w:r/>
          </w:p>
        </w:tc>
        <w:tc>
          <w:tcPr>
            <w:tcBorders/>
            <w:tcMar>
              <w:left w:w="15" w:type="dxa"/>
              <w:top w:w="15" w:type="dxa"/>
              <w:right w:w="15" w:type="dxa"/>
              <w:bottom w:w="15" w:type="dxa"/>
            </w:tcMar>
            <w:tcW w:w="7150" w:type="dxa"/>
            <w:vAlign w:val="center"/>
          </w:tcPr>
          <w:p w14:paraId="57FF0709">
            <w:pPr>
              <w:pBdr/>
              <w:spacing w:after="0" w:before="0" w:line="240"/>
              <w:ind/>
              <w:rPr/>
            </w:pPr>
            <w:r>
              <w:rPr>
                <w:rFonts w:ascii="Times New Roman" w:hAnsi="Times New Roman" w:eastAsia="Times New Roman" w:cs="Times New Roman"/>
                <w:color w:val="000000"/>
                <w:sz w:val="24"/>
              </w:rPr>
              <w:t xml:space="preserve">All three endpoints return correct responses under test load</w:t>
            </w:r>
            <w:r/>
          </w:p>
        </w:tc>
      </w:tr>
      <w:tr>
        <w:trPr/>
        <w:tc>
          <w:tcPr>
            <w:tcBorders/>
            <w:tcMar>
              <w:left w:w="15" w:type="dxa"/>
              <w:top w:w="15" w:type="dxa"/>
              <w:right w:w="15" w:type="dxa"/>
              <w:bottom w:w="15" w:type="dxa"/>
            </w:tcMar>
            <w:tcW w:w="2204" w:type="dxa"/>
            <w:vAlign w:val="center"/>
          </w:tcPr>
          <w:p w14:paraId="7245E475">
            <w:pPr>
              <w:pBdr/>
              <w:spacing w:after="0" w:before="0" w:line="240"/>
              <w:ind/>
              <w:rPr/>
            </w:pPr>
            <w:r>
              <w:rPr>
                <w:rFonts w:ascii="Times New Roman" w:hAnsi="Times New Roman" w:eastAsia="Times New Roman" w:cs="Times New Roman"/>
                <w:color w:val="000000"/>
                <w:sz w:val="24"/>
              </w:rPr>
              <w:t xml:space="preserve">Redistribution filter</w:t>
            </w:r>
            <w:r/>
          </w:p>
        </w:tc>
        <w:tc>
          <w:tcPr>
            <w:tcBorders/>
            <w:tcMar>
              <w:left w:w="15" w:type="dxa"/>
              <w:top w:w="15" w:type="dxa"/>
              <w:right w:w="15" w:type="dxa"/>
              <w:bottom w:w="15" w:type="dxa"/>
            </w:tcMar>
            <w:tcW w:w="7150" w:type="dxa"/>
            <w:vAlign w:val="center"/>
          </w:tcPr>
          <w:p w14:paraId="03748298">
            <w:pPr>
              <w:pBdr/>
              <w:spacing w:after="0" w:before="0" w:line="240"/>
              <w:ind/>
              <w:rPr/>
            </w:pPr>
            <w:r>
              <w:rPr>
                <w:rFonts w:ascii="Times New Roman" w:hAnsi="Times New Roman" w:eastAsia="Times New Roman" w:cs="Times New Roman"/>
                <w:color w:val="000000"/>
                <w:sz w:val="24"/>
              </w:rPr>
              <w:t xml:space="preserve">Verified: query that would return SoSoValue-sourced observations returns empty or substituted data</w:t>
            </w:r>
            <w:r/>
          </w:p>
        </w:tc>
      </w:tr>
      <w:tr>
        <w:trPr/>
        <w:tc>
          <w:tcPr>
            <w:tcBorders/>
            <w:tcMar>
              <w:left w:w="15" w:type="dxa"/>
              <w:top w:w="15" w:type="dxa"/>
              <w:right w:w="15" w:type="dxa"/>
              <w:bottom w:w="15" w:type="dxa"/>
            </w:tcMar>
            <w:tcW w:w="2204" w:type="dxa"/>
            <w:vAlign w:val="center"/>
          </w:tcPr>
          <w:p w14:paraId="37A5EA3D">
            <w:pPr>
              <w:pBdr/>
              <w:spacing w:after="0" w:before="0" w:line="240"/>
              <w:ind/>
              <w:rPr/>
            </w:pPr>
            <w:r>
              <w:rPr>
                <w:rFonts w:ascii="Times New Roman" w:hAnsi="Times New Roman" w:eastAsia="Times New Roman" w:cs="Times New Roman"/>
                <w:color w:val="000000"/>
                <w:sz w:val="24"/>
              </w:rPr>
              <w:t xml:space="preserve">End-to-end provenance</w:t>
            </w:r>
            <w:r/>
          </w:p>
        </w:tc>
        <w:tc>
          <w:tcPr>
            <w:tcBorders/>
            <w:tcMar>
              <w:left w:w="15" w:type="dxa"/>
              <w:top w:w="15" w:type="dxa"/>
              <w:right w:w="15" w:type="dxa"/>
              <w:bottom w:w="15" w:type="dxa"/>
            </w:tcMar>
            <w:tcW w:w="7150" w:type="dxa"/>
            <w:vAlign w:val="center"/>
          </w:tcPr>
          <w:p w14:paraId="4371E4B7">
            <w:pPr>
              <w:pBdr/>
              <w:spacing w:after="0" w:before="0" w:line="240"/>
              <w:ind/>
              <w:rPr/>
            </w:pPr>
            <w:r>
              <w:rPr>
                <w:rFonts w:ascii="Times New Roman" w:hAnsi="Times New Roman" w:eastAsia="Times New Roman" w:cs="Times New Roman"/>
                <w:color w:val="000000"/>
                <w:sz w:val="24"/>
              </w:rPr>
              <w:t xml:space="preserve">Full trace verified for BTC and at least 2 other instruments</w:t>
            </w:r>
            <w:r/>
          </w:p>
        </w:tc>
      </w:tr>
      <w:tr>
        <w:trPr/>
        <w:tc>
          <w:tcPr>
            <w:tcBorders/>
            <w:tcMar>
              <w:left w:w="15" w:type="dxa"/>
              <w:top w:w="15" w:type="dxa"/>
              <w:right w:w="15" w:type="dxa"/>
              <w:bottom w:w="15" w:type="dxa"/>
            </w:tcMar>
            <w:tcW w:w="2204" w:type="dxa"/>
            <w:vAlign w:val="center"/>
          </w:tcPr>
          <w:p w14:paraId="2F88775B">
            <w:pPr>
              <w:pBdr/>
              <w:spacing w:after="0" w:before="0" w:line="240"/>
              <w:ind/>
              <w:rPr/>
            </w:pPr>
            <w:r>
              <w:rPr>
                <w:rFonts w:ascii="Times New Roman" w:hAnsi="Times New Roman" w:eastAsia="Times New Roman" w:cs="Times New Roman"/>
                <w:color w:val="000000"/>
                <w:sz w:val="24"/>
              </w:rPr>
              <w:t xml:space="preserve">Delivery</w:t>
            </w:r>
            <w:r/>
          </w:p>
        </w:tc>
        <w:tc>
          <w:tcPr>
            <w:tcBorders/>
            <w:tcMar>
              <w:left w:w="15" w:type="dxa"/>
              <w:top w:w="15" w:type="dxa"/>
              <w:right w:w="15" w:type="dxa"/>
              <w:bottom w:w="15" w:type="dxa"/>
            </w:tcMar>
            <w:tcW w:w="7150" w:type="dxa"/>
            <w:vAlign w:val="center"/>
          </w:tcPr>
          <w:p w14:paraId="727F2916">
            <w:pPr>
              <w:pBdr/>
              <w:spacing w:after="0" w:before="0" w:line="240"/>
              <w:ind/>
              <w:rPr/>
            </w:pPr>
            <w:r>
              <w:rPr>
                <w:rFonts w:ascii="Times New Roman" w:hAnsi="Times New Roman" w:eastAsia="Times New Roman" w:cs="Times New Roman"/>
                <w:color w:val="000000"/>
                <w:sz w:val="24"/>
              </w:rPr>
              <w:t xml:space="preserve">Webhook and Telegram delivery verified against test endpoints</w:t>
            </w:r>
            <w:r/>
          </w:p>
        </w:tc>
      </w:tr>
      <w:tr>
        <w:trPr/>
        <w:tc>
          <w:tcPr>
            <w:tcBorders/>
            <w:tcMar>
              <w:left w:w="15" w:type="dxa"/>
              <w:top w:w="15" w:type="dxa"/>
              <w:right w:w="15" w:type="dxa"/>
              <w:bottom w:w="15" w:type="dxa"/>
            </w:tcMar>
            <w:tcW w:w="2204" w:type="dxa"/>
            <w:vAlign w:val="center"/>
          </w:tcPr>
          <w:p w14:paraId="3015EAF8">
            <w:pPr>
              <w:pBdr/>
              <w:spacing w:after="0" w:before="0" w:line="240"/>
              <w:ind/>
              <w:rPr/>
            </w:pPr>
            <w:r>
              <w:rPr>
                <w:rFonts w:ascii="Times New Roman" w:hAnsi="Times New Roman" w:eastAsia="Times New Roman" w:cs="Times New Roman"/>
                <w:color w:val="000000"/>
                <w:sz w:val="24"/>
              </w:rPr>
              <w:t xml:space="preserve">Staleness flag</w:t>
            </w:r>
            <w:r/>
          </w:p>
        </w:tc>
        <w:tc>
          <w:tcPr>
            <w:tcBorders/>
            <w:tcMar>
              <w:left w:w="15" w:type="dxa"/>
              <w:top w:w="15" w:type="dxa"/>
              <w:right w:w="15" w:type="dxa"/>
              <w:bottom w:w="15" w:type="dxa"/>
            </w:tcMar>
            <w:tcW w:w="7150" w:type="dxa"/>
            <w:vAlign w:val="center"/>
          </w:tcPr>
          <w:p w14:paraId="530CFE9C">
            <w:pPr>
              <w:pBdr/>
              <w:spacing w:after="0" w:before="0" w:line="240"/>
              <w:ind/>
              <w:rPr/>
            </w:pPr>
            <w:r>
              <w:rPr>
                <w:rFonts w:ascii="Times New Roman" w:hAnsi="Times New Roman" w:eastAsia="Times New Roman" w:cs="Times New Roman"/>
                <w:color w:val="000000"/>
                <w:sz w:val="24"/>
              </w:rPr>
              <w:t xml:space="preserve">Verified: simulated source failure causes staleness flag in output within 2 collection cycles</w:t>
            </w:r>
            <w:r/>
          </w:p>
        </w:tc>
      </w:tr>
    </w:tbl>
    <w:p w14:paraId="5C6C994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6: Productization</w:t>
      </w:r>
      <w:r/>
    </w:p>
    <w:p w14:paraId="5C4E66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gets built:</w:t>
      </w:r>
      <w:r>
        <w:rPr>
          <w:rFonts w:ascii="Times New Roman" w:hAnsi="Times New Roman" w:eastAsia="Times New Roman" w:cs="Times New Roman"/>
          <w:color w:val="000000"/>
          <w:sz w:val="24"/>
        </w:rPr>
        <w:t xml:space="preserve"> The operational layer that makes this a sellable product.</w:t>
      </w:r>
      <w:r/>
    </w:p>
    <w:p w14:paraId="2CE7E7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Sequence:</w:t>
      </w:r>
      <w:r/>
    </w:p>
    <w:p w14:paraId="71253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6.1: Health monitoring</w:t>
      </w:r>
      <w:r/>
    </w:p>
    <w:p w14:paraId="557F6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the operational dashboards:</w:t>
      </w:r>
      <w:r/>
    </w:p>
    <w:p w14:paraId="1D65BE72">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Collection health: per-source success rate, latest observation timestamp, rejection rate</w:t>
      </w:r>
      <w:r/>
    </w:p>
    <w:p w14:paraId="377269CC">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Coverage health: completeness per metric per instrument, staleness alerts</w:t>
      </w:r>
      <w:r/>
    </w:p>
    <w:p w14:paraId="4E4CF06A">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Signal health: rolling directional accuracy, confidence calibration curve, track agreement rate</w:t>
      </w:r>
      <w:r/>
    </w:p>
    <w:p w14:paraId="3A2EEA86">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Infrastructure health: database performance, storage growth rate, query latency</w:t>
      </w:r>
      <w:r/>
    </w:p>
    <w:p w14:paraId="12209E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internal operational tools, not customer-facing. They exist for one purpose: the operator (you) must be able to diagnose any system problem within minutes, not hours.</w:t>
      </w:r>
      <w:r/>
    </w:p>
    <w:p w14:paraId="1A1C9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6.2: Methodology documentation</w:t>
      </w:r>
      <w:r/>
    </w:p>
    <w:p w14:paraId="4F8CBB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Write the methodology documents that customers will read:</w:t>
      </w:r>
      <w:r/>
    </w:p>
    <w:p w14:paraId="786E935B">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Metric catalog: every metric with its source, computation, unit, and limitations</w:t>
      </w:r>
      <w:r/>
    </w:p>
    <w:p w14:paraId="3088E5DE">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EDSx methodology: pillar structure, scoring rules, confidence semantics</w:t>
      </w:r>
      <w:r/>
    </w:p>
    <w:p w14:paraId="7484C485">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 methodology: model architecture, training approach, validation methodology, what the confidence numbers mean</w:t>
      </w:r>
      <w:r/>
    </w:p>
    <w:p w14:paraId="70391C68">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quality policy: how revisions are handled, what staleness means, what null confidence means</w:t>
      </w:r>
      <w:r/>
    </w:p>
    <w:p w14:paraId="07750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documentation is not optional or deferred. Institutional customers will ask for it before signing. It is a revenue prerequisite.</w:t>
      </w:r>
      <w:r/>
    </w:p>
    <w:p w14:paraId="75B570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6.3: ToS audit completion</w:t>
      </w:r>
      <w:r/>
    </w:p>
    <w:p w14:paraId="1AD37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any data product ships to any customer, complete the ToS audit for all sources:</w:t>
      </w:r>
      <w:r/>
    </w:p>
    <w:p w14:paraId="0C2A2FC6">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Coinalyze: commercial use and redistribution</w:t>
      </w:r>
      <w:r/>
    </w:p>
    <w:p w14:paraId="6D45A7F7">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CoinMetrics community: commercial use</w:t>
      </w:r>
      <w:r/>
    </w:p>
    <w:p w14:paraId="75624028">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SoSoValue: confirm non-commercial restriction, evaluate paid tier</w:t>
      </w:r>
      <w:r/>
    </w:p>
    <w:p w14:paraId="5A3612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Sources that fail the commercial use audit are flagged and excluded from external data products. The internal signal generation can continue using them — the restriction is on redistribution, not on internal computation.</w:t>
      </w:r>
      <w:r/>
    </w:p>
    <w:p w14:paraId="6DF38A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6.4: First customer delivery</w:t>
      </w:r>
      <w:r/>
    </w:p>
    <w:p w14:paraId="1DDDFA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customer delivery is not a public launch. It is a direct engagement:</w:t>
      </w:r>
      <w:r/>
    </w:p>
    <w:p w14:paraId="08FBB9F1">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to three customers who have expressed interest</w:t>
      </w:r>
      <w:r/>
    </w:p>
    <w:p w14:paraId="5A73BB9E">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onboarding — API key issued directly, no self-serve</w:t>
      </w:r>
      <w:r/>
    </w:p>
    <w:p w14:paraId="19DE1096">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Direct communication channel for feedback</w:t>
      </w:r>
      <w:r/>
    </w:p>
    <w:p w14:paraId="30B577E6">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 charge real money from day one. Free trials produce no useful signal about willingness to pay.</w:t>
      </w:r>
      <w:r/>
    </w:p>
    <w:p w14:paraId="4C68A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6 gate (continuous, not a hard stop):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00"/>
        <w:gridCol w:w="5945"/>
      </w:tblGrid>
      <w:tr>
        <w:trPr/>
        <w:tc>
          <w:tcPr>
            <w:tcBorders/>
            <w:tcMar>
              <w:left w:w="15" w:type="dxa"/>
              <w:top w:w="15" w:type="dxa"/>
              <w:right w:w="15" w:type="dxa"/>
              <w:bottom w:w="15" w:type="dxa"/>
            </w:tcMar>
            <w:tcW w:w="1900" w:type="dxa"/>
            <w:vAlign w:val="center"/>
          </w:tcPr>
          <w:p w14:paraId="4ECA3AF7">
            <w:pPr>
              <w:pBdr/>
              <w:spacing w:after="0" w:before="0" w:line="240"/>
              <w:ind/>
              <w:jc w:val="center"/>
              <w:rPr/>
            </w:pPr>
            <w:r>
              <w:rPr>
                <w:rFonts w:ascii="Times New Roman" w:hAnsi="Times New Roman" w:eastAsia="Times New Roman" w:cs="Times New Roman"/>
                <w:b/>
                <w:color w:val="000000"/>
                <w:sz w:val="24"/>
              </w:rPr>
              <w:t xml:space="preserve">Criterion</w:t>
            </w:r>
            <w:r/>
          </w:p>
        </w:tc>
        <w:tc>
          <w:tcPr>
            <w:tcBorders/>
            <w:tcMar>
              <w:left w:w="15" w:type="dxa"/>
              <w:top w:w="15" w:type="dxa"/>
              <w:right w:w="15" w:type="dxa"/>
              <w:bottom w:w="15" w:type="dxa"/>
            </w:tcMar>
            <w:tcW w:w="5945" w:type="dxa"/>
            <w:vAlign w:val="center"/>
          </w:tcPr>
          <w:p w14:paraId="37367971">
            <w:pPr>
              <w:pBdr/>
              <w:spacing w:after="0" w:before="0" w:line="240"/>
              <w:ind/>
              <w:jc w:val="center"/>
              <w:rPr/>
            </w:pPr>
            <w:r>
              <w:rPr>
                <w:rFonts w:ascii="Times New Roman" w:hAnsi="Times New Roman" w:eastAsia="Times New Roman" w:cs="Times New Roman"/>
                <w:b/>
                <w:color w:val="000000"/>
                <w:sz w:val="24"/>
              </w:rPr>
              <w:t xml:space="preserve">Required before first customer delivery</w:t>
            </w:r>
            <w:r/>
          </w:p>
        </w:tc>
      </w:tr>
      <w:tr>
        <w:trPr/>
        <w:tc>
          <w:tcPr>
            <w:tcBorders/>
            <w:tcMar>
              <w:left w:w="15" w:type="dxa"/>
              <w:top w:w="15" w:type="dxa"/>
              <w:right w:w="15" w:type="dxa"/>
              <w:bottom w:w="15" w:type="dxa"/>
            </w:tcMar>
            <w:tcW w:w="1900" w:type="dxa"/>
            <w:vAlign w:val="center"/>
          </w:tcPr>
          <w:p w14:paraId="1D3549BD">
            <w:pPr>
              <w:pBdr/>
              <w:spacing w:after="0" w:before="0" w:line="240"/>
              <w:ind/>
              <w:rPr/>
            </w:pPr>
            <w:r>
              <w:rPr>
                <w:rFonts w:ascii="Times New Roman" w:hAnsi="Times New Roman" w:eastAsia="Times New Roman" w:cs="Times New Roman"/>
                <w:color w:val="000000"/>
                <w:sz w:val="24"/>
              </w:rPr>
              <w:t xml:space="preserve">Health monitoring</w:t>
            </w:r>
            <w:r/>
          </w:p>
        </w:tc>
        <w:tc>
          <w:tcPr>
            <w:tcBorders/>
            <w:tcMar>
              <w:left w:w="15" w:type="dxa"/>
              <w:top w:w="15" w:type="dxa"/>
              <w:right w:w="15" w:type="dxa"/>
              <w:bottom w:w="15" w:type="dxa"/>
            </w:tcMar>
            <w:tcW w:w="5945" w:type="dxa"/>
            <w:vAlign w:val="center"/>
          </w:tcPr>
          <w:p w14:paraId="31FA8CAF">
            <w:pPr>
              <w:pBdr/>
              <w:spacing w:after="0" w:before="0" w:line="240"/>
              <w:ind/>
              <w:rPr/>
            </w:pPr>
            <w:r>
              <w:rPr>
                <w:rFonts w:ascii="Times New Roman" w:hAnsi="Times New Roman" w:eastAsia="Times New Roman" w:cs="Times New Roman"/>
                <w:color w:val="000000"/>
                <w:sz w:val="24"/>
              </w:rPr>
              <w:t xml:space="preserve">Operator can identify any collection failure within 15 minutes</w:t>
            </w:r>
            <w:r/>
          </w:p>
        </w:tc>
      </w:tr>
      <w:tr>
        <w:trPr/>
        <w:tc>
          <w:tcPr>
            <w:tcBorders/>
            <w:tcMar>
              <w:left w:w="15" w:type="dxa"/>
              <w:top w:w="15" w:type="dxa"/>
              <w:right w:w="15" w:type="dxa"/>
              <w:bottom w:w="15" w:type="dxa"/>
            </w:tcMar>
            <w:tcW w:w="1900" w:type="dxa"/>
            <w:vAlign w:val="center"/>
          </w:tcPr>
          <w:p w14:paraId="261CB0E3">
            <w:pPr>
              <w:pBdr/>
              <w:spacing w:after="0" w:before="0" w:line="240"/>
              <w:ind/>
              <w:rPr/>
            </w:pPr>
            <w:r>
              <w:rPr>
                <w:rFonts w:ascii="Times New Roman" w:hAnsi="Times New Roman" w:eastAsia="Times New Roman" w:cs="Times New Roman"/>
                <w:color w:val="000000"/>
                <w:sz w:val="24"/>
              </w:rPr>
              <w:t xml:space="preserve">Methodology docs</w:t>
            </w:r>
            <w:r/>
          </w:p>
        </w:tc>
        <w:tc>
          <w:tcPr>
            <w:tcBorders/>
            <w:tcMar>
              <w:left w:w="15" w:type="dxa"/>
              <w:top w:w="15" w:type="dxa"/>
              <w:right w:w="15" w:type="dxa"/>
              <w:bottom w:w="15" w:type="dxa"/>
            </w:tcMar>
            <w:tcW w:w="5945" w:type="dxa"/>
            <w:vAlign w:val="center"/>
          </w:tcPr>
          <w:p w14:paraId="4B4E829F">
            <w:pPr>
              <w:pBdr/>
              <w:spacing w:after="0" w:before="0" w:line="240"/>
              <w:ind/>
              <w:rPr/>
            </w:pPr>
            <w:r>
              <w:rPr>
                <w:rFonts w:ascii="Times New Roman" w:hAnsi="Times New Roman" w:eastAsia="Times New Roman" w:cs="Times New Roman"/>
                <w:color w:val="000000"/>
                <w:sz w:val="24"/>
              </w:rPr>
              <w:t xml:space="preserve">At least EDSx methodology and metric catalog complete</w:t>
            </w:r>
            <w:r/>
          </w:p>
        </w:tc>
      </w:tr>
      <w:tr>
        <w:trPr/>
        <w:tc>
          <w:tcPr>
            <w:tcBorders/>
            <w:tcMar>
              <w:left w:w="15" w:type="dxa"/>
              <w:top w:w="15" w:type="dxa"/>
              <w:right w:w="15" w:type="dxa"/>
              <w:bottom w:w="15" w:type="dxa"/>
            </w:tcMar>
            <w:tcW w:w="1900" w:type="dxa"/>
            <w:vAlign w:val="center"/>
          </w:tcPr>
          <w:p w14:paraId="3CD749A1">
            <w:pPr>
              <w:pBdr/>
              <w:spacing w:after="0" w:before="0" w:line="240"/>
              <w:ind/>
              <w:rPr/>
            </w:pPr>
            <w:r>
              <w:rPr>
                <w:rFonts w:ascii="Times New Roman" w:hAnsi="Times New Roman" w:eastAsia="Times New Roman" w:cs="Times New Roman"/>
                <w:color w:val="000000"/>
                <w:sz w:val="24"/>
              </w:rPr>
              <w:t xml:space="preserve">ToS audit</w:t>
            </w:r>
            <w:r/>
          </w:p>
        </w:tc>
        <w:tc>
          <w:tcPr>
            <w:tcBorders/>
            <w:tcMar>
              <w:left w:w="15" w:type="dxa"/>
              <w:top w:w="15" w:type="dxa"/>
              <w:right w:w="15" w:type="dxa"/>
              <w:bottom w:w="15" w:type="dxa"/>
            </w:tcMar>
            <w:tcW w:w="5945" w:type="dxa"/>
            <w:vAlign w:val="center"/>
          </w:tcPr>
          <w:p w14:paraId="7BD3FD79">
            <w:pPr>
              <w:pBdr/>
              <w:spacing w:after="0" w:before="0" w:line="240"/>
              <w:ind/>
              <w:rPr/>
            </w:pPr>
            <w:r>
              <w:rPr>
                <w:rFonts w:ascii="Times New Roman" w:hAnsi="Times New Roman" w:eastAsia="Times New Roman" w:cs="Times New Roman"/>
                <w:color w:val="000000"/>
                <w:sz w:val="24"/>
              </w:rPr>
              <w:t xml:space="preserve">All sources audited. Restrictions enforced in API.</w:t>
            </w:r>
            <w:r/>
          </w:p>
        </w:tc>
      </w:tr>
      <w:tr>
        <w:trPr/>
        <w:tc>
          <w:tcPr>
            <w:tcBorders/>
            <w:tcMar>
              <w:left w:w="15" w:type="dxa"/>
              <w:top w:w="15" w:type="dxa"/>
              <w:right w:w="15" w:type="dxa"/>
              <w:bottom w:w="15" w:type="dxa"/>
            </w:tcMar>
            <w:tcW w:w="1900" w:type="dxa"/>
            <w:vAlign w:val="center"/>
          </w:tcPr>
          <w:p w14:paraId="5ACE5E48">
            <w:pPr>
              <w:pBdr/>
              <w:spacing w:after="0" w:before="0" w:line="240"/>
              <w:ind/>
              <w:rPr/>
            </w:pPr>
            <w:r>
              <w:rPr>
                <w:rFonts w:ascii="Times New Roman" w:hAnsi="Times New Roman" w:eastAsia="Times New Roman" w:cs="Times New Roman"/>
                <w:color w:val="000000"/>
                <w:sz w:val="24"/>
              </w:rPr>
              <w:t xml:space="preserve">API key auth</w:t>
            </w:r>
            <w:r/>
          </w:p>
        </w:tc>
        <w:tc>
          <w:tcPr>
            <w:tcBorders/>
            <w:tcMar>
              <w:left w:w="15" w:type="dxa"/>
              <w:top w:w="15" w:type="dxa"/>
              <w:right w:w="15" w:type="dxa"/>
              <w:bottom w:w="15" w:type="dxa"/>
            </w:tcMar>
            <w:tcW w:w="5945" w:type="dxa"/>
            <w:vAlign w:val="center"/>
          </w:tcPr>
          <w:p w14:paraId="5898E324">
            <w:pPr>
              <w:pBdr/>
              <w:spacing w:after="0" w:before="0" w:line="240"/>
              <w:ind/>
              <w:rPr/>
            </w:pPr>
            <w:r>
              <w:rPr>
                <w:rFonts w:ascii="Times New Roman" w:hAnsi="Times New Roman" w:eastAsia="Times New Roman" w:cs="Times New Roman"/>
                <w:color w:val="000000"/>
                <w:sz w:val="24"/>
              </w:rPr>
              <w:t xml:space="preserve">Working tier enforcement</w:t>
            </w:r>
            <w:r/>
          </w:p>
        </w:tc>
      </w:tr>
      <w:tr>
        <w:trPr/>
        <w:tc>
          <w:tcPr>
            <w:tcBorders/>
            <w:tcMar>
              <w:left w:w="15" w:type="dxa"/>
              <w:top w:w="15" w:type="dxa"/>
              <w:right w:w="15" w:type="dxa"/>
              <w:bottom w:w="15" w:type="dxa"/>
            </w:tcMar>
            <w:tcW w:w="1900" w:type="dxa"/>
            <w:vAlign w:val="center"/>
          </w:tcPr>
          <w:p w14:paraId="490BEB62">
            <w:pPr>
              <w:pBdr/>
              <w:spacing w:after="0" w:before="0" w:line="240"/>
              <w:ind/>
              <w:rPr/>
            </w:pPr>
            <w:r>
              <w:rPr>
                <w:rFonts w:ascii="Times New Roman" w:hAnsi="Times New Roman" w:eastAsia="Times New Roman" w:cs="Times New Roman"/>
                <w:color w:val="000000"/>
                <w:sz w:val="24"/>
              </w:rPr>
              <w:t xml:space="preserve">Redistribution filter</w:t>
            </w:r>
            <w:r/>
          </w:p>
        </w:tc>
        <w:tc>
          <w:tcPr>
            <w:tcBorders/>
            <w:tcMar>
              <w:left w:w="15" w:type="dxa"/>
              <w:top w:w="15" w:type="dxa"/>
              <w:right w:w="15" w:type="dxa"/>
              <w:bottom w:w="15" w:type="dxa"/>
            </w:tcMar>
            <w:tcW w:w="5945" w:type="dxa"/>
            <w:vAlign w:val="center"/>
          </w:tcPr>
          <w:p w14:paraId="4FEC5EE9">
            <w:pPr>
              <w:pBdr/>
              <w:spacing w:after="0" w:before="0" w:line="240"/>
              <w:ind/>
              <w:rPr/>
            </w:pPr>
            <w:r>
              <w:rPr>
                <w:rFonts w:ascii="Times New Roman" w:hAnsi="Times New Roman" w:eastAsia="Times New Roman" w:cs="Times New Roman"/>
                <w:color w:val="000000"/>
                <w:sz w:val="24"/>
              </w:rPr>
              <w:t xml:space="preserve">Verified in production</w:t>
            </w:r>
            <w:r/>
          </w:p>
        </w:tc>
      </w:tr>
    </w:tbl>
    <w:p w14:paraId="6A6E92A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Migration Execution Plan</w:t>
      </w:r>
      <w:r/>
    </w:p>
    <w:p w14:paraId="3AEC99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migration runs entirely within Phase 1. The sequence is designed so that each migration produces data the next migration may depend on (Tiingo spot price first, because exchange flows adapter needs it for unit conversion).</w:t>
      </w:r>
      <w:r/>
    </w:p>
    <w:p w14:paraId="6DAEA2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Pre-migration checklist:</w:t>
      </w:r>
      <w:r/>
    </w:p>
    <w:p w14:paraId="54DE7507">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Phase 0 gate passed (schema verified)</w:t>
      </w:r>
      <w:r/>
    </w:p>
    <w:p w14:paraId="3DF0D509">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source catalog entries seeded with correct redistribution flags</w:t>
      </w:r>
      <w:r/>
    </w:p>
    <w:p w14:paraId="331E50B4">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instrument catalog entries seeded for known universe</w:t>
      </w:r>
      <w:r/>
    </w:p>
    <w:p w14:paraId="479D2392">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Migration adapters code-reviewed against adapter contract</w:t>
      </w:r>
      <w:r/>
    </w:p>
    <w:p w14:paraId="014D1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During migration:</w:t>
      </w:r>
      <w:r/>
    </w:p>
    <w:p w14:paraId="44828F04">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 one migration at a time</w:t>
      </w:r>
      <w:r/>
    </w:p>
    <w:p w14:paraId="552C2121">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 </w:t>
      </w:r>
      <w:r>
        <w:rPr>
          <w:rFonts w:ascii="Courier New" w:hAnsi="Courier New" w:eastAsia="Courier New" w:cs="Courier New"/>
          <w:color w:val="000000"/>
          <w:sz w:val="20"/>
        </w:rPr>
        <w:t xml:space="preserve">observations_rejected</w:t>
      </w:r>
      <w:r>
        <w:rPr>
          <w:rFonts w:ascii="Times New Roman" w:hAnsi="Times New Roman" w:eastAsia="Times New Roman" w:cs="Times New Roman"/>
          <w:color w:val="000000"/>
          <w:sz w:val="24"/>
        </w:rPr>
        <w:t xml:space="preserve"> in real time — unexpected rejection volume is a signal to pause and investigate</w:t>
      </w:r>
      <w:r/>
    </w:p>
    <w:p w14:paraId="1D90D018">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 not start live collection agents until all migrations complete — avoid timestamp conflicts between migrated historical data and live collection</w:t>
      </w:r>
      <w:r/>
    </w:p>
    <w:p w14:paraId="0C4AF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Post-migration verification:</w:t>
      </w:r>
      <w:r/>
    </w:p>
    <w:p w14:paraId="5BF4BB94">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 </w:t>
      </w:r>
      <w:r>
        <w:rPr>
          <w:rFonts w:ascii="Courier New" w:hAnsi="Courier New" w:eastAsia="Courier New" w:cs="Courier New"/>
          <w:color w:val="000000"/>
          <w:sz w:val="20"/>
        </w:rPr>
        <w:t xml:space="preserve">instrument_metric_coverage</w:t>
      </w:r>
      <w:r>
        <w:rPr>
          <w:rFonts w:ascii="Times New Roman" w:hAnsi="Times New Roman" w:eastAsia="Times New Roman" w:cs="Times New Roman"/>
          <w:color w:val="000000"/>
          <w:sz w:val="24"/>
        </w:rPr>
        <w:t xml:space="preserve"> for each migrated source and verify completeness statistics reflect the migrated history</w:t>
      </w:r>
      <w:r/>
    </w:p>
    <w:p w14:paraId="1A89BC9A">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BTC funding rate history extends to 2021 (Coinalyze audit claim)</w:t>
      </w:r>
      <w:r/>
    </w:p>
    <w:p w14:paraId="41537200">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BTC price history extends to 2014 (Tiingo claim)</w:t>
      </w:r>
      <w:r/>
    </w:p>
    <w:p w14:paraId="56BD951A">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FRED macro history is present for all five series</w:t>
      </w:r>
      <w:r/>
    </w:p>
    <w:p w14:paraId="42DDCBA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Parallel Operation Plan</w:t>
      </w:r>
      <w:r/>
    </w:p>
    <w:p w14:paraId="63855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no parallel operation. Forge is dead.</w:t>
      </w:r>
      <w:r/>
    </w:p>
    <w:p w14:paraId="64463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rationale: parallel operation of old and new systems creates the exact problem this redesign was meant to eliminate — two sources of truth, two schemas, ambiguity about which system is authoritative. Given that Forge is declared dead and the new system</w:t>
      </w:r>
      <w:r>
        <w:rPr>
          <w:rFonts w:ascii="Times New Roman" w:hAnsi="Times New Roman" w:eastAsia="Times New Roman" w:cs="Times New Roman"/>
          <w:color w:val="000000"/>
          <w:sz w:val="24"/>
        </w:rPr>
        <w:t xml:space="preserve"> is designed from scratch, the correct approach is:</w:t>
      </w:r>
      <w:r/>
    </w:p>
    <w:p w14:paraId="0DA9B514">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system is built and verified through Phase 1 gate before anything signal-related runs</w:t>
      </w:r>
      <w:r/>
    </w:p>
    <w:p w14:paraId="1DCEA87F">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Migration of historical data happens in Phase 1 — new system has the history</w:t>
      </w:r>
      <w:r/>
    </w:p>
    <w:p w14:paraId="7720D98A">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collection starts after migration — new system has current data</w:t>
      </w:r>
      <w:r/>
    </w:p>
    <w:p w14:paraId="7057FA93">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Signal generation begins in Phase 3 on new infrastructure — no dependency on Forge</w:t>
      </w:r>
      <w:r/>
    </w:p>
    <w:p w14:paraId="73ABA2CD">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Forge database can be retained read-only as a reference for 90 days, then decommissioned</w:t>
      </w:r>
      <w:r/>
    </w:p>
    <w:p w14:paraId="6E01E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only thing that should run while the new system builds is the existing collection if there is a specific concern about losing data continuity during the build period. If that concern exists, the Forge collection agents can continue writing to their exi</w:t>
      </w:r>
      <w:r>
        <w:rPr>
          <w:rFonts w:ascii="Times New Roman" w:hAnsi="Times New Roman" w:eastAsia="Times New Roman" w:cs="Times New Roman"/>
          <w:color w:val="000000"/>
          <w:sz w:val="24"/>
        </w:rPr>
        <w:t xml:space="preserve">sting tables — not as a production system, but as a data safety net. Those tables remain available for migration if needed. But they are not consulted by the new system under any circumstances.</w:t>
      </w:r>
      <w:r/>
    </w:p>
    <w:p w14:paraId="1C37B30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Timeline Estimates</w:t>
      </w:r>
      <w:r/>
    </w:p>
    <w:p w14:paraId="7163E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single-operator estimates. They assume focused work, not full-time availability. Each phase estimate is wall-clock time, not engineering hours.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5"/>
        <w:gridCol w:w="1411"/>
        <w:gridCol w:w="5948"/>
      </w:tblGrid>
      <w:tr>
        <w:trPr/>
        <w:tc>
          <w:tcPr>
            <w:tcBorders/>
            <w:tcMar>
              <w:left w:w="15" w:type="dxa"/>
              <w:top w:w="15" w:type="dxa"/>
              <w:right w:w="15" w:type="dxa"/>
              <w:bottom w:w="15" w:type="dxa"/>
            </w:tcMar>
            <w:tcW w:w="1995" w:type="dxa"/>
            <w:vAlign w:val="center"/>
          </w:tcPr>
          <w:p w14:paraId="6EC37238">
            <w:pPr>
              <w:pBdr/>
              <w:spacing w:after="0" w:before="0" w:line="240"/>
              <w:ind/>
              <w:jc w:val="center"/>
              <w:rPr/>
            </w:pPr>
            <w:r>
              <w:rPr>
                <w:rFonts w:ascii="Times New Roman" w:hAnsi="Times New Roman" w:eastAsia="Times New Roman" w:cs="Times New Roman"/>
                <w:b/>
                <w:color w:val="000000"/>
                <w:sz w:val="24"/>
              </w:rPr>
              <w:t xml:space="preserve">Phase</w:t>
            </w:r>
            <w:r/>
          </w:p>
        </w:tc>
        <w:tc>
          <w:tcPr>
            <w:tcBorders/>
            <w:tcMar>
              <w:left w:w="15" w:type="dxa"/>
              <w:top w:w="15" w:type="dxa"/>
              <w:right w:w="15" w:type="dxa"/>
              <w:bottom w:w="15" w:type="dxa"/>
            </w:tcMar>
            <w:tcW w:w="1411" w:type="dxa"/>
            <w:vAlign w:val="center"/>
          </w:tcPr>
          <w:p w14:paraId="15F91897">
            <w:pPr>
              <w:pBdr/>
              <w:spacing w:after="0" w:before="0" w:line="240"/>
              <w:ind/>
              <w:jc w:val="center"/>
              <w:rPr/>
            </w:pPr>
            <w:r>
              <w:rPr>
                <w:rFonts w:ascii="Times New Roman" w:hAnsi="Times New Roman" w:eastAsia="Times New Roman" w:cs="Times New Roman"/>
                <w:b/>
                <w:color w:val="000000"/>
                <w:sz w:val="24"/>
              </w:rPr>
              <w:t xml:space="preserve">Estimated duration</w:t>
            </w:r>
            <w:r/>
          </w:p>
        </w:tc>
        <w:tc>
          <w:tcPr>
            <w:tcBorders/>
            <w:tcMar>
              <w:left w:w="15" w:type="dxa"/>
              <w:top w:w="15" w:type="dxa"/>
              <w:right w:w="15" w:type="dxa"/>
              <w:bottom w:w="15" w:type="dxa"/>
            </w:tcMar>
            <w:tcW w:w="5948" w:type="dxa"/>
            <w:vAlign w:val="center"/>
          </w:tcPr>
          <w:p w14:paraId="340D7E16">
            <w:pPr>
              <w:pBdr/>
              <w:spacing w:after="0" w:before="0" w:line="240"/>
              <w:ind/>
              <w:jc w:val="center"/>
              <w:rPr/>
            </w:pPr>
            <w:r>
              <w:rPr>
                <w:rFonts w:ascii="Times New Roman" w:hAnsi="Times New Roman" w:eastAsia="Times New Roman" w:cs="Times New Roman"/>
                <w:b/>
                <w:color w:val="000000"/>
                <w:sz w:val="24"/>
              </w:rPr>
              <w:t xml:space="preserve">Primary risk</w:t>
            </w:r>
            <w:r/>
          </w:p>
        </w:tc>
      </w:tr>
      <w:tr>
        <w:trPr/>
        <w:tc>
          <w:tcPr>
            <w:tcBorders/>
            <w:tcMar>
              <w:left w:w="15" w:type="dxa"/>
              <w:top w:w="15" w:type="dxa"/>
              <w:right w:w="15" w:type="dxa"/>
              <w:bottom w:w="15" w:type="dxa"/>
            </w:tcMar>
            <w:tcW w:w="1995" w:type="dxa"/>
            <w:vAlign w:val="center"/>
          </w:tcPr>
          <w:p w14:paraId="7A300B1D">
            <w:pPr>
              <w:pBdr/>
              <w:spacing w:after="0" w:before="0" w:line="240"/>
              <w:ind/>
              <w:rPr/>
            </w:pPr>
            <w:r>
              <w:rPr>
                <w:rFonts w:ascii="Times New Roman" w:hAnsi="Times New Roman" w:eastAsia="Times New Roman" w:cs="Times New Roman"/>
                <w:color w:val="000000"/>
                <w:sz w:val="24"/>
              </w:rPr>
              <w:t xml:space="preserve">Phase 0: Foundation</w:t>
            </w:r>
            <w:r/>
          </w:p>
        </w:tc>
        <w:tc>
          <w:tcPr>
            <w:tcBorders/>
            <w:tcMar>
              <w:left w:w="15" w:type="dxa"/>
              <w:top w:w="15" w:type="dxa"/>
              <w:right w:w="15" w:type="dxa"/>
              <w:bottom w:w="15" w:type="dxa"/>
            </w:tcMar>
            <w:tcW w:w="1411" w:type="dxa"/>
            <w:vAlign w:val="center"/>
          </w:tcPr>
          <w:p w14:paraId="72D5E299">
            <w:pPr>
              <w:pBdr/>
              <w:spacing w:after="0" w:before="0" w:line="240"/>
              <w:ind/>
              <w:rPr/>
            </w:pPr>
            <w:r>
              <w:rPr>
                <w:rFonts w:ascii="Times New Roman" w:hAnsi="Times New Roman" w:eastAsia="Times New Roman" w:cs="Times New Roman"/>
                <w:color w:val="000000"/>
                <w:sz w:val="24"/>
              </w:rPr>
              <w:t xml:space="preserve">3–5 days</w:t>
            </w:r>
            <w:r/>
          </w:p>
        </w:tc>
        <w:tc>
          <w:tcPr>
            <w:tcBorders/>
            <w:tcMar>
              <w:left w:w="15" w:type="dxa"/>
              <w:top w:w="15" w:type="dxa"/>
              <w:right w:w="15" w:type="dxa"/>
              <w:bottom w:w="15" w:type="dxa"/>
            </w:tcMar>
            <w:tcW w:w="5948" w:type="dxa"/>
            <w:vAlign w:val="center"/>
          </w:tcPr>
          <w:p w14:paraId="6ADDEB5D">
            <w:pPr>
              <w:pBdr/>
              <w:spacing w:after="0" w:before="0" w:line="240"/>
              <w:ind/>
              <w:rPr/>
            </w:pPr>
            <w:r>
              <w:rPr>
                <w:rFonts w:ascii="Times New Roman" w:hAnsi="Times New Roman" w:eastAsia="Times New Roman" w:cs="Times New Roman"/>
                <w:color w:val="000000"/>
                <w:sz w:val="24"/>
              </w:rPr>
              <w:t xml:space="preserve">Schema design errors discovered during DDL application</w:t>
            </w:r>
            <w:r/>
          </w:p>
        </w:tc>
      </w:tr>
      <w:tr>
        <w:trPr/>
        <w:tc>
          <w:tcPr>
            <w:tcBorders/>
            <w:tcMar>
              <w:left w:w="15" w:type="dxa"/>
              <w:top w:w="15" w:type="dxa"/>
              <w:right w:w="15" w:type="dxa"/>
              <w:bottom w:w="15" w:type="dxa"/>
            </w:tcMar>
            <w:tcW w:w="1995" w:type="dxa"/>
            <w:vAlign w:val="center"/>
          </w:tcPr>
          <w:p w14:paraId="4A06F159">
            <w:pPr>
              <w:pBdr/>
              <w:spacing w:after="0" w:before="0" w:line="240"/>
              <w:ind/>
              <w:rPr/>
            </w:pPr>
            <w:r>
              <w:rPr>
                <w:rFonts w:ascii="Times New Roman" w:hAnsi="Times New Roman" w:eastAsia="Times New Roman" w:cs="Times New Roman"/>
                <w:color w:val="000000"/>
                <w:sz w:val="24"/>
              </w:rPr>
              <w:t xml:space="preserve">Phase 1: Data Ingestion</w:t>
            </w:r>
            <w:r/>
          </w:p>
        </w:tc>
        <w:tc>
          <w:tcPr>
            <w:tcBorders/>
            <w:tcMar>
              <w:left w:w="15" w:type="dxa"/>
              <w:top w:w="15" w:type="dxa"/>
              <w:right w:w="15" w:type="dxa"/>
              <w:bottom w:w="15" w:type="dxa"/>
            </w:tcMar>
            <w:tcW w:w="1411" w:type="dxa"/>
            <w:vAlign w:val="center"/>
          </w:tcPr>
          <w:p w14:paraId="54F96586">
            <w:pPr>
              <w:pBdr/>
              <w:spacing w:after="0" w:before="0" w:line="240"/>
              <w:ind/>
              <w:rPr/>
            </w:pPr>
            <w:r>
              <w:rPr>
                <w:rFonts w:ascii="Times New Roman" w:hAnsi="Times New Roman" w:eastAsia="Times New Roman" w:cs="Times New Roman"/>
                <w:color w:val="000000"/>
                <w:sz w:val="24"/>
              </w:rPr>
              <w:t xml:space="preserve">2–3 weeks</w:t>
            </w:r>
            <w:r/>
          </w:p>
        </w:tc>
        <w:tc>
          <w:tcPr>
            <w:tcBorders/>
            <w:tcMar>
              <w:left w:w="15" w:type="dxa"/>
              <w:top w:w="15" w:type="dxa"/>
              <w:right w:w="15" w:type="dxa"/>
              <w:bottom w:w="15" w:type="dxa"/>
            </w:tcMar>
            <w:tcW w:w="5948" w:type="dxa"/>
            <w:vAlign w:val="center"/>
          </w:tcPr>
          <w:p w14:paraId="56750F64">
            <w:pPr>
              <w:pBdr/>
              <w:spacing w:after="0" w:before="0" w:line="240"/>
              <w:ind/>
              <w:rPr/>
            </w:pPr>
            <w:r>
              <w:rPr>
                <w:rFonts w:ascii="Times New Roman" w:hAnsi="Times New Roman" w:eastAsia="Times New Roman" w:cs="Times New Roman"/>
                <w:color w:val="000000"/>
                <w:sz w:val="24"/>
              </w:rPr>
              <w:t xml:space="preserve">Migration adapter bugs, wei conversion edge cases, DeFiLlama backfill rate limits</w:t>
            </w:r>
            <w:r/>
          </w:p>
        </w:tc>
      </w:tr>
      <w:tr>
        <w:trPr/>
        <w:tc>
          <w:tcPr>
            <w:tcBorders/>
            <w:tcMar>
              <w:left w:w="15" w:type="dxa"/>
              <w:top w:w="15" w:type="dxa"/>
              <w:right w:w="15" w:type="dxa"/>
              <w:bottom w:w="15" w:type="dxa"/>
            </w:tcMar>
            <w:tcW w:w="1995" w:type="dxa"/>
            <w:vAlign w:val="center"/>
          </w:tcPr>
          <w:p w14:paraId="4F26BEE8">
            <w:pPr>
              <w:pBdr/>
              <w:spacing w:after="0" w:before="0" w:line="240"/>
              <w:ind/>
              <w:rPr/>
            </w:pPr>
            <w:r>
              <w:rPr>
                <w:rFonts w:ascii="Times New Roman" w:hAnsi="Times New Roman" w:eastAsia="Times New Roman" w:cs="Times New Roman"/>
                <w:color w:val="000000"/>
                <w:sz w:val="24"/>
              </w:rPr>
              <w:t xml:space="preserve">Phase 2: Feature Engineering</w:t>
            </w:r>
            <w:r/>
          </w:p>
        </w:tc>
        <w:tc>
          <w:tcPr>
            <w:tcBorders/>
            <w:tcMar>
              <w:left w:w="15" w:type="dxa"/>
              <w:top w:w="15" w:type="dxa"/>
              <w:right w:w="15" w:type="dxa"/>
              <w:bottom w:w="15" w:type="dxa"/>
            </w:tcMar>
            <w:tcW w:w="1411" w:type="dxa"/>
            <w:vAlign w:val="center"/>
          </w:tcPr>
          <w:p w14:paraId="7B49BF54">
            <w:pPr>
              <w:pBdr/>
              <w:spacing w:after="0" w:before="0" w:line="240"/>
              <w:ind/>
              <w:rPr/>
            </w:pPr>
            <w:r>
              <w:rPr>
                <w:rFonts w:ascii="Times New Roman" w:hAnsi="Times New Roman" w:eastAsia="Times New Roman" w:cs="Times New Roman"/>
                <w:color w:val="000000"/>
                <w:sz w:val="24"/>
              </w:rPr>
              <w:t xml:space="preserve">2–3 weeks</w:t>
            </w:r>
            <w:r/>
          </w:p>
        </w:tc>
        <w:tc>
          <w:tcPr>
            <w:tcBorders/>
            <w:tcMar>
              <w:left w:w="15" w:type="dxa"/>
              <w:top w:w="15" w:type="dxa"/>
              <w:right w:w="15" w:type="dxa"/>
              <w:bottom w:w="15" w:type="dxa"/>
            </w:tcMar>
            <w:tcW w:w="5948" w:type="dxa"/>
            <w:vAlign w:val="center"/>
          </w:tcPr>
          <w:p w14:paraId="5C07130C">
            <w:pPr>
              <w:pBdr/>
              <w:spacing w:after="0" w:before="0" w:line="240"/>
              <w:ind/>
              <w:rPr/>
            </w:pPr>
            <w:r>
              <w:rPr>
                <w:rFonts w:ascii="Times New Roman" w:hAnsi="Times New Roman" w:eastAsia="Times New Roman" w:cs="Times New Roman"/>
                <w:color w:val="000000"/>
                <w:sz w:val="24"/>
              </w:rPr>
              <w:t xml:space="preserve">PIT constraint violations discovered in audit, rolling window edge cases</w:t>
            </w:r>
            <w:r/>
          </w:p>
        </w:tc>
      </w:tr>
      <w:tr>
        <w:trPr/>
        <w:tc>
          <w:tcPr>
            <w:tcBorders/>
            <w:tcMar>
              <w:left w:w="15" w:type="dxa"/>
              <w:top w:w="15" w:type="dxa"/>
              <w:right w:w="15" w:type="dxa"/>
              <w:bottom w:w="15" w:type="dxa"/>
            </w:tcMar>
            <w:tcW w:w="1995" w:type="dxa"/>
            <w:vAlign w:val="center"/>
          </w:tcPr>
          <w:p w14:paraId="5FC64F3B">
            <w:pPr>
              <w:pBdr/>
              <w:spacing w:after="0" w:before="0" w:line="240"/>
              <w:ind/>
              <w:rPr/>
            </w:pPr>
            <w:r>
              <w:rPr>
                <w:rFonts w:ascii="Times New Roman" w:hAnsi="Times New Roman" w:eastAsia="Times New Roman" w:cs="Times New Roman"/>
                <w:color w:val="000000"/>
                <w:sz w:val="24"/>
              </w:rPr>
              <w:t xml:space="preserve">Phase 3: EDSx</w:t>
            </w:r>
            <w:r/>
          </w:p>
        </w:tc>
        <w:tc>
          <w:tcPr>
            <w:tcBorders/>
            <w:tcMar>
              <w:left w:w="15" w:type="dxa"/>
              <w:top w:w="15" w:type="dxa"/>
              <w:right w:w="15" w:type="dxa"/>
              <w:bottom w:w="15" w:type="dxa"/>
            </w:tcMar>
            <w:tcW w:w="1411" w:type="dxa"/>
            <w:vAlign w:val="center"/>
          </w:tcPr>
          <w:p w14:paraId="0544D0E9">
            <w:pPr>
              <w:pBdr/>
              <w:spacing w:after="0" w:before="0" w:line="240"/>
              <w:ind/>
              <w:rPr/>
            </w:pPr>
            <w:r>
              <w:rPr>
                <w:rFonts w:ascii="Times New Roman" w:hAnsi="Times New Roman" w:eastAsia="Times New Roman" w:cs="Times New Roman"/>
                <w:color w:val="000000"/>
                <w:sz w:val="24"/>
              </w:rPr>
              <w:t xml:space="preserve">1–2 weeks</w:t>
            </w:r>
            <w:r/>
          </w:p>
        </w:tc>
        <w:tc>
          <w:tcPr>
            <w:tcBorders/>
            <w:tcMar>
              <w:left w:w="15" w:type="dxa"/>
              <w:top w:w="15" w:type="dxa"/>
              <w:right w:w="15" w:type="dxa"/>
              <w:bottom w:w="15" w:type="dxa"/>
            </w:tcMar>
            <w:tcW w:w="5948" w:type="dxa"/>
            <w:vAlign w:val="center"/>
          </w:tcPr>
          <w:p w14:paraId="15D6FB5F">
            <w:pPr>
              <w:pBdr/>
              <w:spacing w:after="0" w:before="0" w:line="240"/>
              <w:ind/>
              <w:rPr/>
            </w:pPr>
            <w:r>
              <w:rPr>
                <w:rFonts w:ascii="Times New Roman" w:hAnsi="Times New Roman" w:eastAsia="Times New Roman" w:cs="Times New Roman"/>
                <w:color w:val="000000"/>
                <w:sz w:val="24"/>
              </w:rPr>
              <w:t xml:space="preserve">Rule calibration taking longer than expected, regime classification edge cases</w:t>
            </w:r>
            <w:r/>
          </w:p>
        </w:tc>
      </w:tr>
      <w:tr>
        <w:trPr/>
        <w:tc>
          <w:tcPr>
            <w:tcBorders/>
            <w:tcMar>
              <w:left w:w="15" w:type="dxa"/>
              <w:top w:w="15" w:type="dxa"/>
              <w:right w:w="15" w:type="dxa"/>
              <w:bottom w:w="15" w:type="dxa"/>
            </w:tcMar>
            <w:tcW w:w="1995" w:type="dxa"/>
            <w:vAlign w:val="center"/>
          </w:tcPr>
          <w:p w14:paraId="12B57886">
            <w:pPr>
              <w:pBdr/>
              <w:spacing w:after="0" w:before="0" w:line="240"/>
              <w:ind/>
              <w:rPr/>
            </w:pPr>
            <w:r>
              <w:rPr>
                <w:rFonts w:ascii="Times New Roman" w:hAnsi="Times New Roman" w:eastAsia="Times New Roman" w:cs="Times New Roman"/>
                <w:color w:val="000000"/>
                <w:sz w:val="24"/>
              </w:rPr>
              <w:t xml:space="preserve">Phase 4: ML</w:t>
            </w:r>
            <w:r/>
          </w:p>
        </w:tc>
        <w:tc>
          <w:tcPr>
            <w:tcBorders/>
            <w:tcMar>
              <w:left w:w="15" w:type="dxa"/>
              <w:top w:w="15" w:type="dxa"/>
              <w:right w:w="15" w:type="dxa"/>
              <w:bottom w:w="15" w:type="dxa"/>
            </w:tcMar>
            <w:tcW w:w="1411" w:type="dxa"/>
            <w:vAlign w:val="center"/>
          </w:tcPr>
          <w:p w14:paraId="7DB199A8">
            <w:pPr>
              <w:pBdr/>
              <w:spacing w:after="0" w:before="0" w:line="240"/>
              <w:ind/>
              <w:rPr/>
            </w:pPr>
            <w:r>
              <w:rPr>
                <w:rFonts w:ascii="Times New Roman" w:hAnsi="Times New Roman" w:eastAsia="Times New Roman" w:cs="Times New Roman"/>
                <w:color w:val="000000"/>
                <w:sz w:val="24"/>
              </w:rPr>
              <w:t xml:space="preserve">3–4 weeks</w:t>
            </w:r>
            <w:r/>
          </w:p>
        </w:tc>
        <w:tc>
          <w:tcPr>
            <w:tcBorders/>
            <w:tcMar>
              <w:left w:w="15" w:type="dxa"/>
              <w:top w:w="15" w:type="dxa"/>
              <w:right w:w="15" w:type="dxa"/>
              <w:bottom w:w="15" w:type="dxa"/>
            </w:tcMar>
            <w:tcW w:w="5948" w:type="dxa"/>
            <w:vAlign w:val="center"/>
          </w:tcPr>
          <w:p w14:paraId="161CE39A">
            <w:pPr>
              <w:pBdr/>
              <w:spacing w:after="0" w:before="0" w:line="240"/>
              <w:ind/>
              <w:rPr/>
            </w:pPr>
            <w:r>
              <w:rPr>
                <w:rFonts w:ascii="Times New Roman" w:hAnsi="Times New Roman" w:eastAsia="Times New Roman" w:cs="Times New Roman"/>
                <w:color w:val="000000"/>
                <w:sz w:val="24"/>
              </w:rPr>
              <w:t xml:space="preserve">Training data insufficient for some instruments, graduation criteria not met on first pass</w:t>
            </w:r>
            <w:r/>
          </w:p>
        </w:tc>
      </w:tr>
      <w:tr>
        <w:trPr/>
        <w:tc>
          <w:tcPr>
            <w:tcBorders/>
            <w:tcMar>
              <w:left w:w="15" w:type="dxa"/>
              <w:top w:w="15" w:type="dxa"/>
              <w:right w:w="15" w:type="dxa"/>
              <w:bottom w:w="15" w:type="dxa"/>
            </w:tcMar>
            <w:tcW w:w="1995" w:type="dxa"/>
            <w:vAlign w:val="center"/>
          </w:tcPr>
          <w:p w14:paraId="2A273DDD">
            <w:pPr>
              <w:pBdr/>
              <w:spacing w:after="0" w:before="0" w:line="240"/>
              <w:ind/>
              <w:rPr/>
            </w:pPr>
            <w:r>
              <w:rPr>
                <w:rFonts w:ascii="Times New Roman" w:hAnsi="Times New Roman" w:eastAsia="Times New Roman" w:cs="Times New Roman"/>
                <w:color w:val="000000"/>
                <w:sz w:val="24"/>
              </w:rPr>
              <w:t xml:space="preserve">Phase 5: Serving</w:t>
            </w:r>
            <w:r/>
          </w:p>
        </w:tc>
        <w:tc>
          <w:tcPr>
            <w:tcBorders/>
            <w:tcMar>
              <w:left w:w="15" w:type="dxa"/>
              <w:top w:w="15" w:type="dxa"/>
              <w:right w:w="15" w:type="dxa"/>
              <w:bottom w:w="15" w:type="dxa"/>
            </w:tcMar>
            <w:tcW w:w="1411" w:type="dxa"/>
            <w:vAlign w:val="center"/>
          </w:tcPr>
          <w:p w14:paraId="2C4CA7A1">
            <w:pPr>
              <w:pBdr/>
              <w:spacing w:after="0" w:before="0" w:line="240"/>
              <w:ind/>
              <w:rPr/>
            </w:pPr>
            <w:r>
              <w:rPr>
                <w:rFonts w:ascii="Times New Roman" w:hAnsi="Times New Roman" w:eastAsia="Times New Roman" w:cs="Times New Roman"/>
                <w:color w:val="000000"/>
                <w:sz w:val="24"/>
              </w:rPr>
              <w:t xml:space="preserve">1–2 weeks</w:t>
            </w:r>
            <w:r/>
          </w:p>
        </w:tc>
        <w:tc>
          <w:tcPr>
            <w:tcBorders/>
            <w:tcMar>
              <w:left w:w="15" w:type="dxa"/>
              <w:top w:w="15" w:type="dxa"/>
              <w:right w:w="15" w:type="dxa"/>
              <w:bottom w:w="15" w:type="dxa"/>
            </w:tcMar>
            <w:tcW w:w="5948" w:type="dxa"/>
            <w:vAlign w:val="center"/>
          </w:tcPr>
          <w:p w14:paraId="6B257010">
            <w:pPr>
              <w:pBdr/>
              <w:spacing w:after="0" w:before="0" w:line="240"/>
              <w:ind/>
              <w:rPr/>
            </w:pPr>
            <w:r>
              <w:rPr>
                <w:rFonts w:ascii="Times New Roman" w:hAnsi="Times New Roman" w:eastAsia="Times New Roman" w:cs="Times New Roman"/>
                <w:color w:val="000000"/>
                <w:sz w:val="24"/>
              </w:rPr>
              <w:t xml:space="preserve">API integration issues, webhook delivery reliability</w:t>
            </w:r>
            <w:r/>
          </w:p>
        </w:tc>
      </w:tr>
      <w:tr>
        <w:trPr/>
        <w:tc>
          <w:tcPr>
            <w:tcBorders/>
            <w:tcMar>
              <w:left w:w="15" w:type="dxa"/>
              <w:top w:w="15" w:type="dxa"/>
              <w:right w:w="15" w:type="dxa"/>
              <w:bottom w:w="15" w:type="dxa"/>
            </w:tcMar>
            <w:tcW w:w="1995" w:type="dxa"/>
            <w:vAlign w:val="center"/>
          </w:tcPr>
          <w:p w14:paraId="2E7D4165">
            <w:pPr>
              <w:pBdr/>
              <w:spacing w:after="0" w:before="0" w:line="240"/>
              <w:ind/>
              <w:rPr/>
            </w:pPr>
            <w:r>
              <w:rPr>
                <w:rFonts w:ascii="Times New Roman" w:hAnsi="Times New Roman" w:eastAsia="Times New Roman" w:cs="Times New Roman"/>
                <w:color w:val="000000"/>
                <w:sz w:val="24"/>
              </w:rPr>
              <w:t xml:space="preserve">Phase 6: Productization</w:t>
            </w:r>
            <w:r/>
          </w:p>
        </w:tc>
        <w:tc>
          <w:tcPr>
            <w:tcBorders/>
            <w:tcMar>
              <w:left w:w="15" w:type="dxa"/>
              <w:top w:w="15" w:type="dxa"/>
              <w:right w:w="15" w:type="dxa"/>
              <w:bottom w:w="15" w:type="dxa"/>
            </w:tcMar>
            <w:tcW w:w="1411" w:type="dxa"/>
            <w:vAlign w:val="center"/>
          </w:tcPr>
          <w:p w14:paraId="6592E6AC">
            <w:pPr>
              <w:pBdr/>
              <w:spacing w:after="0" w:before="0" w:line="240"/>
              <w:ind/>
              <w:rPr/>
            </w:pPr>
            <w:r>
              <w:rPr>
                <w:rFonts w:ascii="Times New Roman" w:hAnsi="Times New Roman" w:eastAsia="Times New Roman" w:cs="Times New Roman"/>
                <w:color w:val="000000"/>
                <w:sz w:val="24"/>
              </w:rPr>
              <w:t xml:space="preserve">1–2 weeks</w:t>
            </w:r>
            <w:r/>
          </w:p>
        </w:tc>
        <w:tc>
          <w:tcPr>
            <w:tcBorders/>
            <w:tcMar>
              <w:left w:w="15" w:type="dxa"/>
              <w:top w:w="15" w:type="dxa"/>
              <w:right w:w="15" w:type="dxa"/>
              <w:bottom w:w="15" w:type="dxa"/>
            </w:tcMar>
            <w:tcW w:w="5948" w:type="dxa"/>
            <w:vAlign w:val="center"/>
          </w:tcPr>
          <w:p w14:paraId="5D405F87">
            <w:pPr>
              <w:pBdr/>
              <w:spacing w:after="0" w:before="0" w:line="240"/>
              <w:ind/>
              <w:rPr/>
            </w:pPr>
            <w:r>
              <w:rPr>
                <w:rFonts w:ascii="Times New Roman" w:hAnsi="Times New Roman" w:eastAsia="Times New Roman" w:cs="Times New Roman"/>
                <w:color w:val="000000"/>
                <w:sz w:val="24"/>
              </w:rPr>
              <w:t xml:space="preserve">ToS audit findings requiring source exclusions</w:t>
            </w:r>
            <w:r/>
          </w:p>
        </w:tc>
      </w:tr>
      <w:tr>
        <w:trPr/>
        <w:tc>
          <w:tcPr>
            <w:tcBorders/>
            <w:tcMar>
              <w:left w:w="15" w:type="dxa"/>
              <w:top w:w="15" w:type="dxa"/>
              <w:right w:w="15" w:type="dxa"/>
              <w:bottom w:w="15" w:type="dxa"/>
            </w:tcMar>
            <w:tcW w:w="1995" w:type="dxa"/>
            <w:vAlign w:val="center"/>
          </w:tcPr>
          <w:p w14:paraId="75460129">
            <w:pPr>
              <w:pBdr/>
              <w:spacing w:after="0" w:before="0" w:line="240"/>
              <w:ind/>
              <w:rPr/>
            </w:pPr>
            <w:r>
              <w:rPr>
                <w:rFonts w:ascii="Times New Roman" w:hAnsi="Times New Roman" w:eastAsia="Times New Roman" w:cs="Times New Roman"/>
                <w:b/>
                <w:color w:val="000000"/>
                <w:sz w:val="24"/>
              </w:rPr>
              <w:t xml:space="preserve">Total</w:t>
            </w:r>
            <w:r/>
          </w:p>
        </w:tc>
        <w:tc>
          <w:tcPr>
            <w:tcBorders/>
            <w:tcMar>
              <w:left w:w="15" w:type="dxa"/>
              <w:top w:w="15" w:type="dxa"/>
              <w:right w:w="15" w:type="dxa"/>
              <w:bottom w:w="15" w:type="dxa"/>
            </w:tcMar>
            <w:tcW w:w="1411" w:type="dxa"/>
            <w:vAlign w:val="center"/>
          </w:tcPr>
          <w:p w14:paraId="395450AC">
            <w:pPr>
              <w:pBdr/>
              <w:spacing w:after="0" w:before="0" w:line="240"/>
              <w:ind/>
              <w:rPr/>
            </w:pPr>
            <w:r>
              <w:rPr>
                <w:rFonts w:ascii="Times New Roman" w:hAnsi="Times New Roman" w:eastAsia="Times New Roman" w:cs="Times New Roman"/>
                <w:b/>
                <w:color w:val="000000"/>
                <w:sz w:val="24"/>
              </w:rPr>
              <w:t xml:space="preserve">10–17 weeks</w:t>
            </w:r>
            <w:r/>
          </w:p>
        </w:tc>
        <w:tc>
          <w:tcPr>
            <w:tcBorders/>
            <w:tcMar>
              <w:left w:w="15" w:type="dxa"/>
              <w:top w:w="15" w:type="dxa"/>
              <w:right w:w="15" w:type="dxa"/>
              <w:bottom w:w="15" w:type="dxa"/>
            </w:tcMar>
            <w:tcW w:w="5948" w:type="dxa"/>
            <w:vAlign w:val="center"/>
          </w:tcPr>
          <w:p w14:paraId="04400D16">
            <w:pPr>
              <w:pBdr/>
              <w:spacing w:after="0" w:before="0" w:line="240"/>
              <w:ind/>
              <w:rPr/>
            </w:pPr>
            <w:r/>
          </w:p>
        </w:tc>
      </w:tr>
    </w:tbl>
    <w:p w14:paraId="2D3DCE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wide range on each phase reflects the primary unknown: how clean the existing data actually is when migration adapters run against it. The audit identified known issues. Unknown issues will surface during migration.</w:t>
      </w:r>
      <w:r/>
    </w:p>
    <w:p w14:paraId="20BD811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Risk Register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8"/>
        <w:gridCol w:w="295"/>
        <w:gridCol w:w="1648"/>
        <w:gridCol w:w="5383"/>
      </w:tblGrid>
      <w:tr>
        <w:trPr/>
        <w:tc>
          <w:tcPr>
            <w:tcBorders/>
            <w:tcMar>
              <w:left w:w="15" w:type="dxa"/>
              <w:top w:w="15" w:type="dxa"/>
              <w:right w:w="15" w:type="dxa"/>
              <w:bottom w:w="15" w:type="dxa"/>
            </w:tcMar>
            <w:tcW w:w="2028" w:type="dxa"/>
            <w:vAlign w:val="center"/>
          </w:tcPr>
          <w:p w14:paraId="597B2FFE">
            <w:pPr>
              <w:pBdr/>
              <w:spacing w:after="0" w:before="0" w:line="240"/>
              <w:ind/>
              <w:jc w:val="center"/>
              <w:rPr/>
            </w:pPr>
            <w:r>
              <w:rPr>
                <w:rFonts w:ascii="Times New Roman" w:hAnsi="Times New Roman" w:eastAsia="Times New Roman" w:cs="Times New Roman"/>
                <w:b/>
                <w:color w:val="000000"/>
                <w:sz w:val="24"/>
              </w:rPr>
              <w:t xml:space="preserve">Risk</w:t>
            </w:r>
            <w:r/>
          </w:p>
        </w:tc>
        <w:tc>
          <w:tcPr>
            <w:tcBorders/>
            <w:tcMar>
              <w:left w:w="15" w:type="dxa"/>
              <w:top w:w="15" w:type="dxa"/>
              <w:right w:w="15" w:type="dxa"/>
              <w:bottom w:w="15" w:type="dxa"/>
            </w:tcMar>
            <w:tcW w:w="295" w:type="dxa"/>
            <w:vAlign w:val="center"/>
          </w:tcPr>
          <w:p w14:paraId="7371789D">
            <w:pPr>
              <w:pBdr/>
              <w:spacing w:after="0" w:before="0" w:line="240"/>
              <w:ind/>
              <w:jc w:val="center"/>
              <w:rPr/>
            </w:pPr>
            <w:r>
              <w:rPr>
                <w:rFonts w:ascii="Times New Roman" w:hAnsi="Times New Roman" w:eastAsia="Times New Roman" w:cs="Times New Roman"/>
                <w:b/>
                <w:color w:val="000000"/>
                <w:sz w:val="24"/>
              </w:rPr>
              <w:t xml:space="preserve">Likelihood</w:t>
            </w:r>
            <w:r/>
          </w:p>
        </w:tc>
        <w:tc>
          <w:tcPr>
            <w:tcBorders/>
            <w:tcMar>
              <w:left w:w="15" w:type="dxa"/>
              <w:top w:w="15" w:type="dxa"/>
              <w:right w:w="15" w:type="dxa"/>
              <w:bottom w:w="15" w:type="dxa"/>
            </w:tcMar>
            <w:tcW w:w="1648" w:type="dxa"/>
            <w:vAlign w:val="center"/>
          </w:tcPr>
          <w:p w14:paraId="06E61674">
            <w:pPr>
              <w:pBdr/>
              <w:spacing w:after="0" w:before="0" w:line="240"/>
              <w:ind/>
              <w:jc w:val="center"/>
              <w:rPr/>
            </w:pPr>
            <w:r>
              <w:rPr>
                <w:rFonts w:ascii="Times New Roman" w:hAnsi="Times New Roman" w:eastAsia="Times New Roman" w:cs="Times New Roman"/>
                <w:b/>
                <w:color w:val="000000"/>
                <w:sz w:val="24"/>
              </w:rPr>
              <w:t xml:space="preserve">Impact</w:t>
            </w:r>
            <w:r/>
          </w:p>
        </w:tc>
        <w:tc>
          <w:tcPr>
            <w:tcBorders/>
            <w:tcMar>
              <w:left w:w="15" w:type="dxa"/>
              <w:top w:w="15" w:type="dxa"/>
              <w:right w:w="15" w:type="dxa"/>
              <w:bottom w:w="15" w:type="dxa"/>
            </w:tcMar>
            <w:tcW w:w="5383" w:type="dxa"/>
            <w:vAlign w:val="center"/>
          </w:tcPr>
          <w:p w14:paraId="415A66BF">
            <w:pPr>
              <w:pBdr/>
              <w:spacing w:after="0" w:before="0" w:line="240"/>
              <w:ind/>
              <w:jc w:val="center"/>
              <w:rPr/>
            </w:pPr>
            <w:r>
              <w:rPr>
                <w:rFonts w:ascii="Times New Roman" w:hAnsi="Times New Roman" w:eastAsia="Times New Roman" w:cs="Times New Roman"/>
                <w:b/>
                <w:color w:val="000000"/>
                <w:sz w:val="24"/>
              </w:rPr>
              <w:t xml:space="preserve">Mitigation</w:t>
            </w:r>
            <w:r/>
          </w:p>
        </w:tc>
      </w:tr>
      <w:tr>
        <w:trPr/>
        <w:tc>
          <w:tcPr>
            <w:tcBorders/>
            <w:tcMar>
              <w:left w:w="15" w:type="dxa"/>
              <w:top w:w="15" w:type="dxa"/>
              <w:right w:w="15" w:type="dxa"/>
              <w:bottom w:w="15" w:type="dxa"/>
            </w:tcMar>
            <w:tcW w:w="2028" w:type="dxa"/>
            <w:vAlign w:val="center"/>
          </w:tcPr>
          <w:p w14:paraId="08E4D812">
            <w:pPr>
              <w:pBdr/>
              <w:spacing w:after="0" w:before="0" w:line="240"/>
              <w:ind/>
              <w:rPr/>
            </w:pPr>
            <w:r>
              <w:rPr>
                <w:rFonts w:ascii="Times New Roman" w:hAnsi="Times New Roman" w:eastAsia="Times New Roman" w:cs="Times New Roman"/>
                <w:color w:val="000000"/>
                <w:sz w:val="24"/>
              </w:rPr>
              <w:t xml:space="preserve">Migration adapter discovers structural data quality issues not identified in audit</w:t>
            </w:r>
            <w:r/>
          </w:p>
        </w:tc>
        <w:tc>
          <w:tcPr>
            <w:tcBorders/>
            <w:tcMar>
              <w:left w:w="15" w:type="dxa"/>
              <w:top w:w="15" w:type="dxa"/>
              <w:right w:w="15" w:type="dxa"/>
              <w:bottom w:w="15" w:type="dxa"/>
            </w:tcMar>
            <w:tcW w:w="295" w:type="dxa"/>
            <w:vAlign w:val="center"/>
          </w:tcPr>
          <w:p w14:paraId="1B741BEC">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1648" w:type="dxa"/>
            <w:vAlign w:val="center"/>
          </w:tcPr>
          <w:p w14:paraId="4DCCF841">
            <w:pPr>
              <w:pBdr/>
              <w:spacing w:after="0" w:before="0" w:line="240"/>
              <w:ind/>
              <w:rPr/>
            </w:pPr>
            <w:r>
              <w:rPr>
                <w:rFonts w:ascii="Times New Roman" w:hAnsi="Times New Roman" w:eastAsia="Times New Roman" w:cs="Times New Roman"/>
                <w:color w:val="000000"/>
                <w:sz w:val="24"/>
              </w:rPr>
              <w:t xml:space="preserve">High — Phase 1 gate delayed</w:t>
            </w:r>
            <w:r/>
          </w:p>
        </w:tc>
        <w:tc>
          <w:tcPr>
            <w:tcBorders/>
            <w:tcMar>
              <w:left w:w="15" w:type="dxa"/>
              <w:top w:w="15" w:type="dxa"/>
              <w:right w:w="15" w:type="dxa"/>
              <w:bottom w:w="15" w:type="dxa"/>
            </w:tcMar>
            <w:tcW w:w="5383" w:type="dxa"/>
            <w:vAlign w:val="center"/>
          </w:tcPr>
          <w:p w14:paraId="1B31AF42">
            <w:pPr>
              <w:pBdr/>
              <w:spacing w:after="0" w:before="0" w:line="240"/>
              <w:ind/>
              <w:rPr/>
            </w:pPr>
            <w:r>
              <w:rPr>
                <w:rFonts w:ascii="Times New Roman" w:hAnsi="Times New Roman" w:eastAsia="Times New Roman" w:cs="Times New Roman"/>
                <w:color w:val="000000"/>
                <w:sz w:val="24"/>
              </w:rPr>
              <w:t xml:space="preserve">Budget 1 extra week in Phase 1. Re-backfill from source rather than debugging corrupt data.</w:t>
            </w:r>
            <w:r/>
          </w:p>
        </w:tc>
      </w:tr>
      <w:tr>
        <w:trPr/>
        <w:tc>
          <w:tcPr>
            <w:tcBorders/>
            <w:tcMar>
              <w:left w:w="15" w:type="dxa"/>
              <w:top w:w="15" w:type="dxa"/>
              <w:right w:w="15" w:type="dxa"/>
              <w:bottom w:w="15" w:type="dxa"/>
            </w:tcMar>
            <w:tcW w:w="2028" w:type="dxa"/>
            <w:vAlign w:val="center"/>
          </w:tcPr>
          <w:p w14:paraId="785837DA">
            <w:pPr>
              <w:pBdr/>
              <w:spacing w:after="0" w:before="0" w:line="240"/>
              <w:ind/>
              <w:rPr/>
            </w:pPr>
            <w:r>
              <w:rPr>
                <w:rFonts w:ascii="Times New Roman" w:hAnsi="Times New Roman" w:eastAsia="Times New Roman" w:cs="Times New Roman"/>
                <w:color w:val="000000"/>
                <w:sz w:val="24"/>
              </w:rPr>
              <w:t xml:space="preserve">Coinalyze ToS audit fails for redistribution</w:t>
            </w:r>
            <w:r/>
          </w:p>
        </w:tc>
        <w:tc>
          <w:tcPr>
            <w:tcBorders/>
            <w:tcMar>
              <w:left w:w="15" w:type="dxa"/>
              <w:top w:w="15" w:type="dxa"/>
              <w:right w:w="15" w:type="dxa"/>
              <w:bottom w:w="15" w:type="dxa"/>
            </w:tcMar>
            <w:tcW w:w="295" w:type="dxa"/>
            <w:vAlign w:val="center"/>
          </w:tcPr>
          <w:p w14:paraId="2227120A">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1648" w:type="dxa"/>
            <w:vAlign w:val="center"/>
          </w:tcPr>
          <w:p w14:paraId="5E745FF5">
            <w:pPr>
              <w:pBdr/>
              <w:spacing w:after="0" w:before="0" w:line="240"/>
              <w:ind/>
              <w:rPr/>
            </w:pPr>
            <w:r>
              <w:rPr>
                <w:rFonts w:ascii="Times New Roman" w:hAnsi="Times New Roman" w:eastAsia="Times New Roman" w:cs="Times New Roman"/>
                <w:color w:val="000000"/>
                <w:sz w:val="24"/>
              </w:rPr>
              <w:t xml:space="preserve">Medium — derivatives metrics excluded from Data API product</w:t>
            </w:r>
            <w:r/>
          </w:p>
        </w:tc>
        <w:tc>
          <w:tcPr>
            <w:tcBorders/>
            <w:tcMar>
              <w:left w:w="15" w:type="dxa"/>
              <w:top w:w="15" w:type="dxa"/>
              <w:right w:w="15" w:type="dxa"/>
              <w:bottom w:w="15" w:type="dxa"/>
            </w:tcMar>
            <w:tcW w:w="5383" w:type="dxa"/>
            <w:vAlign w:val="center"/>
          </w:tcPr>
          <w:p w14:paraId="255386EF">
            <w:pPr>
              <w:pBdr/>
              <w:spacing w:after="0" w:before="0" w:line="240"/>
              <w:ind/>
              <w:rPr/>
            </w:pPr>
            <w:r>
              <w:rPr>
                <w:rFonts w:ascii="Times New Roman" w:hAnsi="Times New Roman" w:eastAsia="Times New Roman" w:cs="Times New Roman"/>
                <w:color w:val="000000"/>
                <w:sz w:val="24"/>
              </w:rPr>
              <w:t xml:space="preserve">Internal signal generation unaffected. Data API launched without derivatives metrics until replacement source found.</w:t>
            </w:r>
            <w:r/>
          </w:p>
        </w:tc>
      </w:tr>
      <w:tr>
        <w:trPr/>
        <w:tc>
          <w:tcPr>
            <w:tcBorders/>
            <w:tcMar>
              <w:left w:w="15" w:type="dxa"/>
              <w:top w:w="15" w:type="dxa"/>
              <w:right w:w="15" w:type="dxa"/>
              <w:bottom w:w="15" w:type="dxa"/>
            </w:tcMar>
            <w:tcW w:w="2028" w:type="dxa"/>
            <w:vAlign w:val="center"/>
          </w:tcPr>
          <w:p w14:paraId="3DF53C4A">
            <w:pPr>
              <w:pBdr/>
              <w:spacing w:after="0" w:before="0" w:line="240"/>
              <w:ind/>
              <w:rPr/>
            </w:pPr>
            <w:r>
              <w:rPr>
                <w:rFonts w:ascii="Times New Roman" w:hAnsi="Times New Roman" w:eastAsia="Times New Roman" w:cs="Times New Roman"/>
                <w:color w:val="000000"/>
                <w:sz w:val="24"/>
              </w:rPr>
              <w:t xml:space="preserve">ML models fail graduation criteria after first training</w:t>
            </w:r>
            <w:r/>
          </w:p>
        </w:tc>
        <w:tc>
          <w:tcPr>
            <w:tcBorders/>
            <w:tcMar>
              <w:left w:w="15" w:type="dxa"/>
              <w:top w:w="15" w:type="dxa"/>
              <w:right w:w="15" w:type="dxa"/>
              <w:bottom w:w="15" w:type="dxa"/>
            </w:tcMar>
            <w:tcW w:w="295" w:type="dxa"/>
            <w:vAlign w:val="center"/>
          </w:tcPr>
          <w:p w14:paraId="18EFF887">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1648" w:type="dxa"/>
            <w:vAlign w:val="center"/>
          </w:tcPr>
          <w:p w14:paraId="54E828D6">
            <w:pPr>
              <w:pBdr/>
              <w:spacing w:after="0" w:before="0" w:line="240"/>
              <w:ind/>
              <w:rPr/>
            </w:pPr>
            <w:r>
              <w:rPr>
                <w:rFonts w:ascii="Times New Roman" w:hAnsi="Times New Roman" w:eastAsia="Times New Roman" w:cs="Times New Roman"/>
                <w:color w:val="000000"/>
                <w:sz w:val="24"/>
              </w:rPr>
              <w:t xml:space="preserve">Medium — Phase 4 extends</w:t>
            </w:r>
            <w:r/>
          </w:p>
        </w:tc>
        <w:tc>
          <w:tcPr>
            <w:tcBorders/>
            <w:tcMar>
              <w:left w:w="15" w:type="dxa"/>
              <w:top w:w="15" w:type="dxa"/>
              <w:right w:w="15" w:type="dxa"/>
              <w:bottom w:w="15" w:type="dxa"/>
            </w:tcMar>
            <w:tcW w:w="5383" w:type="dxa"/>
            <w:vAlign w:val="center"/>
          </w:tcPr>
          <w:p w14:paraId="638531A9">
            <w:pPr>
              <w:pBdr/>
              <w:spacing w:after="0" w:before="0" w:line="240"/>
              <w:ind/>
              <w:rPr/>
            </w:pPr>
            <w:r>
              <w:rPr>
                <w:rFonts w:ascii="Times New Roman" w:hAnsi="Times New Roman" w:eastAsia="Times New Roman" w:cs="Times New Roman"/>
                <w:color w:val="000000"/>
                <w:sz w:val="24"/>
              </w:rPr>
              <w:t xml:space="preserve">Shadow period extended. EDSx serves as the production signal while ML is iterated. Customers receive honest confidence values from EDSx-only signal.</w:t>
            </w:r>
            <w:r/>
          </w:p>
        </w:tc>
      </w:tr>
      <w:tr>
        <w:trPr/>
        <w:tc>
          <w:tcPr>
            <w:tcBorders/>
            <w:tcMar>
              <w:left w:w="15" w:type="dxa"/>
              <w:top w:w="15" w:type="dxa"/>
              <w:right w:w="15" w:type="dxa"/>
              <w:bottom w:w="15" w:type="dxa"/>
            </w:tcMar>
            <w:tcW w:w="2028" w:type="dxa"/>
            <w:vAlign w:val="center"/>
          </w:tcPr>
          <w:p w14:paraId="67572808">
            <w:pPr>
              <w:pBdr/>
              <w:spacing w:after="0" w:before="0" w:line="240"/>
              <w:ind/>
              <w:rPr/>
            </w:pPr>
            <w:r>
              <w:rPr>
                <w:rFonts w:ascii="Times New Roman" w:hAnsi="Times New Roman" w:eastAsia="Times New Roman" w:cs="Times New Roman"/>
                <w:color w:val="000000"/>
                <w:sz w:val="24"/>
              </w:rPr>
              <w:t xml:space="preserve">Single operator illness or unavailability</w:t>
            </w:r>
            <w:r/>
          </w:p>
        </w:tc>
        <w:tc>
          <w:tcPr>
            <w:tcBorders/>
            <w:tcMar>
              <w:left w:w="15" w:type="dxa"/>
              <w:top w:w="15" w:type="dxa"/>
              <w:right w:w="15" w:type="dxa"/>
              <w:bottom w:w="15" w:type="dxa"/>
            </w:tcMar>
            <w:tcW w:w="295" w:type="dxa"/>
            <w:vAlign w:val="center"/>
          </w:tcPr>
          <w:p w14:paraId="7C9A5115">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648" w:type="dxa"/>
            <w:vAlign w:val="center"/>
          </w:tcPr>
          <w:p w14:paraId="762B1EE2">
            <w:pPr>
              <w:pBdr/>
              <w:spacing w:after="0" w:before="0" w:line="240"/>
              <w:ind/>
              <w:rPr/>
            </w:pPr>
            <w:r>
              <w:rPr>
                <w:rFonts w:ascii="Times New Roman" w:hAnsi="Times New Roman" w:eastAsia="Times New Roman" w:cs="Times New Roman"/>
                <w:color w:val="000000"/>
                <w:sz w:val="24"/>
              </w:rPr>
              <w:t xml:space="preserve">High — all phases delayed</w:t>
            </w:r>
            <w:r/>
          </w:p>
        </w:tc>
        <w:tc>
          <w:tcPr>
            <w:tcBorders/>
            <w:tcMar>
              <w:left w:w="15" w:type="dxa"/>
              <w:top w:w="15" w:type="dxa"/>
              <w:right w:w="15" w:type="dxa"/>
              <w:bottom w:w="15" w:type="dxa"/>
            </w:tcMar>
            <w:tcW w:w="5383" w:type="dxa"/>
            <w:vAlign w:val="center"/>
          </w:tcPr>
          <w:p w14:paraId="2ACB5E2A">
            <w:pPr>
              <w:pBdr/>
              <w:spacing w:after="0" w:before="0" w:line="240"/>
              <w:ind/>
              <w:rPr/>
            </w:pPr>
            <w:r>
              <w:rPr>
                <w:rFonts w:ascii="Times New Roman" w:hAnsi="Times New Roman" w:eastAsia="Times New Roman" w:cs="Times New Roman"/>
                <w:color w:val="000000"/>
                <w:sz w:val="24"/>
              </w:rPr>
              <w:t xml:space="preserve">No mitigation beyond documentation quality. Every phase gate includes documentation requirements so context can be recovered.</w:t>
            </w:r>
            <w:r/>
          </w:p>
        </w:tc>
      </w:tr>
      <w:tr>
        <w:trPr/>
        <w:tc>
          <w:tcPr>
            <w:tcBorders/>
            <w:tcMar>
              <w:left w:w="15" w:type="dxa"/>
              <w:top w:w="15" w:type="dxa"/>
              <w:right w:w="15" w:type="dxa"/>
              <w:bottom w:w="15" w:type="dxa"/>
            </w:tcMar>
            <w:tcW w:w="2028" w:type="dxa"/>
            <w:vAlign w:val="center"/>
          </w:tcPr>
          <w:p w14:paraId="15EBBAFB">
            <w:pPr>
              <w:pBdr/>
              <w:spacing w:after="0" w:before="0" w:line="240"/>
              <w:ind/>
              <w:rPr/>
            </w:pPr>
            <w:r>
              <w:rPr>
                <w:rFonts w:ascii="Times New Roman" w:hAnsi="Times New Roman" w:eastAsia="Times New Roman" w:cs="Times New Roman"/>
                <w:color w:val="000000"/>
                <w:sz w:val="24"/>
              </w:rPr>
              <w:t xml:space="preserve">Source API breaking change (Coinalyze, DeFiLlama)</w:t>
            </w:r>
            <w:r/>
          </w:p>
        </w:tc>
        <w:tc>
          <w:tcPr>
            <w:tcBorders/>
            <w:tcMar>
              <w:left w:w="15" w:type="dxa"/>
              <w:top w:w="15" w:type="dxa"/>
              <w:right w:w="15" w:type="dxa"/>
              <w:bottom w:w="15" w:type="dxa"/>
            </w:tcMar>
            <w:tcW w:w="295" w:type="dxa"/>
            <w:vAlign w:val="center"/>
          </w:tcPr>
          <w:p w14:paraId="45062456">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648" w:type="dxa"/>
            <w:vAlign w:val="center"/>
          </w:tcPr>
          <w:p w14:paraId="6D6B4262">
            <w:pPr>
              <w:pBdr/>
              <w:spacing w:after="0" w:before="0" w:line="240"/>
              <w:ind/>
              <w:rPr/>
            </w:pPr>
            <w:r>
              <w:rPr>
                <w:rFonts w:ascii="Times New Roman" w:hAnsi="Times New Roman" w:eastAsia="Times New Roman" w:cs="Times New Roman"/>
                <w:color w:val="000000"/>
                <w:sz w:val="24"/>
              </w:rPr>
              <w:t xml:space="preserve">Medium — collection gap until adapter fixed</w:t>
            </w:r>
            <w:r/>
          </w:p>
        </w:tc>
        <w:tc>
          <w:tcPr>
            <w:tcBorders/>
            <w:tcMar>
              <w:left w:w="15" w:type="dxa"/>
              <w:top w:w="15" w:type="dxa"/>
              <w:right w:w="15" w:type="dxa"/>
              <w:bottom w:w="15" w:type="dxa"/>
            </w:tcMar>
            <w:tcW w:w="5383" w:type="dxa"/>
            <w:vAlign w:val="center"/>
          </w:tcPr>
          <w:p w14:paraId="3882A0BB">
            <w:pPr>
              <w:pBdr/>
              <w:spacing w:after="0" w:before="0" w:line="240"/>
              <w:ind/>
              <w:rPr/>
            </w:pPr>
            <w:r>
              <w:rPr>
                <w:rFonts w:ascii="Times New Roman" w:hAnsi="Times New Roman" w:eastAsia="Times New Roman" w:cs="Times New Roman"/>
                <w:color w:val="000000"/>
                <w:sz w:val="24"/>
              </w:rPr>
              <w:t xml:space="preserve">Staleness propagates honestly to signal output. Customer is informed via confidence degradation. Adapter fix is scoped to Layer 2 only.</w:t>
            </w:r>
            <w:r/>
          </w:p>
        </w:tc>
      </w:tr>
      <w:tr>
        <w:trPr/>
        <w:tc>
          <w:tcPr>
            <w:tcBorders/>
            <w:tcMar>
              <w:left w:w="15" w:type="dxa"/>
              <w:top w:w="15" w:type="dxa"/>
              <w:right w:w="15" w:type="dxa"/>
              <w:bottom w:w="15" w:type="dxa"/>
            </w:tcMar>
            <w:tcW w:w="2028" w:type="dxa"/>
            <w:vAlign w:val="center"/>
          </w:tcPr>
          <w:p w14:paraId="24AAF6D1">
            <w:pPr>
              <w:pBdr/>
              <w:spacing w:after="0" w:before="0" w:line="240"/>
              <w:ind/>
              <w:rPr/>
            </w:pPr>
            <w:r>
              <w:rPr>
                <w:rFonts w:ascii="Times New Roman" w:hAnsi="Times New Roman" w:eastAsia="Times New Roman" w:cs="Times New Roman"/>
                <w:color w:val="000000"/>
                <w:sz w:val="24"/>
              </w:rPr>
              <w:t xml:space="preserve">TimescaleDB performance insufficient for feature engineering query load</w:t>
            </w:r>
            <w:r/>
          </w:p>
        </w:tc>
        <w:tc>
          <w:tcPr>
            <w:tcBorders/>
            <w:tcMar>
              <w:left w:w="15" w:type="dxa"/>
              <w:top w:w="15" w:type="dxa"/>
              <w:right w:w="15" w:type="dxa"/>
              <w:bottom w:w="15" w:type="dxa"/>
            </w:tcMar>
            <w:tcW w:w="295" w:type="dxa"/>
            <w:vAlign w:val="center"/>
          </w:tcPr>
          <w:p w14:paraId="59809C65">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648" w:type="dxa"/>
            <w:vAlign w:val="center"/>
          </w:tcPr>
          <w:p w14:paraId="6C2156DE">
            <w:pPr>
              <w:pBdr/>
              <w:spacing w:after="0" w:before="0" w:line="240"/>
              <w:ind/>
              <w:rPr/>
            </w:pPr>
            <w:r>
              <w:rPr>
                <w:rFonts w:ascii="Times New Roman" w:hAnsi="Times New Roman" w:eastAsia="Times New Roman" w:cs="Times New Roman"/>
                <w:color w:val="000000"/>
                <w:sz w:val="24"/>
              </w:rPr>
              <w:t xml:space="preserve">Medium — DuckDB takes on more analytical load</w:t>
            </w:r>
            <w:r/>
          </w:p>
        </w:tc>
        <w:tc>
          <w:tcPr>
            <w:tcBorders/>
            <w:tcMar>
              <w:left w:w="15" w:type="dxa"/>
              <w:top w:w="15" w:type="dxa"/>
              <w:right w:w="15" w:type="dxa"/>
              <w:bottom w:w="15" w:type="dxa"/>
            </w:tcMar>
            <w:tcW w:w="5383" w:type="dxa"/>
            <w:vAlign w:val="center"/>
          </w:tcPr>
          <w:p w14:paraId="2F44BABF">
            <w:pPr>
              <w:pBdr/>
              <w:spacing w:after="0" w:before="0" w:line="240"/>
              <w:ind/>
              <w:rPr/>
            </w:pPr>
            <w:r>
              <w:rPr>
                <w:rFonts w:ascii="Times New Roman" w:hAnsi="Times New Roman" w:eastAsia="Times New Roman" w:cs="Times New Roman"/>
                <w:color w:val="000000"/>
                <w:sz w:val="24"/>
              </w:rPr>
              <w:t xml:space="preserve">DuckDB analytical layer exists precisely for this. Architectural mitigation already built in.</w:t>
            </w:r>
            <w:r/>
          </w:p>
        </w:tc>
      </w:tr>
      <w:tr>
        <w:trPr/>
        <w:tc>
          <w:tcPr>
            <w:tcBorders/>
            <w:tcMar>
              <w:left w:w="15" w:type="dxa"/>
              <w:top w:w="15" w:type="dxa"/>
              <w:right w:w="15" w:type="dxa"/>
              <w:bottom w:w="15" w:type="dxa"/>
            </w:tcMar>
            <w:tcW w:w="2028" w:type="dxa"/>
            <w:vAlign w:val="center"/>
          </w:tcPr>
          <w:p w14:paraId="05438EBC">
            <w:pPr>
              <w:pBdr/>
              <w:spacing w:after="0" w:before="0" w:line="240"/>
              <w:ind/>
              <w:rPr/>
            </w:pPr>
            <w:r>
              <w:rPr>
                <w:rFonts w:ascii="Times New Roman" w:hAnsi="Times New Roman" w:eastAsia="Times New Roman" w:cs="Times New Roman"/>
                <w:color w:val="000000"/>
                <w:sz w:val="24"/>
              </w:rPr>
              <w:t xml:space="preserve">Schema defect discovered after Phase 0 gate</w:t>
            </w:r>
            <w:r/>
          </w:p>
        </w:tc>
        <w:tc>
          <w:tcPr>
            <w:tcBorders/>
            <w:tcMar>
              <w:left w:w="15" w:type="dxa"/>
              <w:top w:w="15" w:type="dxa"/>
              <w:right w:w="15" w:type="dxa"/>
              <w:bottom w:w="15" w:type="dxa"/>
            </w:tcMar>
            <w:tcW w:w="295" w:type="dxa"/>
            <w:vAlign w:val="center"/>
          </w:tcPr>
          <w:p w14:paraId="54FE24B6">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648" w:type="dxa"/>
            <w:vAlign w:val="center"/>
          </w:tcPr>
          <w:p w14:paraId="6D3852DE">
            <w:pPr>
              <w:pBdr/>
              <w:spacing w:after="0" w:before="0" w:line="240"/>
              <w:ind/>
              <w:rPr/>
            </w:pPr>
            <w:r>
              <w:rPr>
                <w:rFonts w:ascii="Times New Roman" w:hAnsi="Times New Roman" w:eastAsia="Times New Roman" w:cs="Times New Roman"/>
                <w:color w:val="000000"/>
                <w:sz w:val="24"/>
              </w:rPr>
              <w:t xml:space="preserve">Very High — requires DDL migration on populated table</w:t>
            </w:r>
            <w:r/>
          </w:p>
        </w:tc>
        <w:tc>
          <w:tcPr>
            <w:tcBorders/>
            <w:tcMar>
              <w:left w:w="15" w:type="dxa"/>
              <w:top w:w="15" w:type="dxa"/>
              <w:right w:w="15" w:type="dxa"/>
              <w:bottom w:w="15" w:type="dxa"/>
            </w:tcMar>
            <w:tcW w:w="5383" w:type="dxa"/>
            <w:vAlign w:val="center"/>
          </w:tcPr>
          <w:p w14:paraId="6E3E77B4">
            <w:pPr>
              <w:pBdr/>
              <w:spacing w:after="0" w:before="0" w:line="240"/>
              <w:ind/>
              <w:rPr/>
            </w:pPr>
            <w:r>
              <w:rPr>
                <w:rFonts w:ascii="Times New Roman" w:hAnsi="Times New Roman" w:eastAsia="Times New Roman" w:cs="Times New Roman"/>
                <w:color w:val="000000"/>
                <w:sz w:val="24"/>
              </w:rPr>
              <w:t xml:space="preserve">Phase 0 gate is the primary mitigation. PIT query test, index verification, and constraint tests are all designed to catch schema defects before data enters.</w:t>
            </w:r>
            <w:r/>
          </w:p>
        </w:tc>
      </w:tr>
      <w:tr>
        <w:trPr/>
        <w:tc>
          <w:tcPr>
            <w:tcBorders/>
            <w:tcMar>
              <w:left w:w="15" w:type="dxa"/>
              <w:top w:w="15" w:type="dxa"/>
              <w:right w:w="15" w:type="dxa"/>
              <w:bottom w:w="15" w:type="dxa"/>
            </w:tcMar>
            <w:tcW w:w="2028" w:type="dxa"/>
            <w:vAlign w:val="center"/>
          </w:tcPr>
          <w:p w14:paraId="5CDB18B9">
            <w:pPr>
              <w:pBdr/>
              <w:spacing w:after="0" w:before="0" w:line="240"/>
              <w:ind/>
              <w:rPr/>
            </w:pPr>
            <w:r>
              <w:rPr>
                <w:rFonts w:ascii="Times New Roman" w:hAnsi="Times New Roman" w:eastAsia="Times New Roman" w:cs="Times New Roman"/>
                <w:color w:val="000000"/>
                <w:sz w:val="24"/>
              </w:rPr>
              <w:t xml:space="preserve">Options data gap (Deribit) affects signal quality materially</w:t>
            </w:r>
            <w:r/>
          </w:p>
        </w:tc>
        <w:tc>
          <w:tcPr>
            <w:tcBorders/>
            <w:tcMar>
              <w:left w:w="15" w:type="dxa"/>
              <w:top w:w="15" w:type="dxa"/>
              <w:right w:w="15" w:type="dxa"/>
              <w:bottom w:w="15" w:type="dxa"/>
            </w:tcMar>
            <w:tcW w:w="295" w:type="dxa"/>
            <w:vAlign w:val="center"/>
          </w:tcPr>
          <w:p w14:paraId="7BB96A67">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648" w:type="dxa"/>
            <w:vAlign w:val="center"/>
          </w:tcPr>
          <w:p w14:paraId="046F6102">
            <w:pPr>
              <w:pBdr/>
              <w:spacing w:after="0" w:before="0" w:line="240"/>
              <w:ind/>
              <w:rPr/>
            </w:pPr>
            <w:r>
              <w:rPr>
                <w:rFonts w:ascii="Times New Roman" w:hAnsi="Times New Roman" w:eastAsia="Times New Roman" w:cs="Times New Roman"/>
                <w:color w:val="000000"/>
                <w:sz w:val="24"/>
              </w:rPr>
              <w:t xml:space="preserve">Low — null-propagates in v1</w:t>
            </w:r>
            <w:r/>
          </w:p>
        </w:tc>
        <w:tc>
          <w:tcPr>
            <w:tcBorders/>
            <w:tcMar>
              <w:left w:w="15" w:type="dxa"/>
              <w:top w:w="15" w:type="dxa"/>
              <w:right w:w="15" w:type="dxa"/>
              <w:bottom w:w="15" w:type="dxa"/>
            </w:tcMar>
            <w:tcW w:w="5383" w:type="dxa"/>
            <w:vAlign w:val="center"/>
          </w:tcPr>
          <w:p w14:paraId="129BEC4E">
            <w:pPr>
              <w:pBdr/>
              <w:spacing w:after="0" w:before="0" w:line="240"/>
              <w:ind/>
              <w:rPr/>
            </w:pPr>
            <w:r>
              <w:rPr>
                <w:rFonts w:ascii="Times New Roman" w:hAnsi="Times New Roman" w:eastAsia="Times New Roman" w:cs="Times New Roman"/>
                <w:color w:val="000000"/>
                <w:sz w:val="24"/>
              </w:rPr>
              <w:t xml:space="preserve">EDSx confidence degrades gracefully. Deribit adapter is v1.1 scope.</w:t>
            </w:r>
            <w:r/>
          </w:p>
        </w:tc>
      </w:tr>
      <w:tr>
        <w:trPr/>
        <w:tc>
          <w:tcPr>
            <w:tcBorders/>
            <w:tcMar>
              <w:left w:w="15" w:type="dxa"/>
              <w:top w:w="15" w:type="dxa"/>
              <w:right w:w="15" w:type="dxa"/>
              <w:bottom w:w="15" w:type="dxa"/>
            </w:tcMar>
            <w:tcW w:w="2028" w:type="dxa"/>
            <w:vAlign w:val="center"/>
          </w:tcPr>
          <w:p w14:paraId="36A0CFCB">
            <w:pPr>
              <w:pBdr/>
              <w:spacing w:after="0" w:before="0" w:line="240"/>
              <w:ind/>
              <w:rPr/>
            </w:pPr>
            <w:r>
              <w:rPr>
                <w:rFonts w:ascii="Times New Roman" w:hAnsi="Times New Roman" w:eastAsia="Times New Roman" w:cs="Times New Roman"/>
                <w:color w:val="000000"/>
                <w:sz w:val="24"/>
              </w:rPr>
              <w:t xml:space="preserve">DeFiLlama lending utilization proxy is too noisy to carry signal</w:t>
            </w:r>
            <w:r/>
          </w:p>
        </w:tc>
        <w:tc>
          <w:tcPr>
            <w:tcBorders/>
            <w:tcMar>
              <w:left w:w="15" w:type="dxa"/>
              <w:top w:w="15" w:type="dxa"/>
              <w:right w:w="15" w:type="dxa"/>
              <w:bottom w:w="15" w:type="dxa"/>
            </w:tcMar>
            <w:tcW w:w="295" w:type="dxa"/>
            <w:vAlign w:val="center"/>
          </w:tcPr>
          <w:p w14:paraId="24D56D44">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1648" w:type="dxa"/>
            <w:vAlign w:val="center"/>
          </w:tcPr>
          <w:p w14:paraId="0DADF249">
            <w:pPr>
              <w:pBdr/>
              <w:spacing w:after="0" w:before="0" w:line="240"/>
              <w:ind/>
              <w:rPr/>
            </w:pPr>
            <w:r>
              <w:rPr>
                <w:rFonts w:ascii="Times New Roman" w:hAnsi="Times New Roman" w:eastAsia="Times New Roman" w:cs="Times New Roman"/>
                <w:color w:val="000000"/>
                <w:sz w:val="24"/>
              </w:rPr>
              <w:t xml:space="preserve">Low — single feature degraded</w:t>
            </w:r>
            <w:r/>
          </w:p>
        </w:tc>
        <w:tc>
          <w:tcPr>
            <w:tcBorders/>
            <w:tcMar>
              <w:left w:w="15" w:type="dxa"/>
              <w:top w:w="15" w:type="dxa"/>
              <w:right w:w="15" w:type="dxa"/>
              <w:bottom w:w="15" w:type="dxa"/>
            </w:tcMar>
            <w:tcW w:w="5383" w:type="dxa"/>
            <w:vAlign w:val="center"/>
          </w:tcPr>
          <w:p w14:paraId="68DD3425">
            <w:pPr>
              <w:pBdr/>
              <w:spacing w:after="0" w:before="0" w:line="240"/>
              <w:ind/>
              <w:rPr/>
            </w:pPr>
            <w:r>
              <w:rPr>
                <w:rFonts w:ascii="Times New Roman" w:hAnsi="Times New Roman" w:eastAsia="Times New Roman" w:cs="Times New Roman"/>
                <w:color w:val="000000"/>
                <w:sz w:val="24"/>
              </w:rPr>
              <w:t xml:space="preserve">Feature is marked as proxy in catalog. Signal contribution is limited. Does not break the system.</w:t>
            </w:r>
            <w:r/>
          </w:p>
        </w:tc>
      </w:tr>
      <w:tr>
        <w:trPr/>
        <w:tc>
          <w:tcPr>
            <w:tcBorders/>
            <w:tcMar>
              <w:left w:w="15" w:type="dxa"/>
              <w:top w:w="15" w:type="dxa"/>
              <w:right w:w="15" w:type="dxa"/>
              <w:bottom w:w="15" w:type="dxa"/>
            </w:tcMar>
            <w:tcW w:w="2028" w:type="dxa"/>
            <w:vAlign w:val="center"/>
          </w:tcPr>
          <w:p w14:paraId="10028391">
            <w:pPr>
              <w:pBdr/>
              <w:spacing w:after="0" w:before="0" w:line="240"/>
              <w:ind/>
              <w:rPr/>
            </w:pPr>
            <w:r>
              <w:rPr>
                <w:rFonts w:ascii="Times New Roman" w:hAnsi="Times New Roman" w:eastAsia="Times New Roman" w:cs="Times New Roman"/>
                <w:color w:val="000000"/>
                <w:sz w:val="24"/>
              </w:rPr>
              <w:t xml:space="preserve">First customer dissatisfied with signal quality</w:t>
            </w:r>
            <w:r/>
          </w:p>
        </w:tc>
        <w:tc>
          <w:tcPr>
            <w:tcBorders/>
            <w:tcMar>
              <w:left w:w="15" w:type="dxa"/>
              <w:top w:w="15" w:type="dxa"/>
              <w:right w:w="15" w:type="dxa"/>
              <w:bottom w:w="15" w:type="dxa"/>
            </w:tcMar>
            <w:tcW w:w="295" w:type="dxa"/>
            <w:vAlign w:val="center"/>
          </w:tcPr>
          <w:p w14:paraId="5588057F">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648" w:type="dxa"/>
            <w:vAlign w:val="center"/>
          </w:tcPr>
          <w:p w14:paraId="2F024F6F">
            <w:pPr>
              <w:pBdr/>
              <w:spacing w:after="0" w:before="0" w:line="240"/>
              <w:ind/>
              <w:rPr/>
            </w:pPr>
            <w:r>
              <w:rPr>
                <w:rFonts w:ascii="Times New Roman" w:hAnsi="Times New Roman" w:eastAsia="Times New Roman" w:cs="Times New Roman"/>
                <w:color w:val="000000"/>
                <w:sz w:val="24"/>
              </w:rPr>
              <w:t xml:space="preserve">Medium — revenue delayed</w:t>
            </w:r>
            <w:r/>
          </w:p>
        </w:tc>
        <w:tc>
          <w:tcPr>
            <w:tcBorders/>
            <w:tcMar>
              <w:left w:w="15" w:type="dxa"/>
              <w:top w:w="15" w:type="dxa"/>
              <w:right w:w="15" w:type="dxa"/>
              <w:bottom w:w="15" w:type="dxa"/>
            </w:tcMar>
            <w:tcW w:w="5383" w:type="dxa"/>
            <w:vAlign w:val="center"/>
          </w:tcPr>
          <w:p w14:paraId="147482E8">
            <w:pPr>
              <w:pBdr/>
              <w:spacing w:after="0" w:before="0" w:line="240"/>
              <w:ind/>
              <w:rPr/>
            </w:pPr>
            <w:r>
              <w:rPr>
                <w:rFonts w:ascii="Times New Roman" w:hAnsi="Times New Roman" w:eastAsia="Times New Roman" w:cs="Times New Roman"/>
                <w:color w:val="000000"/>
                <w:sz w:val="24"/>
              </w:rPr>
              <w:t xml:space="preserve">EDSx graduation criteria and ML graduation criteria are both conservative. The signal is not served to customers until it demonstrably works on OOS data. Methodology documentation sets correct expectations.</w:t>
            </w:r>
            <w:r/>
          </w:p>
        </w:tc>
      </w:tr>
    </w:tbl>
    <w:p w14:paraId="3D75DEC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Decisions Locked by Thread 6</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60"/>
        <w:gridCol w:w="7394"/>
      </w:tblGrid>
      <w:tr>
        <w:trPr/>
        <w:tc>
          <w:tcPr>
            <w:tcBorders/>
            <w:tcMar>
              <w:left w:w="15" w:type="dxa"/>
              <w:top w:w="15" w:type="dxa"/>
              <w:right w:w="15" w:type="dxa"/>
              <w:bottom w:w="15" w:type="dxa"/>
            </w:tcMar>
            <w:tcW w:w="1960" w:type="dxa"/>
            <w:vAlign w:val="center"/>
          </w:tcPr>
          <w:p w14:paraId="36AD0EFC">
            <w:pPr>
              <w:pBdr/>
              <w:spacing w:after="0" w:before="0" w:line="240"/>
              <w:ind/>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7394" w:type="dxa"/>
            <w:vAlign w:val="center"/>
          </w:tcPr>
          <w:p w14:paraId="131AB691">
            <w:pPr>
              <w:pBdr/>
              <w:spacing w:after="0" w:before="0" w:line="240"/>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1960" w:type="dxa"/>
            <w:vAlign w:val="center"/>
          </w:tcPr>
          <w:p w14:paraId="6025CC4D">
            <w:pPr>
              <w:pBdr/>
              <w:spacing w:after="0" w:before="0" w:line="240"/>
              <w:ind/>
              <w:rPr/>
            </w:pPr>
            <w:r>
              <w:rPr>
                <w:rFonts w:ascii="Times New Roman" w:hAnsi="Times New Roman" w:eastAsia="Times New Roman" w:cs="Times New Roman"/>
                <w:color w:val="000000"/>
                <w:sz w:val="24"/>
              </w:rPr>
              <w:t xml:space="preserve">Build sequence</w:t>
            </w:r>
            <w:r/>
          </w:p>
        </w:tc>
        <w:tc>
          <w:tcPr>
            <w:tcBorders/>
            <w:tcMar>
              <w:left w:w="15" w:type="dxa"/>
              <w:top w:w="15" w:type="dxa"/>
              <w:right w:w="15" w:type="dxa"/>
              <w:bottom w:w="15" w:type="dxa"/>
            </w:tcMar>
            <w:tcW w:w="7394" w:type="dxa"/>
            <w:vAlign w:val="center"/>
          </w:tcPr>
          <w:p w14:paraId="3C292AC2">
            <w:pPr>
              <w:pBdr/>
              <w:spacing w:after="0" w:before="0" w:line="240"/>
              <w:ind/>
              <w:rPr/>
            </w:pPr>
            <w:r>
              <w:rPr>
                <w:rFonts w:ascii="Times New Roman" w:hAnsi="Times New Roman" w:eastAsia="Times New Roman" w:cs="Times New Roman"/>
                <w:color w:val="000000"/>
                <w:sz w:val="24"/>
              </w:rPr>
              <w:t xml:space="preserve">Schema first. Data second. Features third. EDSx fourth. ML fifth. Serving sixth.</w:t>
            </w:r>
            <w:r/>
          </w:p>
        </w:tc>
      </w:tr>
      <w:tr>
        <w:trPr/>
        <w:tc>
          <w:tcPr>
            <w:tcBorders/>
            <w:tcMar>
              <w:left w:w="15" w:type="dxa"/>
              <w:top w:w="15" w:type="dxa"/>
              <w:right w:w="15" w:type="dxa"/>
              <w:bottom w:w="15" w:type="dxa"/>
            </w:tcMar>
            <w:tcW w:w="1960" w:type="dxa"/>
            <w:vAlign w:val="center"/>
          </w:tcPr>
          <w:p w14:paraId="06E81267">
            <w:pPr>
              <w:pBdr/>
              <w:spacing w:after="0" w:before="0" w:line="240"/>
              <w:ind/>
              <w:rPr/>
            </w:pPr>
            <w:r>
              <w:rPr>
                <w:rFonts w:ascii="Times New Roman" w:hAnsi="Times New Roman" w:eastAsia="Times New Roman" w:cs="Times New Roman"/>
                <w:color w:val="000000"/>
                <w:sz w:val="24"/>
              </w:rPr>
              <w:t xml:space="preserve">Phase gate model</w:t>
            </w:r>
            <w:r/>
          </w:p>
        </w:tc>
        <w:tc>
          <w:tcPr>
            <w:tcBorders/>
            <w:tcMar>
              <w:left w:w="15" w:type="dxa"/>
              <w:top w:w="15" w:type="dxa"/>
              <w:right w:w="15" w:type="dxa"/>
              <w:bottom w:w="15" w:type="dxa"/>
            </w:tcMar>
            <w:tcW w:w="7394" w:type="dxa"/>
            <w:vAlign w:val="center"/>
          </w:tcPr>
          <w:p w14:paraId="25F8BD2F">
            <w:pPr>
              <w:pBdr/>
              <w:spacing w:after="0" w:before="0" w:line="240"/>
              <w:ind/>
              <w:rPr/>
            </w:pPr>
            <w:r>
              <w:rPr>
                <w:rFonts w:ascii="Times New Roman" w:hAnsi="Times New Roman" w:eastAsia="Times New Roman" w:cs="Times New Roman"/>
                <w:color w:val="000000"/>
                <w:sz w:val="24"/>
              </w:rPr>
              <w:t xml:space="preserve">Hard pass/fail gates. No phase begins until previous phase gates pass. No exceptions.</w:t>
            </w:r>
            <w:r/>
          </w:p>
        </w:tc>
      </w:tr>
      <w:tr>
        <w:trPr/>
        <w:tc>
          <w:tcPr>
            <w:tcBorders/>
            <w:tcMar>
              <w:left w:w="15" w:type="dxa"/>
              <w:top w:w="15" w:type="dxa"/>
              <w:right w:w="15" w:type="dxa"/>
              <w:bottom w:w="15" w:type="dxa"/>
            </w:tcMar>
            <w:tcW w:w="1960" w:type="dxa"/>
            <w:vAlign w:val="center"/>
          </w:tcPr>
          <w:p w14:paraId="0288120F">
            <w:pPr>
              <w:pBdr/>
              <w:spacing w:after="0" w:before="0" w:line="240"/>
              <w:ind/>
              <w:rPr/>
            </w:pPr>
            <w:r>
              <w:rPr>
                <w:rFonts w:ascii="Times New Roman" w:hAnsi="Times New Roman" w:eastAsia="Times New Roman" w:cs="Times New Roman"/>
                <w:color w:val="000000"/>
                <w:sz w:val="24"/>
              </w:rPr>
              <w:t xml:space="preserve">Migration strategy</w:t>
            </w:r>
            <w:r/>
          </w:p>
        </w:tc>
        <w:tc>
          <w:tcPr>
            <w:tcBorders/>
            <w:tcMar>
              <w:left w:w="15" w:type="dxa"/>
              <w:top w:w="15" w:type="dxa"/>
              <w:right w:w="15" w:type="dxa"/>
              <w:bottom w:w="15" w:type="dxa"/>
            </w:tcMar>
            <w:tcW w:w="7394" w:type="dxa"/>
            <w:vAlign w:val="center"/>
          </w:tcPr>
          <w:p w14:paraId="25EF2BAF">
            <w:pPr>
              <w:pBdr/>
              <w:spacing w:after="0" w:before="0" w:line="240"/>
              <w:ind/>
              <w:rPr/>
            </w:pPr>
            <w:r>
              <w:rPr>
                <w:rFonts w:ascii="Times New Roman" w:hAnsi="Times New Roman" w:eastAsia="Times New Roman" w:cs="Times New Roman"/>
                <w:color w:val="000000"/>
                <w:sz w:val="24"/>
              </w:rPr>
              <w:t xml:space="preserve">All migrations run before live collection starts. No timestamp conflicts.</w:t>
            </w:r>
            <w:r/>
          </w:p>
        </w:tc>
      </w:tr>
      <w:tr>
        <w:trPr/>
        <w:tc>
          <w:tcPr>
            <w:tcBorders/>
            <w:tcMar>
              <w:left w:w="15" w:type="dxa"/>
              <w:top w:w="15" w:type="dxa"/>
              <w:right w:w="15" w:type="dxa"/>
              <w:bottom w:w="15" w:type="dxa"/>
            </w:tcMar>
            <w:tcW w:w="1960" w:type="dxa"/>
            <w:vAlign w:val="center"/>
          </w:tcPr>
          <w:p w14:paraId="5B9EA32B">
            <w:pPr>
              <w:pBdr/>
              <w:spacing w:after="0" w:before="0" w:line="240"/>
              <w:ind/>
              <w:rPr/>
            </w:pPr>
            <w:r>
              <w:rPr>
                <w:rFonts w:ascii="Times New Roman" w:hAnsi="Times New Roman" w:eastAsia="Times New Roman" w:cs="Times New Roman"/>
                <w:color w:val="000000"/>
                <w:sz w:val="24"/>
              </w:rPr>
              <w:t xml:space="preserve">Parallel operation</w:t>
            </w:r>
            <w:r/>
          </w:p>
        </w:tc>
        <w:tc>
          <w:tcPr>
            <w:tcBorders/>
            <w:tcMar>
              <w:left w:w="15" w:type="dxa"/>
              <w:top w:w="15" w:type="dxa"/>
              <w:right w:w="15" w:type="dxa"/>
              <w:bottom w:w="15" w:type="dxa"/>
            </w:tcMar>
            <w:tcW w:w="7394" w:type="dxa"/>
            <w:vAlign w:val="center"/>
          </w:tcPr>
          <w:p w14:paraId="45B566B6">
            <w:pPr>
              <w:pBdr/>
              <w:spacing w:after="0" w:before="0" w:line="240"/>
              <w:ind/>
              <w:rPr/>
            </w:pPr>
            <w:r>
              <w:rPr>
                <w:rFonts w:ascii="Times New Roman" w:hAnsi="Times New Roman" w:eastAsia="Times New Roman" w:cs="Times New Roman"/>
                <w:color w:val="000000"/>
                <w:sz w:val="24"/>
              </w:rPr>
              <w:t xml:space="preserve">None. Forge is dead. Read-only retention for 90 days as safety net only.</w:t>
            </w:r>
            <w:r/>
          </w:p>
        </w:tc>
      </w:tr>
      <w:tr>
        <w:trPr/>
        <w:tc>
          <w:tcPr>
            <w:tcBorders/>
            <w:tcMar>
              <w:left w:w="15" w:type="dxa"/>
              <w:top w:w="15" w:type="dxa"/>
              <w:right w:w="15" w:type="dxa"/>
              <w:bottom w:w="15" w:type="dxa"/>
            </w:tcMar>
            <w:tcW w:w="1960" w:type="dxa"/>
            <w:vAlign w:val="center"/>
          </w:tcPr>
          <w:p w14:paraId="5D098CEA">
            <w:pPr>
              <w:pBdr/>
              <w:spacing w:after="0" w:before="0" w:line="240"/>
              <w:ind/>
              <w:rPr/>
            </w:pPr>
            <w:r>
              <w:rPr>
                <w:rFonts w:ascii="Times New Roman" w:hAnsi="Times New Roman" w:eastAsia="Times New Roman" w:cs="Times New Roman"/>
                <w:color w:val="000000"/>
                <w:sz w:val="24"/>
              </w:rPr>
              <w:t xml:space="preserve">First ML shadow period</w:t>
            </w:r>
            <w:r/>
          </w:p>
        </w:tc>
        <w:tc>
          <w:tcPr>
            <w:tcBorders/>
            <w:tcMar>
              <w:left w:w="15" w:type="dxa"/>
              <w:top w:w="15" w:type="dxa"/>
              <w:right w:w="15" w:type="dxa"/>
              <w:bottom w:w="15" w:type="dxa"/>
            </w:tcMar>
            <w:tcW w:w="7394" w:type="dxa"/>
            <w:vAlign w:val="center"/>
          </w:tcPr>
          <w:p w14:paraId="5170B2AA">
            <w:pPr>
              <w:pBdr/>
              <w:spacing w:after="0" w:before="0" w:line="240"/>
              <w:ind/>
              <w:rPr/>
            </w:pPr>
            <w:r>
              <w:rPr>
                <w:rFonts w:ascii="Times New Roman" w:hAnsi="Times New Roman" w:eastAsia="Times New Roman" w:cs="Times New Roman"/>
                <w:color w:val="000000"/>
                <w:sz w:val="24"/>
              </w:rPr>
              <w:t xml:space="preserve">Minimum 30 days. Extension if shadow evaluation fails.</w:t>
            </w:r>
            <w:r/>
          </w:p>
        </w:tc>
      </w:tr>
      <w:tr>
        <w:trPr/>
        <w:tc>
          <w:tcPr>
            <w:tcBorders/>
            <w:tcMar>
              <w:left w:w="15" w:type="dxa"/>
              <w:top w:w="15" w:type="dxa"/>
              <w:right w:w="15" w:type="dxa"/>
              <w:bottom w:w="15" w:type="dxa"/>
            </w:tcMar>
            <w:tcW w:w="1960" w:type="dxa"/>
            <w:vAlign w:val="center"/>
          </w:tcPr>
          <w:p w14:paraId="2EF7AA39">
            <w:pPr>
              <w:pBdr/>
              <w:spacing w:after="0" w:before="0" w:line="240"/>
              <w:ind/>
              <w:rPr/>
            </w:pPr>
            <w:r>
              <w:rPr>
                <w:rFonts w:ascii="Times New Roman" w:hAnsi="Times New Roman" w:eastAsia="Times New Roman" w:cs="Times New Roman"/>
                <w:color w:val="000000"/>
                <w:sz w:val="24"/>
              </w:rPr>
              <w:t xml:space="preserve">First customer delivery</w:t>
            </w:r>
            <w:r/>
          </w:p>
        </w:tc>
        <w:tc>
          <w:tcPr>
            <w:tcBorders/>
            <w:tcMar>
              <w:left w:w="15" w:type="dxa"/>
              <w:top w:w="15" w:type="dxa"/>
              <w:right w:w="15" w:type="dxa"/>
              <w:bottom w:w="15" w:type="dxa"/>
            </w:tcMar>
            <w:tcW w:w="7394" w:type="dxa"/>
            <w:vAlign w:val="center"/>
          </w:tcPr>
          <w:p w14:paraId="3E43F83D">
            <w:pPr>
              <w:pBdr/>
              <w:spacing w:after="0" w:before="0" w:line="240"/>
              <w:ind/>
              <w:rPr/>
            </w:pPr>
            <w:r>
              <w:rPr>
                <w:rFonts w:ascii="Times New Roman" w:hAnsi="Times New Roman" w:eastAsia="Times New Roman" w:cs="Times New Roman"/>
                <w:color w:val="000000"/>
                <w:sz w:val="24"/>
              </w:rPr>
              <w:t xml:space="preserve">Phase 6, after all gates pass. Direct engagement, real pricing, no free trials.</w:t>
            </w:r>
            <w:r/>
          </w:p>
        </w:tc>
      </w:tr>
      <w:tr>
        <w:trPr/>
        <w:tc>
          <w:tcPr>
            <w:tcBorders/>
            <w:tcMar>
              <w:left w:w="15" w:type="dxa"/>
              <w:top w:w="15" w:type="dxa"/>
              <w:right w:w="15" w:type="dxa"/>
              <w:bottom w:w="15" w:type="dxa"/>
            </w:tcMar>
            <w:tcW w:w="1960" w:type="dxa"/>
            <w:vAlign w:val="center"/>
          </w:tcPr>
          <w:p w14:paraId="1DED8D15">
            <w:pPr>
              <w:pBdr/>
              <w:spacing w:after="0" w:before="0" w:line="240"/>
              <w:ind/>
              <w:rPr/>
            </w:pPr>
            <w:r>
              <w:rPr>
                <w:rFonts w:ascii="Times New Roman" w:hAnsi="Times New Roman" w:eastAsia="Times New Roman" w:cs="Times New Roman"/>
                <w:color w:val="000000"/>
                <w:sz w:val="24"/>
              </w:rPr>
              <w:t xml:space="preserve">ToS audit timing</w:t>
            </w:r>
            <w:r/>
          </w:p>
        </w:tc>
        <w:tc>
          <w:tcPr>
            <w:tcBorders/>
            <w:tcMar>
              <w:left w:w="15" w:type="dxa"/>
              <w:top w:w="15" w:type="dxa"/>
              <w:right w:w="15" w:type="dxa"/>
              <w:bottom w:w="15" w:type="dxa"/>
            </w:tcMar>
            <w:tcW w:w="7394" w:type="dxa"/>
            <w:vAlign w:val="center"/>
          </w:tcPr>
          <w:p w14:paraId="0F796124">
            <w:pPr>
              <w:pBdr/>
              <w:spacing w:after="0" w:before="0" w:line="240"/>
              <w:ind/>
              <w:rPr/>
            </w:pPr>
            <w:r>
              <w:rPr>
                <w:rFonts w:ascii="Times New Roman" w:hAnsi="Times New Roman" w:eastAsia="Times New Roman" w:cs="Times New Roman"/>
                <w:color w:val="000000"/>
                <w:sz w:val="24"/>
              </w:rPr>
              <w:t xml:space="preserve">Completes in Phase 6, before any external data product ships.</w:t>
            </w:r>
            <w:r/>
          </w:p>
        </w:tc>
      </w:tr>
      <w:tr>
        <w:trPr/>
        <w:tc>
          <w:tcPr>
            <w:tcBorders/>
            <w:tcMar>
              <w:left w:w="15" w:type="dxa"/>
              <w:top w:w="15" w:type="dxa"/>
              <w:right w:w="15" w:type="dxa"/>
              <w:bottom w:w="15" w:type="dxa"/>
            </w:tcMar>
            <w:tcW w:w="1960" w:type="dxa"/>
            <w:vAlign w:val="center"/>
          </w:tcPr>
          <w:p w14:paraId="39D0CBCC">
            <w:pPr>
              <w:pBdr/>
              <w:spacing w:after="0" w:before="0" w:line="240"/>
              <w:ind/>
              <w:rPr/>
            </w:pPr>
            <w:r>
              <w:rPr>
                <w:rFonts w:ascii="Times New Roman" w:hAnsi="Times New Roman" w:eastAsia="Times New Roman" w:cs="Times New Roman"/>
                <w:color w:val="000000"/>
                <w:sz w:val="24"/>
              </w:rPr>
              <w:t xml:space="preserve">Schema defect response</w:t>
            </w:r>
            <w:r/>
          </w:p>
        </w:tc>
        <w:tc>
          <w:tcPr>
            <w:tcBorders/>
            <w:tcMar>
              <w:left w:w="15" w:type="dxa"/>
              <w:top w:w="15" w:type="dxa"/>
              <w:right w:w="15" w:type="dxa"/>
              <w:bottom w:w="15" w:type="dxa"/>
            </w:tcMar>
            <w:tcW w:w="7394" w:type="dxa"/>
            <w:vAlign w:val="center"/>
          </w:tcPr>
          <w:p w14:paraId="59EA8E12">
            <w:pPr>
              <w:pBdr/>
              <w:spacing w:after="0" w:before="0" w:line="240"/>
              <w:ind/>
              <w:rPr/>
            </w:pPr>
            <w:r>
              <w:rPr>
                <w:rFonts w:ascii="Times New Roman" w:hAnsi="Times New Roman" w:eastAsia="Times New Roman" w:cs="Times New Roman"/>
                <w:color w:val="000000"/>
                <w:sz w:val="24"/>
              </w:rPr>
              <w:t xml:space="preserve">Discovered defects are fixed before Phase 1 begins. No schema changes after Phase 0 gate.</w:t>
            </w:r>
            <w:r/>
          </w:p>
        </w:tc>
      </w:tr>
      <w:tr>
        <w:trPr/>
        <w:tc>
          <w:tcPr>
            <w:tcBorders/>
            <w:tcMar>
              <w:left w:w="15" w:type="dxa"/>
              <w:top w:w="15" w:type="dxa"/>
              <w:right w:w="15" w:type="dxa"/>
              <w:bottom w:w="15" w:type="dxa"/>
            </w:tcMar>
            <w:tcW w:w="1960" w:type="dxa"/>
            <w:vAlign w:val="center"/>
          </w:tcPr>
          <w:p w14:paraId="3F9FD023">
            <w:pPr>
              <w:pBdr/>
              <w:spacing w:after="0" w:before="0" w:line="240"/>
              <w:ind/>
              <w:rPr/>
            </w:pPr>
            <w:r>
              <w:rPr>
                <w:rFonts w:ascii="Times New Roman" w:hAnsi="Times New Roman" w:eastAsia="Times New Roman" w:cs="Times New Roman"/>
                <w:color w:val="000000"/>
                <w:sz w:val="24"/>
              </w:rPr>
              <w:t xml:space="preserve">Timeline</w:t>
            </w:r>
            <w:r/>
          </w:p>
        </w:tc>
        <w:tc>
          <w:tcPr>
            <w:tcBorders/>
            <w:tcMar>
              <w:left w:w="15" w:type="dxa"/>
              <w:top w:w="15" w:type="dxa"/>
              <w:right w:w="15" w:type="dxa"/>
              <w:bottom w:w="15" w:type="dxa"/>
            </w:tcMar>
            <w:tcW w:w="7394" w:type="dxa"/>
            <w:vAlign w:val="center"/>
          </w:tcPr>
          <w:p w14:paraId="412B5035">
            <w:pPr>
              <w:pBdr/>
              <w:spacing w:after="0" w:before="0" w:line="240"/>
              <w:ind/>
              <w:rPr/>
            </w:pPr>
            <w:r>
              <w:rPr>
                <w:rFonts w:ascii="Times New Roman" w:hAnsi="Times New Roman" w:eastAsia="Times New Roman" w:cs="Times New Roman"/>
                <w:color w:val="000000"/>
                <w:sz w:val="24"/>
              </w:rPr>
              <w:t xml:space="preserve">10–17 weeks single operator. Primary variance is migration data quality.</w:t>
            </w:r>
            <w:r/>
          </w:p>
        </w:tc>
      </w:tr>
    </w:tbl>
    <w:p w14:paraId="4AFD55D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Design Complete</w:t>
      </w:r>
      <w:r/>
    </w:p>
    <w:p w14:paraId="770A5C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complete specification now exists from Layer 7 (revenue) to Layer 0 (sources). Every layer has:</w:t>
      </w:r>
      <w:r/>
    </w:p>
    <w:p w14:paraId="0A259F63">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locked specification</w:t>
      </w:r>
      <w:r/>
    </w:p>
    <w:p w14:paraId="20C7234B">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defined contract to the layers above and below it</w:t>
      </w:r>
      <w:r/>
    </w:p>
    <w:p w14:paraId="293BC40D">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Hard pass/fail gates before the next layer builds</w:t>
      </w:r>
      <w:r/>
    </w:p>
    <w:p w14:paraId="5E7571AF">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Documented decisions with rationale</w:t>
      </w:r>
      <w:r/>
    </w:p>
    <w:p w14:paraId="0C312F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design decisions locked across all six threads:</w:t>
      </w:r>
      <w:r/>
    </w:p>
    <w:p w14:paraId="66AC7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1:</w:t>
      </w:r>
      <w:r>
        <w:rPr>
          <w:rFonts w:ascii="Times New Roman" w:hAnsi="Times New Roman" w:eastAsia="Times New Roman" w:cs="Times New Roman"/>
          <w:color w:val="000000"/>
          <w:sz w:val="24"/>
        </w:rPr>
        <w:t xml:space="preserve"> Intelligence-as-a-Service primary, multi-stream revenue architecture, coverage framed by domain not ticker count, MVP is a signal product to institutional early access customers.</w:t>
      </w:r>
      <w:r/>
    </w:p>
    <w:p w14:paraId="1049F9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2:</w:t>
      </w:r>
      <w:r>
        <w:rPr>
          <w:rFonts w:ascii="Times New Roman" w:hAnsi="Times New Roman" w:eastAsia="Times New Roman" w:cs="Times New Roman"/>
          <w:color w:val="000000"/>
          <w:sz w:val="24"/>
        </w:rPr>
        <w:t xml:space="preserve"> Two independent computational tracks (EDSx + ML) on shared data and feature infrastructure, four pillars, five ML models, 14-day horizon, walk-forward training only, five hard graduation criteria, honest null propagation.</w:t>
      </w:r>
      <w:r/>
    </w:p>
    <w:p w14:paraId="480BAC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3:</w:t>
      </w:r>
      <w:r>
        <w:rPr>
          <w:rFonts w:ascii="Times New Roman" w:hAnsi="Times New Roman" w:eastAsia="Times New Roman" w:cs="Times New Roman"/>
          <w:color w:val="000000"/>
          <w:sz w:val="24"/>
        </w:rPr>
        <w:t xml:space="preserve"> Seven feature categories, event-triggered computation, three typed null states, absolute PIT constraint, versioned feature catalog, idempotent computation.</w:t>
      </w:r>
      <w:r/>
    </w:p>
    <w:p w14:paraId="7A36E7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4:</w:t>
      </w:r>
      <w:r>
        <w:rPr>
          <w:rFonts w:ascii="Times New Roman" w:hAnsi="Times New Roman" w:eastAsia="Times New Roman" w:cs="Times New Roman"/>
          <w:color w:val="000000"/>
          <w:sz w:val="24"/>
        </w:rPr>
        <w:t xml:space="preserve"> EAV schema with metric catalog, bitemporal PIT model, PostgreSQL + TimescaleDB + DuckDB, canonical naming convention, zero DDL for new metrics or sources, schema is immutable from this point forward.</w:t>
      </w:r>
      <w:r/>
    </w:p>
    <w:p w14:paraId="58B98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5:</w:t>
      </w:r>
      <w:r>
        <w:rPr>
          <w:rFonts w:ascii="Times New Roman" w:hAnsi="Times New Roman" w:eastAsia="Times New Roman" w:cs="Times New Roman"/>
          <w:color w:val="000000"/>
          <w:sz w:val="24"/>
        </w:rPr>
        <w:t xml:space="preserve"> Schema-per-source landing zone, standardized adapter contract, per-source field mappings and unit conversions, gap analysis with explicit resolution decisions, migration plan for all salvageable historical data.</w:t>
      </w:r>
      <w:r/>
    </w:p>
    <w:p w14:paraId="287B7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Thread 6:</w:t>
      </w:r>
      <w:r>
        <w:rPr>
          <w:rFonts w:ascii="Times New Roman" w:hAnsi="Times New Roman" w:eastAsia="Times New Roman" w:cs="Times New Roman"/>
          <w:color w:val="000000"/>
          <w:sz w:val="24"/>
        </w:rPr>
        <w:t xml:space="preserve"> Schema-first build sequence, hard phase gates, no parallel operation, 10–17 week single-operator timeline, risk register with mitigations.</w:t>
      </w:r>
      <w:r/>
    </w:p>
    <w:p w14:paraId="6FA51E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next action is Phase 0. The schema applies to the database. Everything else follows.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D984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9EE893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09EEC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B19746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105A2F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C11CD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D6B0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15A41C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26AC3C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CA61DA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0BA699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549D4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2A06BA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F9618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4C1274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FE4378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0F77A9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lassnode.com/products/data" TargetMode="External"/><Relationship Id="rId10" Type="http://schemas.openxmlformats.org/officeDocument/2006/relationships/hyperlink" Target="https://captainaltcoin.com/glassnode-review/" TargetMode="External"/><Relationship Id="rId11" Type="http://schemas.openxmlformats.org/officeDocument/2006/relationships/hyperlink" Target="https://www.vendr.com/buyer-guides/kaiko" TargetMode="External"/><Relationship Id="rId12" Type="http://schemas.openxmlformats.org/officeDocument/2006/relationships/hyperlink" Target="https://www.lseg.com/en/data-analytics/financial-data/pricing-and-market-data/kaiko-crypto-data" TargetMode="External"/><Relationship Id="rId13" Type="http://schemas.openxmlformats.org/officeDocument/2006/relationships/hyperlink" Target="https://www.prnewswire.com/news-releases/messari-research-analysts-publish-crypto-theses-2025-302332583.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2026-03-04T19:27:56Z</dcterms:modified>
</cp:coreProperties>
</file>