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2259D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ML Data Requirements &amp; Layer 1 Initial Design</w:t>
      </w:r>
      <w:r/>
    </w:p>
    <w:p w14:paraId="6FE14D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**Version:** 0.1 (Draft for Architect Review) **Date:** 2026-03-01 **Purpose:** Define the complete raw data surface ML requires, scoped thoroughly enough that future design sessions refine methodology — not data collection. Establishes Layer 0 (feature en</w:t>
      </w:r>
      <w:r>
        <w:rPr>
          <w:rFonts w:ascii="Times New Roman" w:hAnsi="Times New Roman" w:eastAsia="Times New Roman" w:cs="Times New Roman"/>
          <w:color w:val="000000"/>
          <w:sz w:val="24"/>
        </w:rPr>
        <w:t xml:space="preserve">gineering) and Layer 1 (domain models) architecture with sufficient detail for Forge expansion planning. **Governing decisions:** M1 (EDSx/ML independence), M2 (Forge sized to union of all consumers), M3 (layered architecture), M4 (expand Forge for ML)</w:t>
      </w:r>
      <w:r/>
    </w:p>
    <w:p w14:paraId="56156B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397249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Table of Contents</w:t>
      </w:r>
      <w:r/>
    </w:p>
    <w:p w14:paraId="2D9F5085">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[Design Philosophy](#1-design-philosophy)</w:t>
      </w:r>
      <w:r/>
    </w:p>
    <w:p w14:paraId="29C2E59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[Layer 0: Feature Engineering](#2-layer-0-feature-engineering)</w:t>
      </w:r>
      <w:r/>
    </w:p>
    <w:p w14:paraId="51E3E963">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[Raw Data Requirements](#3-raw-data-requirements)</w:t>
      </w:r>
      <w:r/>
    </w:p>
    <w:p w14:paraId="6B27892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[Layer 1: Domain Model Design](#4-layer-1-domain-model-design)</w:t>
      </w:r>
      <w:r/>
    </w:p>
    <w:p w14:paraId="4CF2BFE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[Forge Gap Analysis](#5-forge-gap-analysis)</w:t>
      </w:r>
      <w:r/>
    </w:p>
    <w:p w14:paraId="28E0851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[Forge Expansion Plan](#6-forge-expansion-plan)</w:t>
      </w:r>
      <w:r/>
    </w:p>
    <w:p w14:paraId="043EC6C0">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 Constraints &amp; Accepted Gaps](#7-data-constraints--accepted-gaps)</w:t>
      </w:r>
      <w:r/>
    </w:p>
    <w:p w14:paraId="14458F7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[Open Questions](#8-open-questions)</w:t>
      </w:r>
      <w:r/>
    </w:p>
    <w:p w14:paraId="74458EC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169634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1. Design Philosophy</w:t>
      </w:r>
      <w:r/>
    </w:p>
    <w:p w14:paraId="2ED8D5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Separation Principle (M1)</w:t>
      </w:r>
      <w:r/>
    </w:p>
    <w:p w14:paraId="2F572A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EDSx and ML are fully independent signal generators. They share Layer 0 feature computation — methodology-neutral mathematical transforms of raw Forge data. From Layer 1 onward, no cross-contamination. Neither system’s outputs feed into the other’s models.</w:t>
      </w:r>
      <w:r/>
    </w:p>
    <w:p w14:paraId="0CF48D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means Layer 0 features must be pure functions of raw data with no embedded trading opinion. A z-score is neutral. A “bullish/bearish” classification is not. Layer 0 computes the former; Layer 1 models learn the latter.</w:t>
      </w:r>
      <w:r/>
    </w:p>
    <w:p w14:paraId="5AF073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Data Primacy (M2)</w:t>
      </w:r>
      <w:r/>
    </w:p>
    <w:p w14:paraId="29B253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Forge collection is scoped to the union of EDSx and ML feature requirements. ML’s data needs drive Forge expansion even before models are built, because collection history is the binding constraint. Every day of uncollected data is a day that can never be </w:t>
      </w:r>
      <w:r>
        <w:rPr>
          <w:rFonts w:ascii="Times New Roman" w:hAnsi="Times New Roman" w:eastAsia="Times New Roman" w:cs="Times New Roman"/>
          <w:color w:val="000000"/>
          <w:sz w:val="24"/>
        </w:rPr>
        <w:t xml:space="preserve">recovered for training purposes.</w:t>
      </w:r>
      <w:r/>
    </w:p>
    <w:p w14:paraId="510EF9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Completeness Over Precision</w:t>
      </w:r>
      <w:r/>
    </w:p>
    <w:p w14:paraId="4F749B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document intentionally over-specifies data requirements. It is cheaper to collect data we ultimately don’t use than to discover 8 months into model training that a critical feature can’t be computed because the underlying raw data doesn’t exist. The g</w:t>
      </w:r>
      <w:r>
        <w:rPr>
          <w:rFonts w:ascii="Times New Roman" w:hAnsi="Times New Roman" w:eastAsia="Times New Roman" w:cs="Times New Roman"/>
          <w:color w:val="000000"/>
          <w:sz w:val="24"/>
        </w:rPr>
        <w:t xml:space="preserve">oal is: no future ML design session should identify a raw data requirement not covered here.</w:t>
      </w:r>
      <w:r/>
    </w:p>
    <w:p w14:paraId="3C0212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What This Document Does Not Cover</w:t>
      </w:r>
      <w:r/>
    </w:p>
    <w:p w14:paraId="140D6FCE">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Model architectures, hyperparameters, or training methodology (future session)</w:t>
      </w:r>
      <w:r/>
    </w:p>
    <w:p w14:paraId="6A7447C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Layer 2 (cross-domain synthesis) design (future session)</w:t>
      </w:r>
      <w:r/>
    </w:p>
    <w:p w14:paraId="40210F61">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Layer 3 (portfolio-level) design (far future)</w:t>
      </w:r>
      <w:r/>
    </w:p>
    <w:p w14:paraId="1D5E876E">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Prompt 6 simulation harness / backfill mechanics (separate specification)</w:t>
      </w:r>
      <w:r/>
    </w:p>
    <w:p w14:paraId="2BA33FED">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Model versioning, deployment, or monitoring infrastructure (separate specification)</w:t>
      </w:r>
      <w:r/>
    </w:p>
    <w:p w14:paraId="06623A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6DA507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2. Layer 0: Feature Engineering</w:t>
      </w:r>
      <w:r/>
    </w:p>
    <w:p w14:paraId="15E7A3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Layer 0 is not a model — it is a deterministic feature computation pipeline that transforms raw Forge data into model-consumable features. Both EDSx and ML consume Layer 0 outputs. Features must satisfy point-in-time (PIT) constraints: every feature value </w:t>
      </w:r>
      <w:r>
        <w:rPr>
          <w:rFonts w:ascii="Times New Roman" w:hAnsi="Times New Roman" w:eastAsia="Times New Roman" w:cs="Times New Roman"/>
          <w:color w:val="000000"/>
          <w:sz w:val="24"/>
        </w:rPr>
        <w:t xml:space="preserve">must be computable using only data available at the computation timestamp. No lookahead.</w:t>
      </w:r>
      <w:r/>
    </w:p>
    <w:p w14:paraId="684D85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2.1 Feature Categories</w:t>
      </w:r>
      <w:r/>
    </w:p>
    <w:p w14:paraId="14E5D2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Layer 0 features fall into seven categories based on their computational pattern. Each category has different raw data requirements and different PIT constraints.</w:t>
      </w:r>
      <w:r/>
    </w:p>
    <w:p w14:paraId="2D7A24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Category A: Rolling Statistical Transforms</w:t>
      </w:r>
      <w:r/>
    </w:p>
    <w:p w14:paraId="7F9D84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Compute rolling window statistics over a single time series.</w:t>
      </w:r>
      <w:r/>
    </w:p>
    <w:p w14:paraId="535AC20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**Pattern:** </w:t>
      </w:r>
      <w:r>
        <w:rPr>
          <w:rFonts w:ascii="Courier New" w:hAnsi="Courier New" w:eastAsia="Courier New" w:cs="Courier New"/>
          <w:color w:val="000000"/>
          <w:sz w:val="20"/>
        </w:rPr>
        <w:t xml:space="preserve">raw_value → rolling_window(N) → statistic</w:t>
      </w:r>
      <w:r/>
    </w:p>
    <w:p w14:paraId="4C54DB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**Common transforms:**</w:t>
      </w:r>
      <w:r/>
    </w:p>
    <w:p w14:paraId="6CA310E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Z-score: </w:t>
      </w:r>
      <w:r>
        <w:rPr>
          <w:rFonts w:ascii="Courier New" w:hAnsi="Courier New" w:eastAsia="Courier New" w:cs="Courier New"/>
          <w:color w:val="000000"/>
          <w:sz w:val="20"/>
        </w:rPr>
        <w:t xml:space="preserve">(value - rolling_mean) / rolling_std</w:t>
      </w:r>
      <w:r/>
    </w:p>
    <w:p w14:paraId="1ADEE57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Momentum: </w:t>
      </w:r>
      <w:r>
        <w:rPr>
          <w:rFonts w:ascii="Courier New" w:hAnsi="Courier New" w:eastAsia="Courier New" w:cs="Courier New"/>
          <w:color w:val="000000"/>
          <w:sz w:val="20"/>
        </w:rPr>
        <w:t xml:space="preserve">(value - value_lag_N) / value_lag_N</w:t>
      </w:r>
      <w:r/>
    </w:p>
    <w:p w14:paraId="4E7E8070">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Rate of change: </w:t>
      </w:r>
      <w:r>
        <w:rPr>
          <w:rFonts w:ascii="Courier New" w:hAnsi="Courier New" w:eastAsia="Courier New" w:cs="Courier New"/>
          <w:color w:val="000000"/>
          <w:sz w:val="20"/>
        </w:rPr>
        <w:t xml:space="preserve">diff(value, N) / N</w:t>
      </w:r>
      <w:r/>
    </w:p>
    <w:p w14:paraId="79107E5B">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Exponential moving average (EMA)</w:t>
      </w:r>
      <w:r/>
    </w:p>
    <w:p w14:paraId="3A1DB51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Rolling percentile rank (within instrument history)</w:t>
      </w:r>
      <w:r/>
    </w:p>
    <w:p w14:paraId="1ECF87BB">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Rolling min/max normalization</w:t>
      </w:r>
      <w:r/>
    </w:p>
    <w:p w14:paraId="21C61E0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Rolling skewness / kurtosis</w:t>
      </w:r>
      <w:r/>
    </w:p>
    <w:p w14:paraId="3D3D11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**Window sizes needed:** 1h, 4h, 8h, 24h, 3d, 7d, 14d, 30d, 90d</w:t>
      </w:r>
      <w:r/>
    </w:p>
    <w:p w14:paraId="497095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Multiple windows per raw input are standard — a 24h funding rate z-score captures different information than a 7d funding rate z-score. The model learns which windows matter; Layer 0 computes all of them.</w:t>
      </w:r>
      <w:r/>
    </w:p>
    <w:p w14:paraId="7BD8C9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**Raw data requirement:** Sufficient historical depth for the longest window (90d) plus the longest training lookback. For any raw time series, Forge must retain at minimum 450 days of history (360d training window + 90d feature lookback).</w:t>
      </w:r>
      <w:r/>
    </w:p>
    <w:p w14:paraId="3CBA48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**PIT constraint:** Rolling windows use only data up to computation timestamp. Standard.</w:t>
      </w:r>
      <w:r/>
    </w:p>
    <w:p w14:paraId="053076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Category B: Cross-Sectional Ranks</w:t>
      </w:r>
      <w:r/>
    </w:p>
    <w:p w14:paraId="100710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Compare an instrument’s value against the full universe at the same timestamp.</w:t>
      </w:r>
      <w:r/>
    </w:p>
    <w:p w14:paraId="089650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**Pattern:** </w:t>
      </w:r>
      <w:r>
        <w:rPr>
          <w:rFonts w:ascii="Courier New" w:hAnsi="Courier New" w:eastAsia="Courier New" w:cs="Courier New"/>
          <w:color w:val="000000"/>
          <w:sz w:val="20"/>
        </w:rPr>
        <w:t xml:space="preserve">raw_value(instrument, t) → rank across all instruments at time t → percentile</w:t>
      </w:r>
      <w:r/>
    </w:p>
    <w:p w14:paraId="629BBB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**Common transforms:**</w:t>
      </w:r>
      <w:r/>
    </w:p>
    <w:p w14:paraId="6AC9B801">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Cross-sectional percentile rank (where does this instrument sit relative to all others?)</w:t>
      </w:r>
      <w:r/>
    </w:p>
    <w:p w14:paraId="5DDB90AB">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Deviation from cross-sectional median</w:t>
      </w:r>
      <w:r/>
    </w:p>
    <w:p w14:paraId="2C8A753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Z-score relative to cross-sectional distribution</w:t>
      </w:r>
      <w:r/>
    </w:p>
    <w:p w14:paraId="634CCD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**Raw data requirement:** The same metric must be available for a broad instrument universe at the same timestamp. Sparse coverage (e.g., exchange flows for 18/157 instruments) limits cross-sectional features to the covered subset.</w:t>
      </w:r>
      <w:r/>
    </w:p>
    <w:p w14:paraId="670BEA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**PIT constraint:** Cross-sectional computation uses only instruments with data available at computation time. Instruments added later do not retroactively change historical ranks.</w:t>
      </w:r>
      <w:r/>
    </w:p>
    <w:p w14:paraId="29D8AE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Category C: Ratio / Interaction Features</w:t>
      </w:r>
      <w:r/>
    </w:p>
    <w:p w14:paraId="657C12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Combine two or more raw series into a composite feature.</w:t>
      </w:r>
      <w:r/>
    </w:p>
    <w:p w14:paraId="316B33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**Pattern:** </w:t>
      </w:r>
      <w:r>
        <w:rPr>
          <w:rFonts w:ascii="Courier New" w:hAnsi="Courier New" w:eastAsia="Courier New" w:cs="Courier New"/>
          <w:color w:val="000000"/>
          <w:sz w:val="20"/>
        </w:rPr>
        <w:t xml:space="preserve">raw_value_A / raw_value_B</w:t>
      </w:r>
      <w:r>
        <w:rPr>
          <w:rFonts w:ascii="Times New Roman" w:hAnsi="Times New Roman" w:eastAsia="Times New Roman" w:cs="Times New Roman"/>
          <w:color w:val="000000"/>
          <w:sz w:val="24"/>
        </w:rPr>
        <w:t xml:space="preserve"> or </w:t>
      </w:r>
      <w:r>
        <w:rPr>
          <w:rFonts w:ascii="Courier New" w:hAnsi="Courier New" w:eastAsia="Courier New" w:cs="Courier New"/>
          <w:color w:val="000000"/>
          <w:sz w:val="20"/>
        </w:rPr>
        <w:t xml:space="preserve">raw_value_A × raw_value_B</w:t>
      </w:r>
      <w:r>
        <w:rPr>
          <w:rFonts w:ascii="Times New Roman" w:hAnsi="Times New Roman" w:eastAsia="Times New Roman" w:cs="Times New Roman"/>
          <w:color w:val="000000"/>
          <w:sz w:val="24"/>
        </w:rPr>
        <w:t xml:space="preserve"> or </w:t>
      </w:r>
      <w:r>
        <w:rPr>
          <w:rFonts w:ascii="Courier New" w:hAnsi="Courier New" w:eastAsia="Courier New" w:cs="Courier New"/>
          <w:color w:val="000000"/>
          <w:sz w:val="20"/>
        </w:rPr>
        <w:t xml:space="preserve">raw_value_A - f(raw_value_B)</w:t>
      </w:r>
      <w:r/>
    </w:p>
    <w:p w14:paraId="088ED7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w:t>
      </w:r>
      <w:r/>
    </w:p>
    <w:p w14:paraId="165F3B5F">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Volume-price momentum: OI change × price change (captures whether positioning is building with or against price)</w:t>
      </w:r>
      <w:r/>
    </w:p>
    <w:p w14:paraId="6525B9F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Funding-liquidation divergence: funding rate direction vs. liquidation imbalance direction</w:t>
      </w:r>
      <w:r/>
    </w:p>
    <w:p w14:paraId="278E9EA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TVL-to-revenue ratio: protocol health metric</w:t>
      </w:r>
      <w:r/>
    </w:p>
    <w:p w14:paraId="09D8629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Flow-price divergence: exchange net flow direction vs. price direction (smart money detection)</w:t>
      </w:r>
      <w:r/>
    </w:p>
    <w:p w14:paraId="517FE3FE">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Stablecoin dominance: stablecoin market cap / total crypto market cap</w:t>
      </w:r>
      <w:r/>
    </w:p>
    <w:p w14:paraId="390676C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Realized volatility / funding rate volatility (leverage-adjusted vol)</w:t>
      </w:r>
      <w:r/>
    </w:p>
    <w:p w14:paraId="718AFF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**Raw data requirement:** Both component series must be available at the same (or alignable) timestamps. Cross-database features (Forge + TimescaleDB) require timestamp alignment logic.</w:t>
      </w:r>
      <w:r/>
    </w:p>
    <w:p w14:paraId="40C815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**PIT constraint:** Both components use only data available at computation time. If one series updates less frequently (e.g., daily FRED data vs. 8h derivatives), the stale value carries forward until the next observation.</w:t>
      </w:r>
      <w:r/>
    </w:p>
    <w:p w14:paraId="3AE732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Category D: Regime / State Features</w:t>
      </w:r>
      <w:r/>
    </w:p>
    <w:p w14:paraId="114F4B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Classify the current market environment using recent data patterns.</w:t>
      </w:r>
      <w:r/>
    </w:p>
    <w:p w14:paraId="1150D0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**Pattern:** </w:t>
      </w:r>
      <w:r>
        <w:rPr>
          <w:rFonts w:ascii="Courier New" w:hAnsi="Courier New" w:eastAsia="Courier New" w:cs="Courier New"/>
          <w:color w:val="000000"/>
          <w:sz w:val="20"/>
        </w:rPr>
        <w:t xml:space="preserve">multiple raw inputs → classification → state label or probability vector</w:t>
      </w:r>
      <w:r/>
    </w:p>
    <w:p w14:paraId="14150E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w:t>
      </w:r>
      <w:r/>
    </w:p>
    <w:p w14:paraId="297DE258">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Volatility regime: low/medium/high/extreme based on realized vol percentile</w:t>
      </w:r>
      <w:r/>
    </w:p>
    <w:p w14:paraId="22D6163F">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Trend state: trending up / ranging / trending down based on price action</w:t>
      </w:r>
      <w:r/>
    </w:p>
    <w:p w14:paraId="50D30FB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Funding regime: positive carry / neutral / negative carry based on funding rate persistence</w:t>
      </w:r>
      <w:r/>
    </w:p>
    <w:p w14:paraId="493EFC7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Macro environment: risk-on / transitional / risk-off based on cross-asset behavior</w:t>
      </w:r>
      <w:r/>
    </w:p>
    <w:p w14:paraId="3CB9834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Liquidity regime: expanding / stable / contracting based on stablecoin flows + exchange reserves</w:t>
      </w:r>
      <w:r/>
    </w:p>
    <w:p w14:paraId="648FA9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**Raw data requirement:** Multiple input series, often cross-domain. Regime features are the most data-hungry category.</w:t>
      </w:r>
      <w:r/>
    </w:p>
    <w:p w14:paraId="620A79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**PIT constraint:** Regime classification uses only backward-looking data. The classification itself is a feature, not a prediction — Layer 1 models learn what regimes mean for future price action.</w:t>
      </w:r>
      <w:r/>
    </w:p>
    <w:p w14:paraId="65C744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**Note:** These are distinct from Layer 1 model outputs. Layer 0 regime features are simple rule-based classifications (e.g., “realized vol &gt; 80th percentile of 90d history → high vol regime”). Layer 1’s regime model learns complex, non-linear regime dynam</w:t>
      </w:r>
      <w:r>
        <w:rPr>
          <w:rFonts w:ascii="Times New Roman" w:hAnsi="Times New Roman" w:eastAsia="Times New Roman" w:cs="Times New Roman"/>
          <w:color w:val="000000"/>
          <w:sz w:val="24"/>
        </w:rPr>
        <w:t xml:space="preserve">ics. Both are valid — they serve different purposes.</w:t>
      </w:r>
      <w:r/>
    </w:p>
    <w:p w14:paraId="257965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Category E: Calendar / Structural Features</w:t>
      </w:r>
      <w:r/>
    </w:p>
    <w:p w14:paraId="39281C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Encode time-based patterns and market structure.</w:t>
      </w:r>
      <w:r/>
    </w:p>
    <w:p w14:paraId="1EF356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**Pattern:** </w:t>
      </w:r>
      <w:r>
        <w:rPr>
          <w:rFonts w:ascii="Courier New" w:hAnsi="Courier New" w:eastAsia="Courier New" w:cs="Courier New"/>
          <w:color w:val="000000"/>
          <w:sz w:val="20"/>
        </w:rPr>
        <w:t xml:space="preserve">timestamp → derived feature</w:t>
      </w:r>
      <w:r/>
    </w:p>
    <w:p w14:paraId="1B1240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w:t>
      </w:r>
      <w:r/>
    </w:p>
    <w:p w14:paraId="6C2F0ED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Hour of day / day of week (crypto has weekly seasonality in volume)</w:t>
      </w:r>
      <w:r/>
    </w:p>
    <w:p w14:paraId="60561C2E">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Time since last major liquidation event</w:t>
      </w:r>
      <w:r/>
    </w:p>
    <w:p w14:paraId="30FBDA7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Days since last regime transition</w:t>
      </w:r>
      <w:r/>
    </w:p>
    <w:p w14:paraId="0239B9A5">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Futures expiry proximity (quarterly expiry effects)</w:t>
      </w:r>
      <w:r/>
    </w:p>
    <w:p w14:paraId="51ECB3C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Time since last FOMC / major macro event</w:t>
      </w:r>
      <w:r/>
    </w:p>
    <w:p w14:paraId="6B7E4471">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Weekend flag (reduced liquidity periods)</w:t>
      </w:r>
      <w:r/>
    </w:p>
    <w:p w14:paraId="5475F5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**Raw data requirement:** Timestamps from existing data plus a calendar of known scheduled events (FOMC dates, options expiry dates). The event calendar is a new data requirement — small, static, easily maintained.</w:t>
      </w:r>
      <w:r/>
    </w:p>
    <w:p w14:paraId="0C7F27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**PIT constraint:** Calendar features are inherently PIT-safe. Future event dates are known in advance (scheduled announcements).</w:t>
      </w:r>
      <w:r/>
    </w:p>
    <w:p w14:paraId="7DC8EB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Category F: Breadth / Aggregation Features</w:t>
      </w:r>
      <w:r/>
    </w:p>
    <w:p w14:paraId="4F7F8F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Aggregate instrument-level data to market-level signals.</w:t>
      </w:r>
      <w:r/>
    </w:p>
    <w:p w14:paraId="15BFBD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**Pattern:** </w:t>
      </w:r>
      <w:r>
        <w:rPr>
          <w:rFonts w:ascii="Courier New" w:hAnsi="Courier New" w:eastAsia="Courier New" w:cs="Courier New"/>
          <w:color w:val="000000"/>
          <w:sz w:val="20"/>
        </w:rPr>
        <w:t xml:space="preserve">per-instrument values → aggregate statistic across universe</w:t>
      </w:r>
      <w:r/>
    </w:p>
    <w:p w14:paraId="3F6D0E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w:t>
      </w:r>
      <w:r/>
    </w:p>
    <w:p w14:paraId="1919266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Market breadth: % of instruments with positive 24h momentum</w:t>
      </w:r>
      <w:r/>
    </w:p>
    <w:p w14:paraId="1275EA68">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Aggregate funding rate: average funding rate across top N instruments (market-level leverage sentiment)</w:t>
      </w:r>
      <w:r/>
    </w:p>
    <w:p w14:paraId="648802DF">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Liquidation concentration: are liquidations hitting many instruments or concentrated in few?</w:t>
      </w:r>
      <w:r/>
    </w:p>
    <w:p w14:paraId="7E20F511">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Correlation dispersion: how correlated are instruments with each other? (High correlation = systemic risk)</w:t>
      </w:r>
      <w:r/>
    </w:p>
    <w:p w14:paraId="782960C5">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Sector rotation: relative momentum of DeFi tokens vs. L1 tokens vs. meme tokens (requires sector classification)</w:t>
      </w:r>
      <w:r/>
    </w:p>
    <w:p w14:paraId="66E275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**Raw data requirement:** Per-instrument data for a sufficient universe. These features degrade with narrow coverage. Also requires instrument sector/category classification — Forge needs metadata mapping instruments to categories.</w:t>
      </w:r>
      <w:r/>
    </w:p>
    <w:p w14:paraId="5519F3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**PIT constraint:** Aggregation uses only instruments with data at computation time. Universe composition changes (new instruments listed/delisted) are handled by computing over whatever instruments have data.</w:t>
      </w:r>
      <w:r/>
    </w:p>
    <w:p w14:paraId="6EED4C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Category G: Cross-Asset Features</w:t>
      </w:r>
      <w:r/>
    </w:p>
    <w:p w14:paraId="6FE40A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Relate crypto behavior to traditional financial markets.</w:t>
      </w:r>
      <w:r/>
    </w:p>
    <w:p w14:paraId="73AC9F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**Pattern:** </w:t>
      </w:r>
      <w:r>
        <w:rPr>
          <w:rFonts w:ascii="Courier New" w:hAnsi="Courier New" w:eastAsia="Courier New" w:cs="Courier New"/>
          <w:color w:val="000000"/>
          <w:sz w:val="20"/>
        </w:rPr>
        <w:t xml:space="preserve">crypto_value, tradfi_value → relationship feature</w:t>
      </w:r>
      <w:r/>
    </w:p>
    <w:p w14:paraId="775AE4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w:t>
      </w:r>
      <w:r/>
    </w:p>
    <w:p w14:paraId="36079665">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BTC-SPX rolling correlation (30d, 90d)</w:t>
      </w:r>
      <w:r/>
    </w:p>
    <w:p w14:paraId="7B4A347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BTC-Gold rolling correlation</w:t>
      </w:r>
      <w:r/>
    </w:p>
    <w:p w14:paraId="4F0B6104">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BTC-DXY inverse correlation strength</w:t>
      </w:r>
      <w:r/>
    </w:p>
    <w:p w14:paraId="0DFFB87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Crypto vs. equity realized volatility ratio</w:t>
      </w:r>
      <w:r/>
    </w:p>
    <w:p w14:paraId="52349621">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Crypto response to VIX spikes (lagged correlation)</w:t>
      </w:r>
      <w:r/>
    </w:p>
    <w:p w14:paraId="015D86F2">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BTC beta to SPX (rolling regression coefficient)</w:t>
      </w:r>
      <w:r/>
    </w:p>
    <w:p w14:paraId="30D860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**Raw data requirement:** Traditional asset price data at daily frequency minimum. This is the primary new Forge collection requirement from ML. Required series: SPX (or SP500 proxy), gold, DXY, US 10Y yield, US 2Y yield, VIX, crude oil. All available via </w:t>
      </w:r>
      <w:r>
        <w:rPr>
          <w:rFonts w:ascii="Times New Roman" w:hAnsi="Times New Roman" w:eastAsia="Times New Roman" w:cs="Times New Roman"/>
          <w:color w:val="000000"/>
          <w:sz w:val="24"/>
        </w:rPr>
        <w:t xml:space="preserve">FRED or equivalent free sources.</w:t>
      </w:r>
      <w:r/>
    </w:p>
    <w:p w14:paraId="5B5ADF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**PIT constraint:** Cross-asset features align on trading day timestamps. Crypto trades 24/7 but traditional markets have market hours — alignment convention needed (use daily close for traditional, midnight UTC snapshot for crypto, or use the traditional </w:t>
      </w:r>
      <w:r>
        <w:rPr>
          <w:rFonts w:ascii="Times New Roman" w:hAnsi="Times New Roman" w:eastAsia="Times New Roman" w:cs="Times New Roman"/>
          <w:color w:val="000000"/>
          <w:sz w:val="24"/>
        </w:rPr>
        <w:t xml:space="preserve">market’s close time for both).</w:t>
      </w:r>
      <w:r/>
    </w:p>
    <w:p w14:paraId="541D8B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2.2 Layer 0 Raw Data Inventory</w:t>
      </w:r>
      <w:r/>
    </w:p>
    <w:p w14:paraId="6D708D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Below is the complete inventory of raw data types Layer 0 feature computation requires. This is the definitive list — every entry maps to one or more feature categories above.</w:t>
      </w:r>
      <w:r/>
    </w:p>
    <w:p w14:paraId="468D51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**Derivatives Domain:**</w:t>
      </w:r>
      <w:r/>
    </w:p>
    <w:p w14:paraId="4BE783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|Raw Data |Granularity |Source |Forge Status | |----------------------------------------|-------------------|------------------------|---------------------------------------------------| |Perpetual funding rates |Per-instrument, 8h |Coinalyze |✅ Collecting</w:t>
      </w:r>
      <w:r>
        <w:rPr>
          <w:rFonts w:ascii="Times New Roman" w:hAnsi="Times New Roman" w:eastAsia="Times New Roman" w:cs="Times New Roman"/>
          <w:color w:val="000000"/>
          <w:sz w:val="24"/>
        </w:rPr>
        <w:t xml:space="preserve"> | |Open interest (absolute + change) |Per-instrument, 8h |Coinalyze |✅ Collecting | |Liquidations (long volume, short volume)|Per-instrument, 8h |Coinalyze |✅ Collecting | |Long/short account ratio |Per-instrument, 8h |Coinalyze |🔨 Adding (CC Prompt 1) | </w:t>
      </w:r>
      <w:r>
        <w:rPr>
          <w:rFonts w:ascii="Times New Roman" w:hAnsi="Times New Roman" w:eastAsia="Times New Roman" w:cs="Times New Roman"/>
          <w:color w:val="000000"/>
          <w:sz w:val="24"/>
        </w:rPr>
        <w:t xml:space="preserve">|Perpetual-spot basis |Per-instrument, 8h |Coinalyze |✅ Dormant (D11, collected but not consumed by EDSx)| |Aggregated cumulative volume delta (CVD)|Per-instrument, 8h+|Coinalyze (if free tier)|❌ Evaluate | |Futures expiry calendar |Event-based |Static/man</w:t>
      </w:r>
      <w:r>
        <w:rPr>
          <w:rFonts w:ascii="Times New Roman" w:hAnsi="Times New Roman" w:eastAsia="Times New Roman" w:cs="Times New Roman"/>
          <w:color w:val="000000"/>
          <w:sz w:val="24"/>
        </w:rPr>
        <w:t xml:space="preserve">ual |❌ New requirement |</w:t>
      </w:r>
      <w:r/>
    </w:p>
    <w:p w14:paraId="1B738B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**Exchange Flow Domain:**</w:t>
      </w:r>
      <w:r/>
    </w:p>
    <w:p w14:paraId="6F35EC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|Raw Data |Granularity |Source |Forge Status | |-------------------------------------------|--------------------|-------------------------|-------------------------------| |Exchange inflow/outflow (ETH + Arbitrum) |Per-exchange, 8h |Explorer (Etherscan V2)</w:t>
      </w:r>
      <w:r>
        <w:rPr>
          <w:rFonts w:ascii="Times New Roman" w:hAnsi="Times New Roman" w:eastAsia="Times New Roman" w:cs="Times New Roman"/>
          <w:color w:val="000000"/>
          <w:sz w:val="24"/>
        </w:rPr>
        <w:t xml:space="preserve"> |✅ Collecting (18 instruments) | |Whale transactions (threshold-based) |Per-transaction |Explorer |✅ Collecting | |Exchange reserve proxy (cumulative balance)|Per-exchange, 8h |Explorer |✅ Collecting (drift documented)| |BTC exchange flows |Per-exchange, </w:t>
      </w:r>
      <w:r>
        <w:rPr>
          <w:rFonts w:ascii="Times New Roman" w:hAnsi="Times New Roman" w:eastAsia="Times New Roman" w:cs="Times New Roman"/>
          <w:color w:val="000000"/>
          <w:sz w:val="24"/>
        </w:rPr>
        <w:t xml:space="preserve">daily+|No free source identified|❌ U4 gap | |Cross-exchange arbitrage flow detection |Per-exchange-pair |Not available |❌ Deferred | |Spot trading volume by exchange |Per-exchange, daily |Needs source evaluation |❌ Evaluate |</w:t>
      </w:r>
      <w:r/>
    </w:p>
    <w:p w14:paraId="45DA61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**Stablecoin Domain:**</w:t>
      </w:r>
      <w:r/>
    </w:p>
    <w:p w14:paraId="2615FA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|Raw Data |Granularity |Source |Forge Status | |-----------------------------|-------------------|----------------------------------|-----------------------------| |Stablecoin circulating supply|Per-stablecoin, 12h|DeFiLlama |✅ Collecting (12 stablecoins)|</w:t>
      </w:r>
      <w:r>
        <w:rPr>
          <w:rFonts w:ascii="Times New Roman" w:hAnsi="Times New Roman" w:eastAsia="Times New Roman" w:cs="Times New Roman"/>
          <w:color w:val="000000"/>
          <w:sz w:val="24"/>
        </w:rPr>
        <w:t xml:space="preserve"> |Stablecoin peg price |Per-stablecoin, 12h|DeFiLlama |✅ Collecting | |Stablecoin mint/burn events |Event-based |DeFiLlama (if exposed) |❌ Evaluate | |Total stablecoin market cap |Market-level, 12h |Derivable from per-stablecoin data|✅ Computable |</w:t>
      </w:r>
      <w:r/>
    </w:p>
    <w:p w14:paraId="2A5266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**DeFi Domain:**</w:t>
      </w:r>
      <w:r/>
    </w:p>
    <w:p w14:paraId="742698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|Raw Data |Granularity |Source |Forge Status | |----------------------------------|---------------------------|---------|---------------------------| |Protocol TVL |Per-protocol, 12h |DeFiLlama|✅ Collecting (13 protocols)| |Protocol revenue |Per-protocol, </w:t>
      </w:r>
      <w:r>
        <w:rPr>
          <w:rFonts w:ascii="Times New Roman" w:hAnsi="Times New Roman" w:eastAsia="Times New Roman" w:cs="Times New Roman"/>
          <w:color w:val="000000"/>
          <w:sz w:val="24"/>
        </w:rPr>
        <w:t xml:space="preserve">12h |DeFiLlama|✅ Collecting | |Lending protocol borrow/supply APY|Per-protocol-per-asset, 12h|DeFiLlama|❌ New — high priority | |DEX trading volume |Per-DEX, daily |DeFiLlama|❌ New — high priority | |DEX liquidity pool depth |Per-pool, daily |DeFiLlama|❌ N</w:t>
      </w:r>
      <w:r>
        <w:rPr>
          <w:rFonts w:ascii="Times New Roman" w:hAnsi="Times New Roman" w:eastAsia="Times New Roman" w:cs="Times New Roman"/>
          <w:color w:val="000000"/>
          <w:sz w:val="24"/>
        </w:rPr>
        <w:t xml:space="preserve">ew — medium priority | |Cross-chain bridge volume |Per-bridge, daily |DeFiLlama|❌ Deferred | |Protocol governance events |Event-based |Multiple |❌ Deferred |</w:t>
      </w:r>
      <w:r/>
    </w:p>
    <w:p w14:paraId="4E4E1D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**Macro Domain:**</w:t>
      </w:r>
      <w:r/>
    </w:p>
    <w:p w14:paraId="750B68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|Raw Data |Granularity|Source |Forge Status | |---------------------------------------------------------|-----------|--------------------------|---------------------------| |Fed funds rate (DFF) |Daily |FRED |🔜 FRG-10 | |US 10Y Treasury yield (DGS10) |Dail</w:t>
      </w:r>
      <w:r>
        <w:rPr>
          <w:rFonts w:ascii="Times New Roman" w:hAnsi="Times New Roman" w:eastAsia="Times New Roman" w:cs="Times New Roman"/>
          <w:color w:val="000000"/>
          <w:sz w:val="24"/>
        </w:rPr>
        <w:t xml:space="preserve">y |FRED |🔜 FRG-10 | |US 2Y Treasury yield (DGS2) |Daily |FRED |🔜 FRG-10 | |US 30Y Treasury yield (DGS30) |Daily |FRED |❌ Add to FRG-10 | |10Y-2Y spread (T10Y2Y) |Daily |FRED |❌ Add to FRG-10 | |10Y-3M spread (T10Y3M) |Daily |FRED |❌ Add to FRG-10 | |DXY (U</w:t>
      </w:r>
      <w:r>
        <w:rPr>
          <w:rFonts w:ascii="Times New Roman" w:hAnsi="Times New Roman" w:eastAsia="Times New Roman" w:cs="Times New Roman"/>
          <w:color w:val="000000"/>
          <w:sz w:val="24"/>
        </w:rPr>
        <w:t xml:space="preserve">S Dollar Index — DTWEXBGS) |Daily |FRED |🔜 FRG-10 | |CPI (CPIAUCSL) |Monthly |FRED |🔜 FRG-10 | |Core PCE (PCEPILFE) |Monthly |FRED |❌ Add to FRG-10 | |Nonfarm payrolls (PAYEMS) |Monthly |FRED |❌ Add to FRG-10 | |Initial jobless claims (ICSA) |Weekly |FRED </w:t>
      </w:r>
      <w:r>
        <w:rPr>
          <w:rFonts w:ascii="Times New Roman" w:hAnsi="Times New Roman" w:eastAsia="Times New Roman" w:cs="Times New Roman"/>
          <w:color w:val="000000"/>
          <w:sz w:val="24"/>
        </w:rPr>
        <w:t xml:space="preserve">|❌ Add to FRG-10 | |M2 money supply (M2SL) |Monthly |FRED |🔜 FRG-10 | |Fed balance sheet (WALCL) |Weekly |FRED |❌ Add to FRG-10 | |ECB balance sheet |Weekly |FRED (ECBASSETSW) |❌ Add to FRG-10 | |BOJ balance sheet |Monthly |FRED (if available) or BOJ|❌ Add</w:t>
      </w:r>
      <w:r>
        <w:rPr>
          <w:rFonts w:ascii="Times New Roman" w:hAnsi="Times New Roman" w:eastAsia="Times New Roman" w:cs="Times New Roman"/>
          <w:color w:val="000000"/>
          <w:sz w:val="24"/>
        </w:rPr>
        <w:t xml:space="preserve"> to FRG-10 | |PBOC aggregate financing |Monthly |FRED (if available) |❌ Evaluate availability | |VIX (VIXCLS) |Daily |FRED |❌ Add to FRG-10 | |S&amp;P 500 (SP500) |Daily |FRED |❌ Add to FRG-10 | |Gold (GOLDAMGBD228NLBM) |Daily |FRED |❌ Add to FRG-10 | |Crude o</w:t>
      </w:r>
      <w:r>
        <w:rPr>
          <w:rFonts w:ascii="Times New Roman" w:hAnsi="Times New Roman" w:eastAsia="Times New Roman" w:cs="Times New Roman"/>
          <w:color w:val="000000"/>
          <w:sz w:val="24"/>
        </w:rPr>
        <w:t xml:space="preserve">il WTI (DCOILWTICO) |Daily |FRED |❌ Add to FRG-10 | |US Real GDP growth (A191RL1Q225SBEA) |Quarterly |FRED |❌ Add to FRG-10 | |ISM Manufacturing PMI (MANEMP proxy) |Monthly |FRED |❌ Evaluate best FRED series| |FOMC meeting dates / rate decision calendar |E</w:t>
      </w:r>
      <w:r>
        <w:rPr>
          <w:rFonts w:ascii="Times New Roman" w:hAnsi="Times New Roman" w:eastAsia="Times New Roman" w:cs="Times New Roman"/>
          <w:color w:val="000000"/>
          <w:sz w:val="24"/>
        </w:rPr>
        <w:t xml:space="preserve">vent-based|Fed website / static |❌ New — calendar data | |Major macro event calendar (CPI release dates, NFP dates)|Event-based|Static / maintained |❌ New — calendar data |</w:t>
      </w:r>
      <w:r/>
    </w:p>
    <w:p w14:paraId="1C3E79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**Price / Volume Domain (primarily TimescaleDB, needed for cross-DB features):**</w:t>
      </w:r>
      <w:r/>
    </w:p>
    <w:p w14:paraId="698F90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|Raw Data |Granularity |Source |Status | |-----------------------|---------------------|--------------------|------------| |OHLCV candles |Per-instrument, 6h |TimescaleDB (EDS) |✅ Existing | |Daily close prices |Per-instrument, daily|Derivable from OHLCV|✅</w:t>
      </w:r>
      <w:r>
        <w:rPr>
          <w:rFonts w:ascii="Times New Roman" w:hAnsi="Times New Roman" w:eastAsia="Times New Roman" w:cs="Times New Roman"/>
          <w:color w:val="000000"/>
          <w:sz w:val="24"/>
        </w:rPr>
        <w:t xml:space="preserve"> Computable| |Total crypto market cap|Market-level, daily |CoinPaprika (EDS) |✅ Existing |</w:t>
      </w:r>
      <w:r/>
    </w:p>
    <w:p w14:paraId="13B8AE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**Instrument Metadata (static / slowly changing):**</w:t>
      </w:r>
      <w:r/>
    </w:p>
    <w:p w14:paraId="3C096A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 |Source |Forge Status | |--------------------------------------------|--------------------|--------------------------------------------| |Instrument sector/category classification |Manual / CoinPaprika|❌ New — needed for breadth features | |Instrumen</w:t>
      </w:r>
      <w:r>
        <w:rPr>
          <w:rFonts w:ascii="Times New Roman" w:hAnsi="Times New Roman" w:eastAsia="Times New Roman" w:cs="Times New Roman"/>
          <w:color w:val="000000"/>
          <w:sz w:val="24"/>
        </w:rPr>
        <w:t xml:space="preserve">t market cap tier (large/mid/small)|CoinPaprika |Partially available via existing tier system| |Instrument listing date |CoinPaprika |❌ Evaluate | |Futures expiry schedule |Exchange-specific |❌ New — calendar data |</w:t>
      </w:r>
      <w:r/>
    </w:p>
    <w:p w14:paraId="37A607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2.3 Feature Count Estimate</w:t>
      </w:r>
      <w:r/>
    </w:p>
    <w:p w14:paraId="628CCCD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size the feature store and understand dimensionality:</w:t>
      </w:r>
      <w:r/>
    </w:p>
    <w:p w14:paraId="555C5B0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|Category |Estimated Features Per Instrument|Notes | |------------------------|---------------------------------|-------------------------------------------------------------------------------------------------| |A: Rolling transforms |~200-300 |~30 raw se</w:t>
      </w:r>
      <w:r>
        <w:rPr>
          <w:rFonts w:ascii="Times New Roman" w:hAnsi="Times New Roman" w:eastAsia="Times New Roman" w:cs="Times New Roman"/>
          <w:color w:val="000000"/>
          <w:sz w:val="24"/>
        </w:rPr>
        <w:t xml:space="preserve">ries × ~9 window sizes × 1-3 statistics each. Many will be pruned by feature selection.| |B: Cross-sectional ranks|~30-50 |Key metrics only, not all raw series | |C: Ratio / interaction |~40-60 |Curated pairs, not combinatorial explosion | |D: Regime / sta</w:t>
      </w:r>
      <w:r>
        <w:rPr>
          <w:rFonts w:ascii="Times New Roman" w:hAnsi="Times New Roman" w:eastAsia="Times New Roman" w:cs="Times New Roman"/>
          <w:color w:val="000000"/>
          <w:sz w:val="24"/>
        </w:rPr>
        <w:t xml:space="preserve">te |~10-15 |Market-level, applied to all instruments | |E: Calendar / structural|~10-15 |Shared across instruments | |F: Breadth / aggregation|~15-25 |Market-level | |G: Cross-asset |~20-30 |Market-level, per traditional asset pair |</w:t>
      </w:r>
      <w:r/>
    </w:p>
    <w:p w14:paraId="1EFBD25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**Total raw feature count: ~325-495 per instrument** before feature selection. After selection (importance filtering, correlation deduplication), expect ~80-150 active features per Layer 1 model. The full set is computed and persisted; model training selec</w:t>
      </w:r>
      <w:r>
        <w:rPr>
          <w:rFonts w:ascii="Times New Roman" w:hAnsi="Times New Roman" w:eastAsia="Times New Roman" w:cs="Times New Roman"/>
          <w:color w:val="000000"/>
          <w:sz w:val="24"/>
        </w:rPr>
        <w:t xml:space="preserve">ts subsets.</w:t>
      </w:r>
      <w:r/>
    </w:p>
    <w:p w14:paraId="7ACB1B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a large but manageable feature space for tabular models (LightGBM handles 500+ features routinely). The storage requirement is the binding constraint — ~500 features × 157 instruments × multiple timestamps per day × 450+ days of history.</w:t>
      </w:r>
      <w:r/>
    </w:p>
    <w:p w14:paraId="59CF7C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5F1B42F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3. Raw Data Requirements</w:t>
      </w:r>
      <w:r/>
    </w:p>
    <w:p w14:paraId="0907D11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section consolidates all raw data needs identified in Layer 0 analysis into a single collection specification. This is the canonical list Forge must satisfy. If a data point is not listed here, no ML design session should require it without amending t</w:t>
      </w:r>
      <w:r>
        <w:rPr>
          <w:rFonts w:ascii="Times New Roman" w:hAnsi="Times New Roman" w:eastAsia="Times New Roman" w:cs="Times New Roman"/>
          <w:color w:val="000000"/>
          <w:sz w:val="24"/>
        </w:rPr>
        <w:t xml:space="preserve">his document.</w:t>
      </w:r>
      <w:r/>
    </w:p>
    <w:p w14:paraId="18D7E8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3.1 Currently Collected (No Action Required)</w:t>
      </w:r>
      <w:r/>
    </w:p>
    <w:p w14:paraId="6247EB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|Domain |Data |Source |Agent |Instruments |Cadence | |-----------|---------------------------|-----------------|-------------------------|------------|------------| |Derivatives|Funding rates |Coinalyze |forge_agent_coinalyze |121 |8h | |Derivatives|Open i</w:t>
      </w:r>
      <w:r>
        <w:rPr>
          <w:rFonts w:ascii="Times New Roman" w:hAnsi="Times New Roman" w:eastAsia="Times New Roman" w:cs="Times New Roman"/>
          <w:color w:val="000000"/>
          <w:sz w:val="24"/>
        </w:rPr>
        <w:t xml:space="preserve">nterest |Coinalyze |forge_agent_coinalyze |121 |8h | |Derivatives|Liquidations (L/S) |Coinalyze |forge_agent_coinalyze |121 |8h | |Derivatives|Perp basis |Coinalyze |forge_agent_coinalyze |121 |8h (dormant)| |Flows |Exchange in/out (ETH + ARB)|Etherscan V2</w:t>
      </w:r>
      <w:r>
        <w:rPr>
          <w:rFonts w:ascii="Times New Roman" w:hAnsi="Times New Roman" w:eastAsia="Times New Roman" w:cs="Times New Roman"/>
          <w:color w:val="000000"/>
          <w:sz w:val="24"/>
        </w:rPr>
        <w:t xml:space="preserve"> |forge_agent_explorer |18 |8h | |Flows |Whale transactions |Etherscan V2 |forge_agent_explorer |18 |8h | |Flows |Exchange reserves (proxy) |Etherscan V2 |forge_agent_explorer |18 |8h | |Stablecoins|Circulating supply |DeFiLlama |forge_agent_defillama_ext|</w:t>
      </w:r>
      <w:r>
        <w:rPr>
          <w:rFonts w:ascii="Times New Roman" w:hAnsi="Times New Roman" w:eastAsia="Times New Roman" w:cs="Times New Roman"/>
          <w:color w:val="000000"/>
          <w:sz w:val="24"/>
        </w:rPr>
        <w:t xml:space="preserve">12 |12h | |Stablecoins|Peg price |DeFiLlama |forge_agent_defillama_ext|12 |12h | |DeFi |Protocol TVL |DeFiLlama |forge_agent_defillama_ext|13 protocols|12h | |DeFi |Protocol revenue |DeFiLlama |forge_agent_defillama_ext|13 protocols|12h | |Price |OHLCV can</w:t>
      </w:r>
      <w:r>
        <w:rPr>
          <w:rFonts w:ascii="Times New Roman" w:hAnsi="Times New Roman" w:eastAsia="Times New Roman" w:cs="Times New Roman"/>
          <w:color w:val="000000"/>
          <w:sz w:val="24"/>
        </w:rPr>
        <w:t xml:space="preserve">dles |Multiple (EDS) |EDS collectors |157 |6h | |Price |Market cap |CoinPaprika (EDS)|EDS collectors |157 |varies |</w:t>
      </w:r>
      <w:r/>
    </w:p>
    <w:p w14:paraId="7996830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3.2 In Progress (Actively Being Added)</w:t>
      </w:r>
      <w:r/>
    </w:p>
    <w:p w14:paraId="19615F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|Domain |Data |Source |Status |Instruments|Cadence| |-----------|----------------|---------|-----------|-----------|-------| |Derivatives|Long/short ratio|Coinalyze|CC Prompt 1|121 |8h |</w:t>
      </w:r>
      <w:r/>
    </w:p>
    <w:p w14:paraId="7CEB5F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3.3 Designed But Not Yet Built</w:t>
      </w:r>
      <w:r/>
    </w:p>
    <w:p w14:paraId="30D5E9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|Domain|Data |Source |Pipeline ID|Cadence |Notes | |------|----------------------------------|---------|-----------|-------------|------------------------| |Flows |ETF flows (BTC + ETH) |SoSoValue|FRG-05 |Daily |Non-commercial ToS (D27)| |Macro |Fed funds,</w:t>
      </w:r>
      <w:r>
        <w:rPr>
          <w:rFonts w:ascii="Times New Roman" w:hAnsi="Times New Roman" w:eastAsia="Times New Roman" w:cs="Times New Roman"/>
          <w:color w:val="000000"/>
          <w:sz w:val="24"/>
        </w:rPr>
        <w:t xml:space="preserve"> 10Y yield, DXY, CPI, M2|FRED |FRG-10 |Daily/Monthly|Core domestic macro |</w:t>
      </w:r>
      <w:r/>
    </w:p>
    <w:p w14:paraId="38986D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3.4 New Requirements — High Priority</w:t>
      </w:r>
      <w:r/>
    </w:p>
    <w:p w14:paraId="0776B1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are data points identified by ML Layer 0/1 analysis that Forge does not currently collect and that are high-value for model quality. All are from free sources already connected or planned.</w:t>
      </w:r>
      <w:r/>
    </w:p>
    <w:p w14:paraId="00D6D9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3.4.1 FRED Expansion (FRG-10 Scope Increase)</w:t>
      </w:r>
      <w:r/>
    </w:p>
    <w:p w14:paraId="59DBBF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FRG-10 was designed for EDSx’s Macro Context sub-score. ML’s Macro Regime model needs a broader set. The marginal cost of expanding FRG-10 is effectively zero — same API, same agent, more series.</w:t>
      </w:r>
      <w:r/>
    </w:p>
    <w:p w14:paraId="6CF067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**Add to FRG-10 design:**</w:t>
      </w:r>
      <w:r/>
    </w:p>
    <w:p w14:paraId="5FCB21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|FRED Series |Description |Frequency|ML Use | |----------------|--------------------------------|---------|---------------------------------------| |DGS30 |30-Year Treasury yield |Daily |Yield curve shape | |T10Y2Y |10Y-2Y Treasury spread |Daily |Yield cur</w:t>
      </w:r>
      <w:r>
        <w:rPr>
          <w:rFonts w:ascii="Times New Roman" w:hAnsi="Times New Roman" w:eastAsia="Times New Roman" w:cs="Times New Roman"/>
          <w:color w:val="000000"/>
          <w:sz w:val="24"/>
        </w:rPr>
        <w:t xml:space="preserve">ve slope (recession indicator)| |T10Y3M |10Y-3M Treasury spread |Daily |Alternative yield curve measure | |VIXCLS |CBOE Volatility Index |Daily |Cross-asset vol, regime detection | |SP500 |S&amp;P 500 index |Daily |Cross-asset correlation | |GOLDAMGBD228NLBM|G</w:t>
      </w:r>
      <w:r>
        <w:rPr>
          <w:rFonts w:ascii="Times New Roman" w:hAnsi="Times New Roman" w:eastAsia="Times New Roman" w:cs="Times New Roman"/>
          <w:color w:val="000000"/>
          <w:sz w:val="24"/>
        </w:rPr>
        <w:t xml:space="preserve">old price (London PM fix) |Daily |Safe haven flows, cross-asset | |DCOILWTICO |Crude oil WTI spot |Daily |Commodity cycle, inflation proxy | |PCEPILFE |Core PCE price index |Monthly |Fed’s preferred inflation gauge | |PAYEMS |Total nonfarm payrolls |Monthl</w:t>
      </w:r>
      <w:r>
        <w:rPr>
          <w:rFonts w:ascii="Times New Roman" w:hAnsi="Times New Roman" w:eastAsia="Times New Roman" w:cs="Times New Roman"/>
          <w:color w:val="000000"/>
          <w:sz w:val="24"/>
        </w:rPr>
        <w:t xml:space="preserve">y |Labor market strength | |ICSA |Initial jobless claims |Weekly |High-frequency labor market | |WALCL |Fed total assets (balance sheet)|Weekly |Liquidity injection/withdrawal | |ECBASSETSW |ECB total assets |Weekly |Global liquidity | |A191RL1Q225SBEA |Re</w:t>
      </w:r>
      <w:r>
        <w:rPr>
          <w:rFonts w:ascii="Times New Roman" w:hAnsi="Times New Roman" w:eastAsia="Times New Roman" w:cs="Times New Roman"/>
          <w:color w:val="000000"/>
          <w:sz w:val="24"/>
        </w:rPr>
        <w:t xml:space="preserve">al GDP growth |Quarterly|Economic cycle | |BOGMBASE |Monetary base |Biweekly |Money supply granularity |</w:t>
      </w:r>
      <w:r/>
    </w:p>
    <w:p w14:paraId="764070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**Total FRED series count (existing FRG-10 + expansion):** ~25-30 series. FRED API allows 120 requests/minute with free API key. Even with 30 series, a single daily collection run takes seconds.</w:t>
      </w:r>
      <w:r/>
    </w:p>
    <w:p w14:paraId="1B4CEE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**BOJ and PBOC data:** Availability on FRED is inconsistent. BOJ balance sheet may be available via FRED (evaluate series availability). PBOC aggregate financing is less likely. If not on FRED, these become separate source evaluations. Flag as “evaluate” —</w:t>
      </w:r>
      <w:r>
        <w:rPr>
          <w:rFonts w:ascii="Times New Roman" w:hAnsi="Times New Roman" w:eastAsia="Times New Roman" w:cs="Times New Roman"/>
          <w:color w:val="000000"/>
          <w:sz w:val="24"/>
        </w:rPr>
        <w:t xml:space="preserve"> not blocking, but valuable for global liquidity picture. Worst case, these are manual monthly updates.</w:t>
      </w:r>
      <w:r/>
    </w:p>
    <w:p w14:paraId="6976EA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3.4.2 DeFiLlama Expansion</w:t>
      </w:r>
      <w:r/>
    </w:p>
    <w:p w14:paraId="66609B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DeFiLlama exposes lending rates and DEX volume data via free API. Expanding the existing agent to collect these requires additional endpoints, not a new source.</w:t>
      </w:r>
      <w:r/>
    </w:p>
    <w:p w14:paraId="3E696D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 |DeFiLlama Endpoint |Frequency|ML Use | |------------------------------------|------------------------|---------|--------------------------------------------| |Lending borrow APY (major protocols)|</w:t>
      </w:r>
      <w:r>
        <w:rPr>
          <w:rFonts w:ascii="Courier New" w:hAnsi="Courier New" w:eastAsia="Courier New" w:cs="Courier New"/>
          <w:color w:val="000000"/>
          <w:sz w:val="20"/>
        </w:rPr>
        <w:t xml:space="preserve">/yields</w:t>
      </w:r>
      <w:r>
        <w:rPr>
          <w:rFonts w:ascii="Times New Roman" w:hAnsi="Times New Roman" w:eastAsia="Times New Roman" w:cs="Times New Roman"/>
          <w:color w:val="000000"/>
          <w:sz w:val="24"/>
        </w:rPr>
        <w:t xml:space="preserve"> or </w:t>
      </w:r>
      <w:r>
        <w:rPr>
          <w:rFonts w:ascii="Courier New" w:hAnsi="Courier New" w:eastAsia="Courier New" w:cs="Courier New"/>
          <w:color w:val="000000"/>
          <w:sz w:val="20"/>
        </w:rPr>
        <w:t xml:space="preserve">/pools</w:t>
      </w:r>
      <w:r>
        <w:rPr>
          <w:rFonts w:ascii="Times New Roman" w:hAnsi="Times New Roman" w:eastAsia="Times New Roman" w:cs="Times New Roman"/>
          <w:color w:val="000000"/>
          <w:sz w:val="24"/>
        </w:rPr>
        <w:t xml:space="preserve"> |12h |DeFi stress detection, leverage demand proxy| |Lending supply APY (major protocols)|</w:t>
      </w:r>
      <w:r>
        <w:rPr>
          <w:rFonts w:ascii="Courier New" w:hAnsi="Courier New" w:eastAsia="Courier New" w:cs="Courier New"/>
          <w:color w:val="000000"/>
          <w:sz w:val="20"/>
        </w:rPr>
        <w:t xml:space="preserve">/yields</w:t>
      </w:r>
      <w:r>
        <w:rPr>
          <w:rFonts w:ascii="Times New Roman" w:hAnsi="Times New Roman" w:eastAsia="Times New Roman" w:cs="Times New Roman"/>
          <w:color w:val="000000"/>
          <w:sz w:val="24"/>
        </w:rPr>
        <w:t xml:space="preserve"> or </w:t>
      </w:r>
      <w:r>
        <w:rPr>
          <w:rFonts w:ascii="Courier New" w:hAnsi="Courier New" w:eastAsia="Courier New" w:cs="Courier New"/>
          <w:color w:val="000000"/>
          <w:sz w:val="20"/>
        </w:rPr>
        <w:t xml:space="preserve">/pools</w:t>
      </w:r>
      <w:r>
        <w:rPr>
          <w:rFonts w:ascii="Times New Roman" w:hAnsi="Times New Roman" w:eastAsia="Times New Roman" w:cs="Times New Roman"/>
          <w:color w:val="000000"/>
          <w:sz w:val="24"/>
        </w:rPr>
        <w:t xml:space="preserve"> |12h |Yield seeking behavior, liquidity conditions| |DEX trading volume (top 10 DEXs) |</w:t>
      </w:r>
      <w:r>
        <w:rPr>
          <w:rFonts w:ascii="Courier New" w:hAnsi="Courier New" w:eastAsia="Courier New" w:cs="Courier New"/>
          <w:color w:val="000000"/>
          <w:sz w:val="20"/>
        </w:rPr>
        <w:t xml:space="preserve">/overview/dexs</w:t>
      </w:r>
      <w:r>
        <w:rPr>
          <w:rFonts w:ascii="Times New Roman" w:hAnsi="Times New Roman" w:eastAsia="Times New Roman" w:cs="Times New Roman"/>
          <w:color w:val="000000"/>
          <w:sz w:val="24"/>
        </w:rPr>
        <w:t xml:space="preserve"> |Daily |DeFi activity, liquidity conditions | |DEX volume by chain |</w:t>
      </w:r>
      <w:r>
        <w:rPr>
          <w:rFonts w:ascii="Courier New" w:hAnsi="Courier New" w:eastAsia="Courier New" w:cs="Courier New"/>
          <w:color w:val="000000"/>
          <w:sz w:val="20"/>
        </w:rPr>
        <w:t xml:space="preserve">/overview/dexs/{chain}</w:t>
      </w:r>
      <w:r>
        <w:rPr>
          <w:rFonts w:ascii="Times New Roman" w:hAnsi="Times New Roman" w:eastAsia="Times New Roman" w:cs="Times New Roman"/>
          <w:color w:val="000000"/>
          <w:sz w:val="24"/>
        </w:rPr>
        <w:t xml:space="preserve">|Daily |Capital rotation between chains |</w:t>
      </w:r>
      <w:r/>
    </w:p>
    <w:p w14:paraId="5070DA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**Coverage:** Focus on top lending protocols (Aave, Compound, MakerDAO/Sky, Morpho, Spark) and top DEXs (Uniswap, Curve, Balancer, PancakeSwap, Raydium). Protocol list is maintained in DeFiLlama agent config — same pattern as existing protocol TVL collecti</w:t>
      </w:r>
      <w:r>
        <w:rPr>
          <w:rFonts w:ascii="Times New Roman" w:hAnsi="Times New Roman" w:eastAsia="Times New Roman" w:cs="Times New Roman"/>
          <w:color w:val="000000"/>
          <w:sz w:val="24"/>
        </w:rPr>
        <w:t xml:space="preserve">on.</w:t>
      </w:r>
      <w:r/>
    </w:p>
    <w:p w14:paraId="60915A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**Note on pool-level data:** DeFiLlama’s yields endpoint returns per-pool data (e.g., Aave USDC on Ethereum). Aggregate to protocol-level for model consumption. Raw pool-level data retained in Forge for potential future use. This is a data volume considera</w:t>
      </w:r>
      <w:r>
        <w:rPr>
          <w:rFonts w:ascii="Times New Roman" w:hAnsi="Times New Roman" w:eastAsia="Times New Roman" w:cs="Times New Roman"/>
          <w:color w:val="000000"/>
          <w:sz w:val="24"/>
        </w:rPr>
        <w:t xml:space="preserve">tion — thousands of pools exist. Filter to top pools by TVL to keep collection manageable.</w:t>
      </w:r>
      <w:r/>
    </w:p>
    <w:p w14:paraId="11C8F0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3.4.3 Instrument Metadata</w:t>
      </w:r>
      <w:r/>
    </w:p>
    <w:p w14:paraId="59C8C3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 |Source |Format |ML Use | |------------------------------|-----------------------------------|---------------------|---------------------------------| |Sector/category classification|CoinPaprika tags + manual curation |Static table in Forge|Breadth f</w:t>
      </w:r>
      <w:r>
        <w:rPr>
          <w:rFonts w:ascii="Times New Roman" w:hAnsi="Times New Roman" w:eastAsia="Times New Roman" w:cs="Times New Roman"/>
          <w:color w:val="000000"/>
          <w:sz w:val="24"/>
        </w:rPr>
        <w:t xml:space="preserve">eatures, sector rotation| |Market cap tier boundaries |Derived from CoinPaprika market cap|Computed periodically|Tier-specific model parameters |</w:t>
      </w:r>
      <w:r/>
    </w:p>
    <w:p w14:paraId="0A7D7F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maps naturally to </w:t>
      </w:r>
      <w:r>
        <w:rPr>
          <w:rFonts w:ascii="Courier New" w:hAnsi="Courier New" w:eastAsia="Courier New" w:cs="Courier New"/>
          <w:color w:val="000000"/>
          <w:sz w:val="20"/>
        </w:rPr>
        <w:t xml:space="preserve">forge.assets</w:t>
      </w:r>
      <w:r>
        <w:rPr>
          <w:rFonts w:ascii="Times New Roman" w:hAnsi="Times New Roman" w:eastAsia="Times New Roman" w:cs="Times New Roman"/>
          <w:color w:val="000000"/>
          <w:sz w:val="24"/>
        </w:rPr>
        <w:t xml:space="preserve"> — the asset registry deployed with FRG-08 (D7). Add </w:t>
      </w:r>
      <w:r>
        <w:rPr>
          <w:rFonts w:ascii="Courier New" w:hAnsi="Courier New" w:eastAsia="Courier New" w:cs="Courier New"/>
          <w:color w:val="000000"/>
          <w:sz w:val="20"/>
        </w:rPr>
        <w:t xml:space="preserve">sector</w:t>
      </w:r>
      <w:r>
        <w:rPr>
          <w:rFonts w:ascii="Times New Roman" w:hAnsi="Times New Roman" w:eastAsia="Times New Roman" w:cs="Times New Roman"/>
          <w:color w:val="000000"/>
          <w:sz w:val="24"/>
        </w:rPr>
        <w:t xml:space="preserve"> and </w:t>
      </w:r>
      <w:r>
        <w:rPr>
          <w:rFonts w:ascii="Courier New" w:hAnsi="Courier New" w:eastAsia="Courier New" w:cs="Courier New"/>
          <w:color w:val="000000"/>
          <w:sz w:val="20"/>
        </w:rPr>
        <w:t xml:space="preserve">category</w:t>
      </w:r>
      <w:r>
        <w:rPr>
          <w:rFonts w:ascii="Times New Roman" w:hAnsi="Times New Roman" w:eastAsia="Times New Roman" w:cs="Times New Roman"/>
          <w:color w:val="000000"/>
          <w:sz w:val="24"/>
        </w:rPr>
        <w:t xml:space="preserve"> columns, populated from CoinPaprika taxonomy with manual override capability.</w:t>
      </w:r>
      <w:r/>
    </w:p>
    <w:p w14:paraId="1B0D00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3.4.4 Calendar / Event Data</w:t>
      </w:r>
      <w:r/>
    </w:p>
    <w:p w14:paraId="2926C87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 |Source |Format |ML Use | |--------------------------------------------------|--------------------------------|-------------------------------|----------------------------------| |FOMC meeting dates |Fed website (published annually)|Static table, upd</w:t>
      </w:r>
      <w:r>
        <w:rPr>
          <w:rFonts w:ascii="Times New Roman" w:hAnsi="Times New Roman" w:eastAsia="Times New Roman" w:cs="Times New Roman"/>
          <w:color w:val="000000"/>
          <w:sz w:val="24"/>
        </w:rPr>
        <w:t xml:space="preserve">ated yearly |Calendar features, event proximity| |Major macro release calendar (CPI, NFP, GDP dates)|BLS / BEA websites |Static table, updated quarterly|Calendar features | |Quarterly futures expiry dates |Exchange documentation |Static table |Expiry proxi</w:t>
      </w:r>
      <w:r>
        <w:rPr>
          <w:rFonts w:ascii="Times New Roman" w:hAnsi="Times New Roman" w:eastAsia="Times New Roman" w:cs="Times New Roman"/>
          <w:color w:val="000000"/>
          <w:sz w:val="24"/>
        </w:rPr>
        <w:t xml:space="preserve">mity features |</w:t>
      </w:r>
      <w:r/>
    </w:p>
    <w:p w14:paraId="262F95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Small, static datasets. Could be a simple </w:t>
      </w:r>
      <w:r>
        <w:rPr>
          <w:rFonts w:ascii="Courier New" w:hAnsi="Courier New" w:eastAsia="Courier New" w:cs="Courier New"/>
          <w:color w:val="000000"/>
          <w:sz w:val="20"/>
        </w:rPr>
        <w:t xml:space="preserve">forge.event_calendar</w:t>
      </w:r>
      <w:r>
        <w:rPr>
          <w:rFonts w:ascii="Times New Roman" w:hAnsi="Times New Roman" w:eastAsia="Times New Roman" w:cs="Times New Roman"/>
          <w:color w:val="000000"/>
          <w:sz w:val="24"/>
        </w:rPr>
        <w:t xml:space="preserve"> table manually maintained or scraped from public calendars annually. Low engineering effort, meaningful feature value.</w:t>
      </w:r>
      <w:r/>
    </w:p>
    <w:p w14:paraId="11F0AE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3.5 New Requirements — Medium Priority</w:t>
      </w:r>
      <w:r/>
    </w:p>
    <w:p w14:paraId="72FFBA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are data points that would improve model quality but are not essential for initial training. Collect when convenient, don’t block ML design on them.</w:t>
      </w:r>
      <w:r/>
    </w:p>
    <w:p w14:paraId="04113F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|Domain |Data |Source |Effort |ML Use | |-----------|--------------------------------|-----------------------------------------|------------------|---------------------------------------| |Derivatives|Aggregated CVD |Coinalyze free tier (evaluate if expose</w:t>
      </w:r>
      <w:r>
        <w:rPr>
          <w:rFonts w:ascii="Times New Roman" w:hAnsi="Times New Roman" w:eastAsia="Times New Roman" w:cs="Times New Roman"/>
          <w:color w:val="000000"/>
          <w:sz w:val="24"/>
        </w:rPr>
        <w:t xml:space="preserve">d)|Small if available|Execution pressure detection | |Stablecoins|Mint/burn events |DeFiLlama (evaluate endpoint) |Small if available|Granular flow timing | |Flows |Spot volume by exchange |Needs source evaluation |Medium |Exchange-level activity, volume p</w:t>
      </w:r>
      <w:r>
        <w:rPr>
          <w:rFonts w:ascii="Times New Roman" w:hAnsi="Times New Roman" w:eastAsia="Times New Roman" w:cs="Times New Roman"/>
          <w:color w:val="000000"/>
          <w:sz w:val="24"/>
        </w:rPr>
        <w:t xml:space="preserve">rofile| |DeFi |Liquidity pool depth (top pools)|DeFiLlama |Medium |DeFi liquidity conditions |</w:t>
      </w:r>
      <w:r/>
    </w:p>
    <w:p w14:paraId="08BE55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3.6 Accepted Gaps (Deferred or Permanent)</w:t>
      </w:r>
      <w:r/>
    </w:p>
    <w:p w14:paraId="067D8E1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|Domain |Data |Why Not |Impact | |-----------|-----------------------------|---------------------------------|------------------------------------------------------------------------------------------------------| |Flows |BTC on-chain exchange flows |No fr</w:t>
      </w:r>
      <w:r>
        <w:rPr>
          <w:rFonts w:ascii="Times New Roman" w:hAnsi="Times New Roman" w:eastAsia="Times New Roman" w:cs="Times New Roman"/>
          <w:color w:val="000000"/>
          <w:sz w:val="24"/>
        </w:rPr>
        <w:t xml:space="preserve">ee source (U4) |Capital Flows model weaker for BTC specifically. ETH flows + stablecoin dynamics partially compensate.| |Derivatives|Order book depth / bid-ask |U6, high-frequency, expensive |Derivatives model misses microstructure signal. Funding rates + </w:t>
      </w:r>
      <w:r>
        <w:rPr>
          <w:rFonts w:ascii="Times New Roman" w:hAnsi="Times New Roman" w:eastAsia="Times New Roman" w:cs="Times New Roman"/>
          <w:color w:val="000000"/>
          <w:sz w:val="24"/>
        </w:rPr>
        <w:t xml:space="preserve">OI are coarser proxies. | |Derivatives|Trade-level aggressor side |U6, requires WebSocket streaming |Same as above. | |Volatility |Implied vol (options markets)|Deribit API likely paid |Volatility model uses realized vol + derivatives proxies. Weaker but f</w:t>
      </w:r>
      <w:r>
        <w:rPr>
          <w:rFonts w:ascii="Times New Roman" w:hAnsi="Times New Roman" w:eastAsia="Times New Roman" w:cs="Times New Roman"/>
          <w:color w:val="000000"/>
          <w:sz w:val="24"/>
        </w:rPr>
        <w:t xml:space="preserve">unctional. | |DeFi |Cross-chain bridge flows |Noisy, hard to interpret |Low impact. DEX volume partially captures chain migration. | |DeFi |Protocol governance events |Unstructured, hard to systematize|Minimal model value. | |Macro |PBOC balance sheet |Unc</w:t>
      </w:r>
      <w:r>
        <w:rPr>
          <w:rFonts w:ascii="Times New Roman" w:hAnsi="Times New Roman" w:eastAsia="Times New Roman" w:cs="Times New Roman"/>
          <w:color w:val="000000"/>
          <w:sz w:val="24"/>
        </w:rPr>
        <w:t xml:space="preserve">ertain FRED availability |Global liquidity picture incomplete for China. Lower priority than Fed/ECB/BOJ. | |Flows |Cross-exchange arbitrage flow|No available source |Would be novel signal but data doesn’t exist in accessible form. |</w:t>
      </w:r>
      <w:r/>
    </w:p>
    <w:p w14:paraId="5B9686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3.7 Cross-Database Feature Requirements</w:t>
      </w:r>
      <w:r/>
    </w:p>
    <w:p w14:paraId="3EFDD9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Some Layer 0 features require joining Forge data with TimescaleDB data. These are identified here because they impose infrastructure constraints.</w:t>
      </w:r>
      <w:r/>
    </w:p>
    <w:p w14:paraId="0B43CE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|Feature |Forge Data |TimescaleDB Data |Alignment | |-------------------------|------------------------------------------|-------------------------------|--------------------------------------| |Volume-price momentum |OI change (Coinalyze) |Price returns (</w:t>
      </w:r>
      <w:r>
        <w:rPr>
          <w:rFonts w:ascii="Times New Roman" w:hAnsi="Times New Roman" w:eastAsia="Times New Roman" w:cs="Times New Roman"/>
          <w:color w:val="000000"/>
          <w:sz w:val="24"/>
        </w:rPr>
        <w:t xml:space="preserve">OHLCV) |Match on instrument + timestamp window| |Flow-price divergence |Exchange net flow |Price returns (OHLCV) |Match on instrument + timestamp window| |Crypto-TradFi correlation|(none — both sides from different sources)|BTC price (OHLCV) |Daily alignme</w:t>
      </w:r>
      <w:r>
        <w:rPr>
          <w:rFonts w:ascii="Times New Roman" w:hAnsi="Times New Roman" w:eastAsia="Times New Roman" w:cs="Times New Roman"/>
          <w:color w:val="000000"/>
          <w:sz w:val="24"/>
        </w:rPr>
        <w:t xml:space="preserve">nt | |Realized volatility |(none) |Price returns (OHLCV) |Rolling computation from OHLCV | |Market breadth |(none) |Per-instrument momentum (OHLCV)|Cross-instrument aggregation |</w:t>
      </w:r>
      <w:r/>
    </w:p>
    <w:p w14:paraId="06BC916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**Infrastructure note:** Cross-DB features are computed by the feature computation layer, which must have read access to both Forge (port 5435) and TimescaleDB (port 5434). This is a known cross-DB pattern already handled by </w:t>
      </w:r>
      <w:r>
        <w:rPr>
          <w:rFonts w:ascii="Courier New" w:hAnsi="Courier New" w:eastAsia="Courier New" w:cs="Courier New"/>
          <w:color w:val="000000"/>
          <w:sz w:val="20"/>
        </w:rPr>
        <w:t xml:space="preserve">forge_compute</w:t>
      </w:r>
      <w:r>
        <w:rPr>
          <w:rFonts w:ascii="Times New Roman" w:hAnsi="Times New Roman" w:eastAsia="Times New Roman" w:cs="Times New Roman"/>
          <w:color w:val="000000"/>
          <w:sz w:val="24"/>
        </w:rPr>
        <w:t xml:space="preserve"> (metrics #19, #20 in FRG-08).</w:t>
      </w:r>
      <w:r/>
    </w:p>
    <w:p w14:paraId="76F1AD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0792BB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4. Layer 1: Domain Model Design</w:t>
      </w:r>
      <w:r/>
    </w:p>
    <w:p w14:paraId="4A3650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4.1 Architecture Overview</w:t>
      </w:r>
      <w:r/>
    </w:p>
    <w:p w14:paraId="0EEC2E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Five domain models, each specializing in a conceptually distinct signal domain. Each model consumes Layer 0 features relevant to its domain and produces a structured output consumed by Layer 2.</w:t>
      </w:r>
      <w:r/>
    </w:p>
    <w:p w14:paraId="4FA625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Layer 0 (Feature Store)</w:t>
      </w:r>
      <w:r/>
    </w:p>
    <w:p w14:paraId="1DEE4C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p>
    <w:p w14:paraId="12FEC2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Rolling transforms           │</w:t>
      </w:r>
      <w:r/>
    </w:p>
    <w:p w14:paraId="723DD1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Cross-sectional ranks         │</w:t>
      </w:r>
      <w:r/>
    </w:p>
    <w:p w14:paraId="730ECA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Raw Forge ───────►│ Ratio / interaction features  │</w:t>
      </w:r>
      <w:r/>
    </w:p>
    <w:p w14:paraId="2D69E5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OHLCV         │ Regime / state features       │</w:t>
      </w:r>
      <w:r/>
    </w:p>
    <w:p w14:paraId="565CBA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Calendar / structural         │</w:t>
      </w:r>
      <w:r/>
    </w:p>
    <w:p w14:paraId="6E84402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Breadth / aggregation         │</w:t>
      </w:r>
      <w:r/>
    </w:p>
    <w:p w14:paraId="596F65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Cross-asset features          │</w:t>
      </w:r>
      <w:r/>
    </w:p>
    <w:p w14:paraId="328FB9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p>
    <w:p w14:paraId="1C9F57E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p>
    <w:p w14:paraId="35A4D0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p>
    <w:p w14:paraId="2BE4CC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              │               │               │</w:t>
      </w:r>
      <w:r/>
    </w:p>
    <w:p w14:paraId="1E84FA0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              ▼               ▼               ▼</w:t>
      </w:r>
      <w:r/>
    </w:p>
    <w:p w14:paraId="162AE9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 ┌──────────┐ ┌──────────────┐ ┌──────────────┐</w:t>
      </w:r>
      <w:r/>
    </w:p>
    <w:p w14:paraId="47EBAB9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Derivatives  │ │ Capital     │ │ Macro    │ │ DeFi         │ │ Volatility   │</w:t>
      </w:r>
      <w:r/>
    </w:p>
    <w:p w14:paraId="7DB16C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Pressure     │ │ Flow        │ │ Regime   │ │ Stress       │ │ Regime       │</w:t>
      </w:r>
      <w:r/>
    </w:p>
    <w:p w14:paraId="71EAF8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 │ Direction   │ │          │ │              │ │              │</w:t>
      </w:r>
      <w:r/>
    </w:p>
    <w:p w14:paraId="351A9E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Per-instr.   │ │ Per-instr.  │ │ Market-  │ │ Market-      │ │ Per-instr.   │</w:t>
      </w:r>
      <w:r/>
    </w:p>
    <w:p w14:paraId="0880DD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 market     │ │ (sparse)    │ │ level    │ │ level +      │ │ + market     │</w:t>
      </w:r>
      <w:r/>
    </w:p>
    <w:p w14:paraId="09781A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 │ + market    │ │          │ │ per-protocol │ │              │</w:t>
      </w:r>
      <w:r/>
    </w:p>
    <w:p w14:paraId="618859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 └────┬─────┘ └──────┬───────┘ └──────┬───────┘</w:t>
      </w:r>
      <w:r/>
    </w:p>
    <w:p w14:paraId="6A721F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             │              │                │</w:t>
      </w:r>
      <w:r/>
    </w:p>
    <w:p w14:paraId="3449FE7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             ▼              ▼                ▼</w:t>
      </w:r>
      <w:r/>
    </w:p>
    <w:p w14:paraId="12EB76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p>
    <w:p w14:paraId="278794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Layer 2 (future design)                           │</w:t>
      </w:r>
      <w:r/>
    </w:p>
    <w:p w14:paraId="4C9634F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w:t>
      </w:r>
      <w:r/>
    </w:p>
    <w:p w14:paraId="6C7F420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4.2 Model 1: Derivatives Pressure</w:t>
      </w:r>
      <w:r/>
    </w:p>
    <w:p w14:paraId="405639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**Objective:** Estimate directional pressure from leveraged positioning. Answers: “Is the derivatives market positioned in a way that creates directional pressure — and in which direction?”</w:t>
      </w:r>
      <w:r/>
    </w:p>
    <w:p w14:paraId="3E0818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**Granularity:** Per-instrument (121 Coinalyze instruments) + market-level aggregate.</w:t>
      </w:r>
      <w:r/>
    </w:p>
    <w:p w14:paraId="72A8C6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**Input features (from Layer 0):**</w:t>
      </w:r>
      <w:r/>
    </w:p>
    <w:p w14:paraId="2735D9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|Feature |Category|Raw Source | |----------------------------------------------------------------|--------|--------------------------------| |Funding rate z-scores (1h, 8h, 24h, 3d, 7d, 14d) |A |Coinalyze funding rates | |Funding rate momentum (rate of cha</w:t>
      </w:r>
      <w:r>
        <w:rPr>
          <w:rFonts w:ascii="Times New Roman" w:hAnsi="Times New Roman" w:eastAsia="Times New Roman" w:cs="Times New Roman"/>
          <w:color w:val="000000"/>
          <w:sz w:val="24"/>
        </w:rPr>
        <w:t xml:space="preserve">nge over 3d, 7d) |A |Coinalyze funding rates | |Funding rate persistence (consecutive positive/negative periods)|A |Coinalyze funding rates | |OI change z-scores (8h, 24h, 3d, 7d) |A |Coinalyze OI | |OI absolute level percentile (cross-sectional) |B |Coina</w:t>
      </w:r>
      <w:r>
        <w:rPr>
          <w:rFonts w:ascii="Times New Roman" w:hAnsi="Times New Roman" w:eastAsia="Times New Roman" w:cs="Times New Roman"/>
          <w:color w:val="000000"/>
          <w:sz w:val="24"/>
        </w:rPr>
        <w:t xml:space="preserve">lyze OI | |Liquidation long/short ratio (rolling 24h, 3d, 7d) |A |Coinalyze liquidations | |Liquidation intensity z-score (total volume relative to OI) |C |Coinalyze liquidations + OI | |Liquidation clustering (events per time window) |A |Coinalyze liquida</w:t>
      </w:r>
      <w:r>
        <w:rPr>
          <w:rFonts w:ascii="Times New Roman" w:hAnsi="Times New Roman" w:eastAsia="Times New Roman" w:cs="Times New Roman"/>
          <w:color w:val="000000"/>
          <w:sz w:val="24"/>
        </w:rPr>
        <w:t xml:space="preserve">tions | |L/S account ratio z-score (14d, 30d rolling) |A |Coinalyze L/S ratio | |L/S ratio momentum |A |Coinalyze L/S ratio | |Perp basis z-score (8h, 24h, 7d) |A |Coinalyze basis | |Perp basis momentum |A |Coinalyze basis | |Volume-price momentum (OI chan</w:t>
      </w:r>
      <w:r>
        <w:rPr>
          <w:rFonts w:ascii="Times New Roman" w:hAnsi="Times New Roman" w:eastAsia="Times New Roman" w:cs="Times New Roman"/>
          <w:color w:val="000000"/>
          <w:sz w:val="24"/>
        </w:rPr>
        <w:t xml:space="preserve">ge × price return) |C |Coinalyze OI + TimescaleDB OHLCV| |Funding-liquidation divergence |C |Coinalyze funding + liquidations| |Aggregate market funding rate |F |All Coinalyze instruments | |Aggregate market OI change |F |All Coinalyze instruments | |Marke</w:t>
      </w:r>
      <w:r>
        <w:rPr>
          <w:rFonts w:ascii="Times New Roman" w:hAnsi="Times New Roman" w:eastAsia="Times New Roman" w:cs="Times New Roman"/>
          <w:color w:val="000000"/>
          <w:sz w:val="24"/>
        </w:rPr>
        <w:t xml:space="preserve">t-level liquidation imbalance |F |All Coinalyze instruments | |Volatility regime state |D |Cross-domain | |Futures expiry proximity |E |Calendar data |</w:t>
      </w:r>
      <w:r/>
    </w:p>
    <w:p w14:paraId="573075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**Estimated input dimension:** ~60-80 features per instrument after window expansion.</w:t>
      </w:r>
      <w:r/>
    </w:p>
    <w:p w14:paraId="29704A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**Output specification:**</w:t>
      </w:r>
      <w:r/>
    </w:p>
    <w:p w14:paraId="1B9FF0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DerivativesPressureOutput {</w:t>
      </w:r>
      <w:r/>
    </w:p>
    <w:p w14:paraId="26C671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instrument_id: str</w:t>
      </w:r>
      <w:r/>
    </w:p>
    <w:p w14:paraId="71F96A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timestamp: datetime (UTC)</w:t>
      </w:r>
      <w:r/>
    </w:p>
    <w:p w14:paraId="46A3BE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model_version: str</w:t>
      </w:r>
      <w:r/>
    </w:p>
    <w:p w14:paraId="63DE82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48C87E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Directional pressure estimate</w:t>
      </w:r>
      <w:r/>
    </w:p>
    <w:p w14:paraId="7BE849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p_bullish: float [0, 1]    # Probability of net bullish pressure</w:t>
      </w:r>
      <w:r/>
    </w:p>
    <w:p w14:paraId="12A0E24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p_neutral: float [0, 1]    # Probability of balanced/no pressure</w:t>
      </w:r>
      <w:r/>
    </w:p>
    <w:p w14:paraId="55DC7F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p_bearish: float [0, 1]    # Probability of net bearish pressure</w:t>
      </w:r>
      <w:r/>
    </w:p>
    <w:p w14:paraId="0E4B79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Constraint: p_bullish + p_neutral + p_bearish = 1.0</w:t>
      </w:r>
      <w:r/>
    </w:p>
    <w:p w14:paraId="330DE3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01C78C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Magnitude estimate</w:t>
      </w:r>
      <w:r/>
    </w:p>
    <w:p w14:paraId="0B80FC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pressure_magnitude: float [0, 1]  # How strong is the pressure (regardless of direction)</w:t>
      </w:r>
      <w:r/>
    </w:p>
    <w:p w14:paraId="14A7EA3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3E4607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Confidence</w:t>
      </w:r>
      <w:r/>
    </w:p>
    <w:p w14:paraId="053579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feature_coverage: float [0, 1]    # Fraction of input features non-null</w:t>
      </w:r>
      <w:r/>
    </w:p>
    <w:p w14:paraId="38DC720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prediction_entropy: float         # Shannon entropy of probability vector (high = uncertain)</w:t>
      </w:r>
      <w:r/>
    </w:p>
    <w:p w14:paraId="7B612B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4DF4E8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Top contributing features (for interpretability)</w:t>
      </w:r>
      <w:r/>
    </w:p>
    <w:p w14:paraId="69F419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top_features: list[{name: str, contribution: float}]  # SHAP or similar, top 5</w:t>
      </w:r>
      <w:r/>
    </w:p>
    <w:p w14:paraId="6879DF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w:t>
      </w:r>
      <w:r/>
    </w:p>
    <w:p w14:paraId="63D776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**Why probability vector, not point estimate:** A point estimate of 0.65 is ambiguous — does it mean “65% chance of bullish” or “moderately bullish with high confidence”? The probability vector separates direction (which bucket has highest probability) fro</w:t>
      </w:r>
      <w:r>
        <w:rPr>
          <w:rFonts w:ascii="Times New Roman" w:hAnsi="Times New Roman" w:eastAsia="Times New Roman" w:cs="Times New Roman"/>
          <w:color w:val="000000"/>
          <w:sz w:val="24"/>
        </w:rPr>
        <w:t xml:space="preserve">m conviction (how peaked is the distribution) from magnitude (how strong is the predicted move). These are different axes and Layer 2 needs all three.</w:t>
      </w:r>
      <w:r/>
    </w:p>
    <w:p w14:paraId="5DEFE2A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**Model type candidates:** LightGBM with multi-class probability output. Alternatively, three binary classifiers (bullish vs. not, bearish vs. not, neutral vs. not) calibrated with Platt scaling. LightGBM is preferred for initial implementation — handles t</w:t>
      </w:r>
      <w:r>
        <w:rPr>
          <w:rFonts w:ascii="Times New Roman" w:hAnsi="Times New Roman" w:eastAsia="Times New Roman" w:cs="Times New Roman"/>
          <w:color w:val="000000"/>
          <w:sz w:val="24"/>
        </w:rPr>
        <w:t xml:space="preserve">abular features well, fast training, good feature interaction discovery, built-in feature importance.</w:t>
      </w:r>
      <w:r/>
    </w:p>
    <w:p w14:paraId="40DD51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**Special considerations:**</w:t>
      </w:r>
      <w:r/>
    </w:p>
    <w:p w14:paraId="2A3E756E">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L/S ratio will be null for ~30 days after collection starts (rolling z-score needs history). Model must handle null inputs gracefully — LightGBM handles missing values natively.</w:t>
      </w:r>
      <w:r/>
    </w:p>
    <w:p w14:paraId="52AE7F70">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Perp basis is dormant in EDSx (D11) but available in Forge. ML gets this for free — a signal EDSx explicitly chose not to use.</w:t>
      </w:r>
      <w:r/>
    </w:p>
    <w:p w14:paraId="6BD50F26">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Cross-sectional features (OI percentile rank) only meaningful across Coinalyze’s 121-instrument universe. Instruments outside this universe get null for these features.</w:t>
      </w:r>
      <w:r/>
    </w:p>
    <w:p w14:paraId="77B3A6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4.3 Model 2: Capital Flow Direction</w:t>
      </w:r>
      <w:r/>
    </w:p>
    <w:p w14:paraId="0FC8C5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**Objective:** Estimate net capital movement direction. Answers: “Is capital flowing into or out of crypto, and at what intensity?”</w:t>
      </w:r>
      <w:r/>
    </w:p>
    <w:p w14:paraId="7F9769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**Granularity:** Per-instrument where exchange flow data exists (18 instruments currently) + market-level aggregate for all instruments using stablecoin and ETF data.</w:t>
      </w:r>
      <w:r/>
    </w:p>
    <w:p w14:paraId="7A02D9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**Input features (from Layer 0):**</w:t>
      </w:r>
      <w:r/>
    </w:p>
    <w:p w14:paraId="1278982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|Feature |Category|Raw Source | |----------------------------------------------------------|--------|-----------------------------------------| |Exchange net flow z-scores (8h, 24h, 3d, 7d, 14d) |A |Explorer exchange flows | |Exchange flow momentum (rate o</w:t>
      </w:r>
      <w:r>
        <w:rPr>
          <w:rFonts w:ascii="Times New Roman" w:hAnsi="Times New Roman" w:eastAsia="Times New Roman" w:cs="Times New Roman"/>
          <w:color w:val="000000"/>
          <w:sz w:val="24"/>
        </w:rPr>
        <w:t xml:space="preserve">f change) |A |Explorer exchange flows | |Inflow/outflow ratio (rolling 24h, 7d) |C |Explorer exchange flows | |Whale transaction count z-score (24h, 7d) |A |Explorer whale data | |Whale net direction (large inflows vs. outflows) |C |Explorer whale data | |</w:t>
      </w:r>
      <w:r>
        <w:rPr>
          <w:rFonts w:ascii="Times New Roman" w:hAnsi="Times New Roman" w:eastAsia="Times New Roman" w:cs="Times New Roman"/>
          <w:color w:val="000000"/>
          <w:sz w:val="24"/>
        </w:rPr>
        <w:t xml:space="preserve">Exchange reserve change z-score |A |Explorer reserves | |Flow-price divergence (flow direction vs. price direction)|C |Explorer flows + OHLCV | |Stablecoin supply momentum (24h, 7d, 14d, 30d) |A |DeFiLlama stablecoin supply | |Stablecoin supply delta 24h |</w:t>
      </w:r>
      <w:r>
        <w:rPr>
          <w:rFonts w:ascii="Times New Roman" w:hAnsi="Times New Roman" w:eastAsia="Times New Roman" w:cs="Times New Roman"/>
          <w:color w:val="000000"/>
          <w:sz w:val="24"/>
        </w:rPr>
        <w:t xml:space="preserve">A |DeFiLlama stablecoin supply | |Stablecoin dominance trend |C |DeFiLlama supply + CoinPaprika market cap| |Stablecoin peg stress (binary) |D |DeFiLlama peg data | |ETF net flow z-score (7d, 14d, 30d) |A |SoSoValue (FRG-05) | |ETF flow momentum |A |SoSoVa</w:t>
      </w:r>
      <w:r>
        <w:rPr>
          <w:rFonts w:ascii="Times New Roman" w:hAnsi="Times New Roman" w:eastAsia="Times New Roman" w:cs="Times New Roman"/>
          <w:color w:val="000000"/>
          <w:sz w:val="24"/>
        </w:rPr>
        <w:t xml:space="preserve">lue | |ETF cumulative flow trend |A |SoSoValue | |Aggregate exchange flow (market-level) |F |Explorer all exchanges | |Volatility regime state |D |Cross-domain | |Macro regime state |D |FRED-derived |</w:t>
      </w:r>
      <w:r/>
    </w:p>
    <w:p w14:paraId="7BF7F0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**Estimated input dimension:** ~40-60 features (fewer than Derivatives due to sparser coverage).</w:t>
      </w:r>
      <w:r/>
    </w:p>
    <w:p w14:paraId="6691B9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**Output specification:**</w:t>
      </w:r>
      <w:r/>
    </w:p>
    <w:p w14:paraId="10F43C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CapitalFlowOutput {</w:t>
      </w:r>
      <w:r/>
    </w:p>
    <w:p w14:paraId="72D863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instrument_id: str            # or "MARKET" for aggregate</w:t>
      </w:r>
      <w:r/>
    </w:p>
    <w:p w14:paraId="0C1F0A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timestamp: datetime (UTC)</w:t>
      </w:r>
      <w:r/>
    </w:p>
    <w:p w14:paraId="44E8E3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model_version: str</w:t>
      </w:r>
      <w:r/>
    </w:p>
    <w:p w14:paraId="50C4B03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690D16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Flow direction estimate</w:t>
      </w:r>
      <w:r/>
    </w:p>
    <w:p w14:paraId="7C05678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p_inflow: float [0, 1]        # Probability of net capital inflow</w:t>
      </w:r>
      <w:r/>
    </w:p>
    <w:p w14:paraId="5183B7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p_neutral: float [0, 1]       # Probability of balanced flows</w:t>
      </w:r>
      <w:r/>
    </w:p>
    <w:p w14:paraId="741C54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p_outflow: float [0, 1]       # Probability of net capital outflow</w:t>
      </w:r>
      <w:r/>
    </w:p>
    <w:p w14:paraId="07DFD74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Constraint: p_inflow + p_neutral + p_outflow = 1.0</w:t>
      </w:r>
      <w:r/>
    </w:p>
    <w:p w14:paraId="0ED471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23414F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Magnitude estimate</w:t>
      </w:r>
      <w:r/>
    </w:p>
    <w:p w14:paraId="258334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flow_magnitude: float [0, 1]  # Intensity of flow signal</w:t>
      </w:r>
      <w:r/>
    </w:p>
    <w:p w14:paraId="45516C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5DCA76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Coverage and confidence</w:t>
      </w:r>
      <w:r/>
    </w:p>
    <w:p w14:paraId="4A6A73A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feature_coverage: float [0, 1]</w:t>
      </w:r>
      <w:r/>
    </w:p>
    <w:p w14:paraId="550EFC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prediction_entropy: float</w:t>
      </w:r>
      <w:r/>
    </w:p>
    <w:p w14:paraId="2A68A1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has_exchange_flow: bool        # Whether instrument-level exchange flow data exists</w:t>
      </w:r>
      <w:r/>
    </w:p>
    <w:p w14:paraId="31AF709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has_etf_flow: bool             # Whether ETF flow data is available</w:t>
      </w:r>
      <w:r/>
    </w:p>
    <w:p w14:paraId="08918F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7BF05A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top_features: list[{name: str, contribution: float}]</w:t>
      </w:r>
      <w:r/>
    </w:p>
    <w:p w14:paraId="306586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w:t>
      </w:r>
      <w:r/>
    </w:p>
    <w:p w14:paraId="7B2963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**Coverage challenge:** Exchange flow data exists for 18/157 instruments. For the remaining 139, this model operates on market-level features only (stablecoin dynamics, ETF flows, aggregate exchange activity). The </w:t>
      </w:r>
      <w:r>
        <w:rPr>
          <w:rFonts w:ascii="Courier New" w:hAnsi="Courier New" w:eastAsia="Courier New" w:cs="Courier New"/>
          <w:color w:val="000000"/>
          <w:sz w:val="20"/>
        </w:rPr>
        <w:t xml:space="preserve">has_exchange_flow</w:t>
      </w:r>
      <w:r>
        <w:rPr>
          <w:rFonts w:ascii="Times New Roman" w:hAnsi="Times New Roman" w:eastAsia="Times New Roman" w:cs="Times New Roman"/>
          <w:color w:val="000000"/>
          <w:sz w:val="24"/>
        </w:rPr>
        <w:t xml:space="preserve"> flag tells Layer 2 how much to trust this model’s per-instrument output.</w:t>
      </w:r>
      <w:r/>
    </w:p>
    <w:p w14:paraId="2E5B43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**Two-mode operation:** This model effectively has two operating modes:</w:t>
      </w:r>
      <w:r/>
    </w:p>
    <w:p w14:paraId="5573750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**Instrument-specific** (18 instruments with Explorer data): Full feature set, instrument-level prediction.</w:t>
      </w:r>
      <w:r/>
    </w:p>
    <w:p w14:paraId="6B650810">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**Market-level proxy** (remaining 139 instruments): Market-level features only, same output applied to all instruments with a confidence penalty.</w:t>
      </w:r>
      <w:r/>
    </w:p>
    <w:p w14:paraId="643BC8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is not a flaw — it’s an honest representation of data coverage. The model learns to differentiate between high-confidence instrument-level signals and low-confidence market-level proxies. Layer 2 uses the coverage flags to weight accordingly.</w:t>
      </w:r>
      <w:r/>
    </w:p>
    <w:p w14:paraId="4EE0A1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**Model type candidates:** LightGBM with multi-class output. Same rationale as Derivatives model.</w:t>
      </w:r>
      <w:r/>
    </w:p>
    <w:p w14:paraId="1A75006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4.4 Model 3: Macro Regime</w:t>
      </w:r>
      <w:r/>
    </w:p>
    <w:p w14:paraId="122E128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**Objective:** Classify the macro-financial environment and estimate regime transition probabilities. Answers: “What macro regime are we in, and is it changing?”</w:t>
      </w:r>
      <w:r/>
    </w:p>
    <w:p w14:paraId="01AD88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**Granularity:** Market-level only. One output applies to all instruments.</w:t>
      </w:r>
      <w:r/>
    </w:p>
    <w:p w14:paraId="24CDF2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**Input features (from Layer 0):**</w:t>
      </w:r>
      <w:r/>
    </w:p>
    <w:p w14:paraId="18CDD0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|Feature |Category|Raw Source | |-----------------------------------------------------------|--------|----------------------| |Yield curve slope (10Y-2Y spread level, z-score, momentum) |A, C |FRED | |Yield curve shape (10Y-3M spread, 30Y level) |A |FRED |</w:t>
      </w:r>
      <w:r>
        <w:rPr>
          <w:rFonts w:ascii="Times New Roman" w:hAnsi="Times New Roman" w:eastAsia="Times New Roman" w:cs="Times New Roman"/>
          <w:color w:val="000000"/>
          <w:sz w:val="24"/>
        </w:rPr>
        <w:t xml:space="preserve"> |Real rate estimate (10Y yield - CPI trailing) |C |FRED | |Real rate momentum |A |FRED derived | |DXY z-score (14d, 30d, 90d) |A |FRED | |DXY momentum |A |FRED | |Fed balance sheet change (weekly, monthly) |A |FRED WALCL | |Global liquidity composite (Fed</w:t>
      </w:r>
      <w:r>
        <w:rPr>
          <w:rFonts w:ascii="Times New Roman" w:hAnsi="Times New Roman" w:eastAsia="Times New Roman" w:cs="Times New Roman"/>
          <w:color w:val="000000"/>
          <w:sz w:val="24"/>
        </w:rPr>
        <w:t xml:space="preserve"> + ECB + BOJ balance sheets)|C |FRED | |Global liquidity momentum |A |FRED derived | |M2 growth rate |A |FRED M2SL | |VIX level, z-score, momentum |A |FRED VIXCLS | |VIX term structure proxy (VIX level vs 30d realized vol) |C |FRED + OHLCV derived | |S&amp;P 5</w:t>
      </w:r>
      <w:r>
        <w:rPr>
          <w:rFonts w:ascii="Times New Roman" w:hAnsi="Times New Roman" w:eastAsia="Times New Roman" w:cs="Times New Roman"/>
          <w:color w:val="000000"/>
          <w:sz w:val="24"/>
        </w:rPr>
        <w:t xml:space="preserve">00 returns (1d, 5d, 30d, 90d) |A |FRED SP500 | |S&amp;P 500 drawdown from 52w high |A |FRED SP500 | |Gold returns and momentum |A |FRED gold | |Oil returns and momentum |A |FRED oil | |BTC-SPX rolling correlation (30d, 90d) |G |FRED SP500 + OHLCV BTC| |BTC-Gol</w:t>
      </w:r>
      <w:r>
        <w:rPr>
          <w:rFonts w:ascii="Times New Roman" w:hAnsi="Times New Roman" w:eastAsia="Times New Roman" w:cs="Times New Roman"/>
          <w:color w:val="000000"/>
          <w:sz w:val="24"/>
        </w:rPr>
        <w:t xml:space="preserve">d rolling correlation (30d, 90d) |G |FRED gold + OHLCV BTC | |BTC-DXY rolling correlation (30d, 90d) |G |FRED DXY + OHLCV BTC | |Crypto total market cap momentum |A |CoinPaprika market cap| |Crypto vs equity relative momentum |C |Market cap + SP500 | |Empl</w:t>
      </w:r>
      <w:r>
        <w:rPr>
          <w:rFonts w:ascii="Times New Roman" w:hAnsi="Times New Roman" w:eastAsia="Times New Roman" w:cs="Times New Roman"/>
          <w:color w:val="000000"/>
          <w:sz w:val="24"/>
        </w:rPr>
        <w:t xml:space="preserve">oyment data trend (NFP, jobless claims) |A |FRED | |Inflation trend (CPI, Core PCE momentum) |A |FRED | |FOMC meeting proximity |E |Calendar | |CPI/NFP release proximity |E |Calendar | |Days since last regime transition |E |Self-referencing |</w:t>
      </w:r>
      <w:r/>
    </w:p>
    <w:p w14:paraId="085FD3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**Estimated input dimension:** ~80-100 features after window expansion.</w:t>
      </w:r>
      <w:r/>
    </w:p>
    <w:p w14:paraId="668278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**Output specification:**</w:t>
      </w:r>
      <w:r/>
    </w:p>
    <w:p w14:paraId="040D33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MacroRegimeOutput {</w:t>
      </w:r>
      <w:r/>
    </w:p>
    <w:p w14:paraId="5EF0DF7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timestamp: datetime (UTC)</w:t>
      </w:r>
      <w:r/>
    </w:p>
    <w:p w14:paraId="4BF169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model_version: str</w:t>
      </w:r>
      <w:r/>
    </w:p>
    <w:p w14:paraId="1F3B6E1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1000E7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Regime classification</w:t>
      </w:r>
      <w:r/>
    </w:p>
    <w:p w14:paraId="65884BD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regime: str                    # Primary regime label</w:t>
      </w:r>
      <w:r/>
    </w:p>
    <w:p w14:paraId="256A30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regime_probabilities: dict[str, float]  # Probability per regime state</w:t>
      </w:r>
      <w:r/>
    </w:p>
    <w:p w14:paraId="2E823D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Regime states (initial set, may evolve):</w:t>
      </w:r>
      <w:r/>
    </w:p>
    <w:p w14:paraId="2F4AE74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"risk_on_expansion"    — loose policy, rising assets, low vol</w:t>
      </w:r>
      <w:r/>
    </w:p>
    <w:p w14:paraId="16FBD1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"risk_on_tightening"   — policy shifting, assets still rising (late cycle)</w:t>
      </w:r>
      <w:r/>
    </w:p>
    <w:p w14:paraId="68831A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"risk_off_orderly"     — tightening biting, controlled selloff</w:t>
      </w:r>
      <w:r/>
    </w:p>
    <w:p w14:paraId="6C7646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"risk_off_crisis"      — acute stress, flight to safety</w:t>
      </w:r>
      <w:r/>
    </w:p>
    <w:p w14:paraId="27392D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"transitional"         — ambiguous, mixed signals</w:t>
      </w:r>
      <w:r/>
    </w:p>
    <w:p w14:paraId="474C11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"recovery"             — bottoming, early signs of reversal</w:t>
      </w:r>
      <w:r/>
    </w:p>
    <w:p w14:paraId="7C30FF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6BC9E0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Transition dynamics</w:t>
      </w:r>
      <w:r/>
    </w:p>
    <w:p w14:paraId="677AD7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regime_stability: float [0, 1]        # Probability of staying in current regime</w:t>
      </w:r>
      <w:r/>
    </w:p>
    <w:p w14:paraId="3CD073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transition_risk: dict[str, float]     # Probability of transitioning to each other regime</w:t>
      </w:r>
      <w:r/>
    </w:p>
    <w:p w14:paraId="5D61D0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regime_duration_days: int             # How long current regime has persisted</w:t>
      </w:r>
      <w:r/>
    </w:p>
    <w:p w14:paraId="774D52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0F7B27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Condition indicators</w:t>
      </w:r>
      <w:r/>
    </w:p>
    <w:p w14:paraId="21EA0B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liquidity_direction: float [-1, 1]    # Net liquidity injection (+) or withdrawal (-)</w:t>
      </w:r>
      <w:r/>
    </w:p>
    <w:p w14:paraId="31E1AE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dollar_pressure: float [-1, 1]        # Dollar strengthening (+) or weakening (-)</w:t>
      </w:r>
      <w:r/>
    </w:p>
    <w:p w14:paraId="1AF7D8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risk_appetite: float [-1, 1]          # Risk-on (+) or risk-off (-)</w:t>
      </w:r>
      <w:r/>
    </w:p>
    <w:p w14:paraId="278772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5E3853C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Confidence</w:t>
      </w:r>
      <w:r/>
    </w:p>
    <w:p w14:paraId="4518EB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feature_coverage: float [0, 1]</w:t>
      </w:r>
      <w:r/>
    </w:p>
    <w:p w14:paraId="1303BE1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prediction_entropy: float</w:t>
      </w:r>
      <w:r/>
    </w:p>
    <w:p w14:paraId="421124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45C02F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top_features: list[{name: str, contribution: float}]</w:t>
      </w:r>
      <w:r/>
    </w:p>
    <w:p w14:paraId="71F2B4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w:t>
      </w:r>
      <w:r/>
    </w:p>
    <w:p w14:paraId="4F4C06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**Six regime states** rather than three (risk-on/off/transitional) because the current three-state EDSx regime is too coarse. “Risk-on during QE infinity” and “risk-on during late-cycle tightening” have completely different implications for crypto. The mod</w:t>
      </w:r>
      <w:r>
        <w:rPr>
          <w:rFonts w:ascii="Times New Roman" w:hAnsi="Times New Roman" w:eastAsia="Times New Roman" w:cs="Times New Roman"/>
          <w:color w:val="000000"/>
          <w:sz w:val="24"/>
        </w:rPr>
        <w:t xml:space="preserve">el should distinguish them. Six states is a starting point — the actual number should be determined empirically (e.g., via BIC/AIC comparison of HMM with 4, 5, 6, 7 states).</w:t>
      </w:r>
      <w:r/>
    </w:p>
    <w:p w14:paraId="2C25C32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**Model type candidates:** This is the one domain where a Hidden Markov Model (HMM) or regime-switching model may outperform LightGBM. The objective is inherently sequential — regime transitions have persistence and path dependency that a stateless classif</w:t>
      </w:r>
      <w:r>
        <w:rPr>
          <w:rFonts w:ascii="Times New Roman" w:hAnsi="Times New Roman" w:eastAsia="Times New Roman" w:cs="Times New Roman"/>
          <w:color w:val="000000"/>
          <w:sz w:val="24"/>
        </w:rPr>
        <w:t xml:space="preserve">ier doesn’t capture. Consider a two-model approach: HMM for regime classification + LightGBM for transition probability estimation. Or a single LightGBM trained on regime labels generated by a simple rule-based regime classifier (bootstrap approach — itera</w:t>
      </w:r>
      <w:r>
        <w:rPr>
          <w:rFonts w:ascii="Times New Roman" w:hAnsi="Times New Roman" w:eastAsia="Times New Roman" w:cs="Times New Roman"/>
          <w:color w:val="000000"/>
          <w:sz w:val="24"/>
        </w:rPr>
        <w:t xml:space="preserve">te as data accumulates).</w:t>
      </w:r>
      <w:r/>
    </w:p>
    <w:p w14:paraId="56B376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 frequency challenge:** Macro data is mixed frequency — daily (yields, VIX, DXY), weekly (balance sheets, jobless claims), monthly (CPI, NFP, M2), quarterly (GDP). The model must handle mixed-frequency inputs. Standard approach: carry forward stale v</w:t>
      </w:r>
      <w:r>
        <w:rPr>
          <w:rFonts w:ascii="Times New Roman" w:hAnsi="Times New Roman" w:eastAsia="Times New Roman" w:cs="Times New Roman"/>
          <w:color w:val="000000"/>
          <w:sz w:val="24"/>
        </w:rPr>
        <w:t xml:space="preserve">alues with a staleness indicator feature.</w:t>
      </w:r>
      <w:r/>
    </w:p>
    <w:p w14:paraId="233986B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**Cold start path:** Even before FRG-10, substantial macro history exists in EDS and is downloadable from FRED going back decades. This model has the richest historical training set of any Layer 1 model. It could potentially be the first model trained, usi</w:t>
      </w:r>
      <w:r>
        <w:rPr>
          <w:rFonts w:ascii="Times New Roman" w:hAnsi="Times New Roman" w:eastAsia="Times New Roman" w:cs="Times New Roman"/>
          <w:color w:val="000000"/>
          <w:sz w:val="24"/>
        </w:rPr>
        <w:t xml:space="preserve">ng purely historical FRED data + BTC/ETH OHLCV.</w:t>
      </w:r>
      <w:r/>
    </w:p>
    <w:p w14:paraId="6A5D33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4.5 Model 4: DeFi Stress</w:t>
      </w:r>
      <w:r/>
    </w:p>
    <w:p w14:paraId="39A209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**Objective:** Detect systemic DeFi stress conditions. Answers: “Is the DeFi ecosystem under stress that could cascade into broader crypto markets?”</w:t>
      </w:r>
      <w:r/>
    </w:p>
    <w:p w14:paraId="41C8F0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**Granularity:** Market-level stress indicator + per-protocol health scores.</w:t>
      </w:r>
      <w:r/>
    </w:p>
    <w:p w14:paraId="7317D01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**Input features (from Layer 0):**</w:t>
      </w:r>
      <w:r/>
    </w:p>
    <w:p w14:paraId="5003A5C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|Feature |Category|Raw Source | |-----------------------------------------------------|--------|-----------------------| |Aggregate TVL momentum (7d, 14d, 30d) |A |DeFiLlama TVL | |TVL concentration (top 5 protocols as % of total) |F |DeFiLlama TVL | |Prot</w:t>
      </w:r>
      <w:r>
        <w:rPr>
          <w:rFonts w:ascii="Times New Roman" w:hAnsi="Times New Roman" w:eastAsia="Times New Roman" w:cs="Times New Roman"/>
          <w:color w:val="000000"/>
          <w:sz w:val="24"/>
        </w:rPr>
        <w:t xml:space="preserve">ocol-level TVL z-scores and momentum |A |DeFiLlama TVL | |Revenue-to-TVL ratios per protocol |C |DeFiLlama revenue + TVL| |Revenue momentum per protocol |A |DeFiLlama revenue | |Aggregate revenue trend |F |DeFiLlama revenue | |Peg deviation severity per st</w:t>
      </w:r>
      <w:r>
        <w:rPr>
          <w:rFonts w:ascii="Times New Roman" w:hAnsi="Times New Roman" w:eastAsia="Times New Roman" w:cs="Times New Roman"/>
          <w:color w:val="000000"/>
          <w:sz w:val="24"/>
        </w:rPr>
        <w:t xml:space="preserve">ablecoin |A |DeFiLlama peg data | |Peg stress index (market-level) |F |DeFiLlama peg data | |Stablecoin depegging count (how many below threshold)|F |DeFiLlama peg data | |Lending borrow rate z-scores (per protocol) |A |DeFiLlama yields | |Lending borrow r</w:t>
      </w:r>
      <w:r>
        <w:rPr>
          <w:rFonts w:ascii="Times New Roman" w:hAnsi="Times New Roman" w:eastAsia="Times New Roman" w:cs="Times New Roman"/>
          <w:color w:val="000000"/>
          <w:sz w:val="24"/>
        </w:rPr>
        <w:t xml:space="preserve">ate spikes (rate of change) |A |DeFiLlama yields | |Borrow-supply rate spread |C |DeFiLlama yields | |Lending utilization rate (if available) |C |DeFiLlama yields | |DEX volume z-score (7d, 14d) |A |DeFiLlama DEX volume | |DEX volume momentum |A |DeFiLlama</w:t>
      </w:r>
      <w:r>
        <w:rPr>
          <w:rFonts w:ascii="Times New Roman" w:hAnsi="Times New Roman" w:eastAsia="Times New Roman" w:cs="Times New Roman"/>
          <w:color w:val="000000"/>
          <w:sz w:val="24"/>
        </w:rPr>
        <w:t xml:space="preserve"> DEX volume | |DEX volume / TVL ratio (capital efficiency) |C |DeFiLlama | |Protocol diversity (count of protocols above min TVL)|F |DeFiLlama TVL | |Cross-protocol correlation (TVL changes) |G |DeFiLlama TVL | |Volatility regime state |D |Cross-domain |</w:t>
      </w:r>
      <w:r/>
    </w:p>
    <w:p w14:paraId="5EF24A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**Estimated input dimension:** ~50-70 features.</w:t>
      </w:r>
      <w:r/>
    </w:p>
    <w:p w14:paraId="370C077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**Output specification:**</w:t>
      </w:r>
      <w:r/>
    </w:p>
    <w:p w14:paraId="248DAE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DeFiStressOutput {</w:t>
      </w:r>
      <w:r/>
    </w:p>
    <w:p w14:paraId="16CFAD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timestamp: datetime (UTC)</w:t>
      </w:r>
      <w:r/>
    </w:p>
    <w:p w14:paraId="5505D0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model_version: str</w:t>
      </w:r>
      <w:r/>
    </w:p>
    <w:p w14:paraId="768C6C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631F4D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Stress level</w:t>
      </w:r>
      <w:r/>
    </w:p>
    <w:p w14:paraId="4BC05C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p_normal: float [0, 1]         # DeFi operating normally</w:t>
      </w:r>
      <w:r/>
    </w:p>
    <w:p w14:paraId="654FC1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p_elevated: float [0, 1]       # Stress indicators present, not critical</w:t>
      </w:r>
      <w:r/>
    </w:p>
    <w:p w14:paraId="1356DF7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p_critical: float [0, 1]       # Systemic stress, cascade risk</w:t>
      </w:r>
      <w:r/>
    </w:p>
    <w:p w14:paraId="13F995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Constraint: p_normal + p_elevated + p_critical = 1.0</w:t>
      </w:r>
      <w:r/>
    </w:p>
    <w:p w14:paraId="4C55AD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101390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Stress decomposition</w:t>
      </w:r>
      <w:r/>
    </w:p>
    <w:p w14:paraId="48D2C1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peg_stress: float [0, 1]       # Stablecoin peg-related stress</w:t>
      </w:r>
      <w:r/>
    </w:p>
    <w:p w14:paraId="27CF01F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liquidity_stress: float [0, 1] # TVL withdrawal / lending market stress</w:t>
      </w:r>
      <w:r/>
    </w:p>
    <w:p w14:paraId="56732D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activity_stress: float [0, 1]  # Abnormal volume / utilization</w:t>
      </w:r>
      <w:r/>
    </w:p>
    <w:p w14:paraId="77CC8E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291C45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Individual protocol flags</w:t>
      </w:r>
      <w:r/>
    </w:p>
    <w:p w14:paraId="210217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distressed_protocols: list[str] # Protocols showing stress signals</w:t>
      </w:r>
      <w:r/>
    </w:p>
    <w:p w14:paraId="34AE63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2E982B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Confidence</w:t>
      </w:r>
      <w:r/>
    </w:p>
    <w:p w14:paraId="1EB46F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feature_coverage: float [0, 1]</w:t>
      </w:r>
      <w:r/>
    </w:p>
    <w:p w14:paraId="24AB7D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prediction_entropy: float</w:t>
      </w:r>
      <w:r/>
    </w:p>
    <w:p w14:paraId="1781EA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2C6E8F3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top_features: list[{name: str, contribution: float}]</w:t>
      </w:r>
      <w:r/>
    </w:p>
    <w:p w14:paraId="66092B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w:t>
      </w:r>
      <w:r/>
    </w:p>
    <w:p w14:paraId="2DEC55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**Model type candidates:** Isolation Forest or One-Class SVM for anomaly detection (stress = anomaly from normal operations), combined with a LightGBM classifier trained on labeled stress events. The challenge is labeled data — DeFi stress events (Terra/Lu</w:t>
      </w:r>
      <w:r>
        <w:rPr>
          <w:rFonts w:ascii="Times New Roman" w:hAnsi="Times New Roman" w:eastAsia="Times New Roman" w:cs="Times New Roman"/>
          <w:color w:val="000000"/>
          <w:sz w:val="24"/>
        </w:rPr>
        <w:t xml:space="preserve">na, FTX cascade, stablecoin depegs) are rare. Consider semi-supervised approaches: train normality model on “calm” periods, flag deviations.</w:t>
      </w:r>
      <w:r/>
    </w:p>
    <w:p w14:paraId="455EB51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**Why this model matters despite being “just” DeFi:** DeFi stress events cascade. Terra/Luna didn’t just affect UST holders — it propagated through lending protocols, triggered cascading liquidations, and crashed the broader market. The DeFi Stress model’s</w:t>
      </w:r>
      <w:r>
        <w:rPr>
          <w:rFonts w:ascii="Times New Roman" w:hAnsi="Times New Roman" w:eastAsia="Times New Roman" w:cs="Times New Roman"/>
          <w:color w:val="000000"/>
          <w:sz w:val="24"/>
        </w:rPr>
        <w:t xml:space="preserve"> job is early detection of these cascades, ideally before they propagate.</w:t>
      </w:r>
      <w:r/>
    </w:p>
    <w:p w14:paraId="57CC1E7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4.6 Model 5: Volatility Regime</w:t>
      </w:r>
      <w:r/>
    </w:p>
    <w:p w14:paraId="358E0A4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**Objective:** Classify the volatility environment and estimate expected volatility magnitude. Answers: “What volatility regime are we in, how intense, and is it changing?”</w:t>
      </w:r>
      <w:r/>
    </w:p>
    <w:p w14:paraId="149A81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**Granularity:** Per-instrument + market-level.</w:t>
      </w:r>
      <w:r/>
    </w:p>
    <w:p w14:paraId="61C304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**Input features (from Layer 0):**</w:t>
      </w:r>
      <w:r/>
    </w:p>
    <w:p w14:paraId="6916DA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|Feature |Category|Raw Source | |-------------------------------------------------------|--------|---------------------------| |Realized volatility (1d, 3d, 7d, 14d, 30d, 90d) |A |OHLCV returns | |Volatility of volatility (rolling std of daily vol) |A |OHL</w:t>
      </w:r>
      <w:r>
        <w:rPr>
          <w:rFonts w:ascii="Times New Roman" w:hAnsi="Times New Roman" w:eastAsia="Times New Roman" w:cs="Times New Roman"/>
          <w:color w:val="000000"/>
          <w:sz w:val="24"/>
        </w:rPr>
        <w:t xml:space="preserve">CV derived | |Return distribution kurtosis (7d, 30d rolling) |A |OHLCV returns | |Return distribution skewness (7d, 30d rolling) |A |OHLCV returns | |Intraday range (high-low / close) |A |OHLCV | |Volume z-scores (24h, 7d relative to 30d avg) |A |OHLCV vol</w:t>
      </w:r>
      <w:r>
        <w:rPr>
          <w:rFonts w:ascii="Times New Roman" w:hAnsi="Times New Roman" w:eastAsia="Times New Roman" w:cs="Times New Roman"/>
          <w:color w:val="000000"/>
          <w:sz w:val="24"/>
        </w:rPr>
        <w:t xml:space="preserve">ume | |Volume-volatility correlation (rolling) |G |OHLCV | |VIX level and momentum |A |FRED VIXCLS | |VIX-crypto vol ratio |C |FRED + OHLCV derived | |Funding rate volatility (rolling std of funding) |A |Coinalyze | |Liquidation intensity z-score |C |Coina</w:t>
      </w:r>
      <w:r>
        <w:rPr>
          <w:rFonts w:ascii="Times New Roman" w:hAnsi="Times New Roman" w:eastAsia="Times New Roman" w:cs="Times New Roman"/>
          <w:color w:val="000000"/>
          <w:sz w:val="24"/>
        </w:rPr>
        <w:t xml:space="preserve">lyze liquidations + OI| |Liquidation clustering frequency |A |Coinalyze liquidations | |OI change volatility |A |Coinalyze OI | |Cross-instrument correlation (rolling 30d, 90d) |G |OHLCV multi-instrument | |Correlation dispersion (std of pairwise correlati</w:t>
      </w:r>
      <w:r>
        <w:rPr>
          <w:rFonts w:ascii="Times New Roman" w:hAnsi="Times New Roman" w:eastAsia="Times New Roman" w:cs="Times New Roman"/>
          <w:color w:val="000000"/>
          <w:sz w:val="24"/>
        </w:rPr>
        <w:t xml:space="preserve">ons) |F |OHLCV multi-instrument | |Market breadth (% of instruments with positive returns)|F |OHLCV | |Macro regime state |D |Macro model features | |Volume profile (current vs. historical percentile) |B |OHLCV |</w:t>
      </w:r>
      <w:r/>
    </w:p>
    <w:p w14:paraId="5E1589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**Estimated input dimension:** ~60-80 features per instrument.</w:t>
      </w:r>
      <w:r/>
    </w:p>
    <w:p w14:paraId="19BE0F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**Output specification:**</w:t>
      </w:r>
      <w:r/>
    </w:p>
    <w:p w14:paraId="4204B0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VolatilityRegimeOutput {</w:t>
      </w:r>
      <w:r/>
    </w:p>
    <w:p w14:paraId="504DF8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instrument_id: str            # or "MARKET" for aggregate</w:t>
      </w:r>
      <w:r/>
    </w:p>
    <w:p w14:paraId="53490A8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timestamp: datetime (UTC)</w:t>
      </w:r>
      <w:r/>
    </w:p>
    <w:p w14:paraId="5724BB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model_version: str</w:t>
      </w:r>
      <w:r/>
    </w:p>
    <w:p w14:paraId="06C765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476053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Regime classification</w:t>
      </w:r>
      <w:r/>
    </w:p>
    <w:p w14:paraId="6C7BDD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regime: str                    # Primary volatility regime</w:t>
      </w:r>
      <w:r/>
    </w:p>
    <w:p w14:paraId="77CDF6B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regime_probabilities: dict[str, float]</w:t>
      </w:r>
      <w:r/>
    </w:p>
    <w:p w14:paraId="0CDCFF2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Regime states:</w:t>
      </w:r>
      <w:r/>
    </w:p>
    <w:p w14:paraId="20FD98B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"compressed"   — Low vol, mean-reverting, breakout likely building</w:t>
      </w:r>
      <w:r/>
    </w:p>
    <w:p w14:paraId="02745F5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"normal"       — Typical volatility range</w:t>
      </w:r>
      <w:r/>
    </w:p>
    <w:p w14:paraId="4F6F34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"elevated"     — Above-average vol, trending conditions likely</w:t>
      </w:r>
      <w:r/>
    </w:p>
    <w:p w14:paraId="2EB1AD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"extreme"      — Crisis-level vol, liquidation cascades, gap risk</w:t>
      </w:r>
      <w:r/>
    </w:p>
    <w:p w14:paraId="646479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723B387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Magnitude estimates</w:t>
      </w:r>
      <w:r/>
    </w:p>
    <w:p w14:paraId="19388B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expected_daily_vol: float      # Predicted annualized daily volatility</w:t>
      </w:r>
      <w:r/>
    </w:p>
    <w:p w14:paraId="112125F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vol_direction: float [-1, 1]   # Volatility expanding (+) or compressing (-)</w:t>
      </w:r>
      <w:r/>
    </w:p>
    <w:p w14:paraId="755CDC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vol_persistence: float [0, 1]  # Probability current vol level persists</w:t>
      </w:r>
      <w:r/>
    </w:p>
    <w:p w14:paraId="10EB06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0A5D40D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Risk metrics</w:t>
      </w:r>
      <w:r/>
    </w:p>
    <w:p w14:paraId="264FD57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tail_risk: float [0, 1]       # Probability of &gt;3 sigma move in next 24h</w:t>
      </w:r>
      <w:r/>
    </w:p>
    <w:p w14:paraId="60EC66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asymmetry: float [-1, 1]      # Negative = downside tail heavier, positive = upside</w:t>
      </w:r>
      <w:r/>
    </w:p>
    <w:p w14:paraId="54BF85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493559F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 Confidence</w:t>
      </w:r>
      <w:r/>
    </w:p>
    <w:p w14:paraId="57E68E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feature_coverage: float [0, 1]</w:t>
      </w:r>
      <w:r/>
    </w:p>
    <w:p w14:paraId="4DFD31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prediction_entropy: float</w:t>
      </w:r>
      <w:r/>
    </w:p>
    <w:p w14:paraId="12B1E2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sz w:val="24"/>
        </w:rPr>
      </w:r>
      <w:r/>
    </w:p>
    <w:p w14:paraId="0B4374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top_features: list[{name: str, contribution: float}]</w:t>
      </w:r>
      <w:r/>
    </w:p>
    <w:p w14:paraId="6C983CE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w:t>
      </w:r>
      <w:r/>
    </w:p>
    <w:p w14:paraId="779E37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**Model type candidates:** LightGBM for regime classification. For the magnitude estimates, a quantile regression approach — predict the 10th, 50th, and 90th percentile of next-period volatility rather than a point estimate. This naturally captures the asy</w:t>
      </w:r>
      <w:r>
        <w:rPr>
          <w:rFonts w:ascii="Times New Roman" w:hAnsi="Times New Roman" w:eastAsia="Times New Roman" w:cs="Times New Roman"/>
          <w:color w:val="000000"/>
          <w:sz w:val="24"/>
        </w:rPr>
        <w:t xml:space="preserve">mmetry and tail risk.</w:t>
      </w:r>
      <w:r/>
    </w:p>
    <w:p w14:paraId="5E413F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**Cross-domain nature:** Volatility regime is the most cross-domain Layer 1 model. It consumes features from derivatives (liquidation patterns drive vol), macro (VIX, cross-asset), and price data. This is by design — volatility is a property of the entire </w:t>
      </w:r>
      <w:r>
        <w:rPr>
          <w:rFonts w:ascii="Times New Roman" w:hAnsi="Times New Roman" w:eastAsia="Times New Roman" w:cs="Times New Roman"/>
          <w:color w:val="000000"/>
          <w:sz w:val="24"/>
        </w:rPr>
        <w:t xml:space="preserve">market, not one domain.</w:t>
      </w:r>
      <w:r/>
    </w:p>
    <w:p w14:paraId="0E5C5A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**Relationship to other Layer 1 models:** The Volatility model’s output conditions how Layer 2 should interpret the other four models. A bullish Derivatives Pressure signal during compressed volatility has different implications than during extreme volatil</w:t>
      </w:r>
      <w:r>
        <w:rPr>
          <w:rFonts w:ascii="Times New Roman" w:hAnsi="Times New Roman" w:eastAsia="Times New Roman" w:cs="Times New Roman"/>
          <w:color w:val="000000"/>
          <w:sz w:val="24"/>
        </w:rPr>
        <w:t xml:space="preserve">ity. This is Layer 2’s job to learn, but the Volatility model’s regime and magnitude outputs are critical inputs.</w:t>
      </w:r>
      <w:r/>
    </w:p>
    <w:p w14:paraId="66048B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45F4F9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5. Forge Gap Analysis</w:t>
      </w:r>
      <w:r/>
    </w:p>
    <w:p w14:paraId="7D20D1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Consolidated view of all data requirements against Forge’s current state.</w:t>
      </w:r>
      <w:r/>
    </w:p>
    <w:p w14:paraId="18B3A4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5.1 Coverage Matrix</w:t>
      </w:r>
      <w:r/>
    </w:p>
    <w:p w14:paraId="3CB8DDB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|Raw Data Category|Required Items|Currently Collecting|In Progress|Designed (FRG-05/10)|New Requirement |Gap (Deferred) | |-----------------|--------------|--------------------|-----------|--------------------|-------------------------------|--------------</w:t>
      </w:r>
      <w:r>
        <w:rPr>
          <w:rFonts w:ascii="Times New Roman" w:hAnsi="Times New Roman" w:eastAsia="Times New Roman" w:cs="Times New Roman"/>
          <w:color w:val="000000"/>
          <w:sz w:val="24"/>
        </w:rPr>
        <w:t xml:space="preserve">--------------| |Derivatives |7 |5 |1 (L/S) |0 |0 |1 (CVD — evaluate) | |Exchange Flows |6 |3 |0 |0 |0 |3 (BTC flows, arb, spot vol)| |Stablecoins |4 |2 |0 |0 |0 |1 (mint/burn — evaluate) | |DeFi |7 |2 |0 |0 |3 (lending, DEX vol, DEX depth)|2 (bridges, gov</w:t>
      </w:r>
      <w:r>
        <w:rPr>
          <w:rFonts w:ascii="Times New Roman" w:hAnsi="Times New Roman" w:eastAsia="Times New Roman" w:cs="Times New Roman"/>
          <w:color w:val="000000"/>
          <w:sz w:val="24"/>
        </w:rPr>
        <w:t xml:space="preserve">ernance) | |Macro / TradFi |24+ |0 |0 |~8 (FRG-10 core) |14+ (FRG-10 expansion) |1-2 (BOJ/PBOC) | |ETF |1 |0 |0 |1 (FRG-05) |0 |0 | |Price / Volume |3 |3 (via EDS) |0 |0 |0 |0 | |Metadata |3 |1 (partial) |0 |0 |2 (sector, calendar) |0 | |**TOTAL** |**~55**</w:t>
      </w:r>
      <w:r>
        <w:rPr>
          <w:rFonts w:ascii="Times New Roman" w:hAnsi="Times New Roman" w:eastAsia="Times New Roman" w:cs="Times New Roman"/>
          <w:color w:val="000000"/>
          <w:sz w:val="24"/>
        </w:rPr>
        <w:t xml:space="preserve"> |**~16** |**1** |**~9** |**~19** |**~8** |</w:t>
      </w:r>
      <w:r/>
    </w:p>
    <w:p w14:paraId="3EAF0C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5.2 Priority Assessment</w:t>
      </w:r>
      <w:r/>
    </w:p>
    <w:p w14:paraId="4D9EA4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**Blocking ML training (must have before training begins):**</w:t>
      </w:r>
      <w:r/>
    </w:p>
    <w:p w14:paraId="780B1E16">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All currently collecting data → ✅ Already accumulating history</w:t>
      </w:r>
      <w:r/>
    </w:p>
    <w:p w14:paraId="61BC2D89">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L/S ratio → 🔨 In progress</w:t>
      </w:r>
      <w:r/>
    </w:p>
    <w:p w14:paraId="7F045887">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FRG-10 FRED data (expanded scope) → Design exists, needs build</w:t>
      </w:r>
      <w:r/>
    </w:p>
    <w:p w14:paraId="2ECEA860">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FRG-05 ETF flows → Design exists, needs build</w:t>
      </w:r>
      <w:r/>
    </w:p>
    <w:p w14:paraId="211891E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**Significantly improves model quality (high priority):**</w:t>
      </w:r>
      <w:r/>
    </w:p>
    <w:p w14:paraId="14582737">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DeFiLlama lending rates → New scope for existing agent</w:t>
      </w:r>
      <w:r/>
    </w:p>
    <w:p w14:paraId="4A44E4FE">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DeFiLlama DEX volume → New scope for existing agent</w:t>
      </w:r>
      <w:r/>
    </w:p>
    <w:p w14:paraId="2D179CE6">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VIX, gold, oil, S&amp;P 500 → FRED series (zero marginal cost with FRG-10)</w:t>
      </w:r>
      <w:r/>
    </w:p>
    <w:p w14:paraId="748CA627">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Global liquidity (Fed/ECB balance sheets) → FRED series</w:t>
      </w:r>
      <w:r/>
    </w:p>
    <w:p w14:paraId="40011B33">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Instrument sector classification → Metadata, one-time setup</w:t>
      </w:r>
      <w:r/>
    </w:p>
    <w:p w14:paraId="222C34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**Nice to have (collect when convenient):**</w:t>
      </w:r>
      <w:r/>
    </w:p>
    <w:p w14:paraId="083186D4">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Coinalyze CVD (if free tier exposes it)</w:t>
      </w:r>
      <w:r/>
    </w:p>
    <w:p w14:paraId="5495E1FD">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Stablecoin mint/burn events</w:t>
      </w:r>
      <w:r/>
    </w:p>
    <w:p w14:paraId="4B02B82F">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DEX liquidity pool depth</w:t>
      </w:r>
      <w:r/>
    </w:p>
    <w:p w14:paraId="5ACA3C8A">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Calendar/event data (small, static)</w:t>
      </w:r>
      <w:r/>
    </w:p>
    <w:p w14:paraId="76F445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**Accepted gaps (don’t pursue):**</w:t>
      </w:r>
      <w:r/>
    </w:p>
    <w:p w14:paraId="06B89555">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BTC on-chain flows (no free source)</w:t>
      </w:r>
      <w:r/>
    </w:p>
    <w:p w14:paraId="3F85EE9F">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Order book depth (U6, too expensive/complex)</w:t>
      </w:r>
      <w:r/>
    </w:p>
    <w:p w14:paraId="1CB9384B">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Implied volatility (paid, not blocking)</w:t>
      </w:r>
      <w:r/>
    </w:p>
    <w:p w14:paraId="26602A0A">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Bridge flows (noisy, low priority)</w:t>
      </w:r>
      <w:r/>
    </w:p>
    <w:p w14:paraId="323DB9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12A4FB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6. Forge Expansion Plan</w:t>
      </w:r>
      <w:r/>
    </w:p>
    <w:p w14:paraId="2DFF4C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Concrete actions mapped to existing pipeline structure.</w:t>
      </w:r>
      <w:r/>
    </w:p>
    <w:p w14:paraId="2988912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6.1 FRG-10 Scope Expansion</w:t>
      </w:r>
      <w:r/>
    </w:p>
    <w:p w14:paraId="345323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**Current FRG-10 design covers:** Fed funds rate, 10Y yield, DXY, CPI, M2, and basic domestic macro.</w:t>
      </w:r>
      <w:r/>
    </w:p>
    <w:p w14:paraId="30B1B6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**Expanded scope for ML:**</w:t>
      </w:r>
      <w:r/>
    </w:p>
    <w:p w14:paraId="714B0E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Add 14+ additional FRED series covering yield curve shape, global liquidity, labor market, cross-asset prices, and volatility indicators. Full series list in Section 3.4.1.</w:t>
      </w:r>
      <w:r/>
    </w:p>
    <w:p w14:paraId="3994B6F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**Effort impact:** Minimal. Same API, same agent architecture, same collection cadence. The FRED agent configuration gains more series IDs. No new infrastructure.</w:t>
      </w:r>
      <w:r/>
    </w:p>
    <w:p w14:paraId="5C29A3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**Convention:** D29 (trade_date + observed_at as session close UTC) applies to all daily-cadence FRED series.</w:t>
      </w:r>
      <w:r/>
    </w:p>
    <w:p w14:paraId="2389C6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6.2 DeFiLlama Agent Expansion</w:t>
      </w:r>
      <w:r/>
    </w:p>
    <w:p w14:paraId="6719E3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**Current scope:** Stablecoin supply/peg, protocol TVL/revenue.</w:t>
      </w:r>
      <w:r/>
    </w:p>
    <w:p w14:paraId="6661D0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**New endpoints to add:**</w:t>
      </w:r>
      <w:r/>
    </w:p>
    <w:p w14:paraId="3D065B78">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/yields</w:t>
      </w:r>
      <w:r>
        <w:rPr>
          <w:rFonts w:ascii="Times New Roman" w:hAnsi="Times New Roman" w:eastAsia="Times New Roman" w:cs="Times New Roman"/>
          <w:color w:val="000000"/>
          <w:sz w:val="24"/>
        </w:rPr>
        <w:t xml:space="preserve"> or </w:t>
      </w:r>
      <w:r>
        <w:rPr>
          <w:rFonts w:ascii="Courier New" w:hAnsi="Courier New" w:eastAsia="Courier New" w:cs="Courier New"/>
          <w:color w:val="000000"/>
          <w:sz w:val="20"/>
        </w:rPr>
        <w:t xml:space="preserve">/pools</w:t>
      </w:r>
      <w:r>
        <w:rPr>
          <w:rFonts w:ascii="Times New Roman" w:hAnsi="Times New Roman" w:eastAsia="Times New Roman" w:cs="Times New Roman"/>
          <w:color w:val="000000"/>
          <w:sz w:val="24"/>
        </w:rPr>
        <w:t xml:space="preserve"> → Lending protocol borrow/supply APY</w:t>
      </w:r>
      <w:r/>
    </w:p>
    <w:p w14:paraId="0DF17AAD">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/overview/dexs</w:t>
      </w:r>
      <w:r>
        <w:rPr>
          <w:rFonts w:ascii="Times New Roman" w:hAnsi="Times New Roman" w:eastAsia="Times New Roman" w:cs="Times New Roman"/>
          <w:color w:val="000000"/>
          <w:sz w:val="24"/>
        </w:rPr>
        <w:t xml:space="preserve"> → DEX volume aggregates</w:t>
      </w:r>
      <w:r/>
    </w:p>
    <w:p w14:paraId="2C378939">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/overview/dexs/{chain}</w:t>
      </w:r>
      <w:r>
        <w:rPr>
          <w:rFonts w:ascii="Times New Roman" w:hAnsi="Times New Roman" w:eastAsia="Times New Roman" w:cs="Times New Roman"/>
          <w:color w:val="000000"/>
          <w:sz w:val="24"/>
        </w:rPr>
        <w:t xml:space="preserve"> → Per-chain DEX volume</w:t>
      </w:r>
      <w:r/>
    </w:p>
    <w:p w14:paraId="5A2E21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**Effort impact:** Medium. New API endpoints, new Forge tables (or new columns in existing tables), new data parsing. But same source, same agent container, same auth (none — DeFiLlama is keyless).</w:t>
      </w:r>
      <w:r/>
    </w:p>
    <w:p w14:paraId="5E57A1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**New pipeline item:** FRG-XX (DeFiLlama expansion for lending + DEX data).</w:t>
      </w:r>
      <w:r/>
    </w:p>
    <w:p w14:paraId="65A5AE6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6.3 Instrument Metadata Enrichment</w:t>
      </w:r>
      <w:r/>
    </w:p>
    <w:p w14:paraId="7A7B9C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**Action:** Add </w:t>
      </w:r>
      <w:r>
        <w:rPr>
          <w:rFonts w:ascii="Courier New" w:hAnsi="Courier New" w:eastAsia="Courier New" w:cs="Courier New"/>
          <w:color w:val="000000"/>
          <w:sz w:val="20"/>
        </w:rPr>
        <w:t xml:space="preserve">sector</w:t>
      </w:r>
      <w:r>
        <w:rPr>
          <w:rFonts w:ascii="Times New Roman" w:hAnsi="Times New Roman" w:eastAsia="Times New Roman" w:cs="Times New Roman"/>
          <w:color w:val="000000"/>
          <w:sz w:val="24"/>
        </w:rPr>
        <w:t xml:space="preserve"> and </w:t>
      </w:r>
      <w:r>
        <w:rPr>
          <w:rFonts w:ascii="Courier New" w:hAnsi="Courier New" w:eastAsia="Courier New" w:cs="Courier New"/>
          <w:color w:val="000000"/>
          <w:sz w:val="20"/>
        </w:rPr>
        <w:t xml:space="preserve">category</w:t>
      </w:r>
      <w:r>
        <w:rPr>
          <w:rFonts w:ascii="Times New Roman" w:hAnsi="Times New Roman" w:eastAsia="Times New Roman" w:cs="Times New Roman"/>
          <w:color w:val="000000"/>
          <w:sz w:val="24"/>
        </w:rPr>
        <w:t xml:space="preserve"> columns to </w:t>
      </w:r>
      <w:r>
        <w:rPr>
          <w:rFonts w:ascii="Courier New" w:hAnsi="Courier New" w:eastAsia="Courier New" w:cs="Courier New"/>
          <w:color w:val="000000"/>
          <w:sz w:val="20"/>
        </w:rPr>
        <w:t xml:space="preserve">forge.assets</w:t>
      </w:r>
      <w:r>
        <w:rPr>
          <w:rFonts w:ascii="Times New Roman" w:hAnsi="Times New Roman" w:eastAsia="Times New Roman" w:cs="Times New Roman"/>
          <w:color w:val="000000"/>
          <w:sz w:val="24"/>
        </w:rPr>
        <w:t xml:space="preserve">. Populate from CoinPaprika taxonomy. Maintain manual override capability for instruments CoinPaprika miscategorizes.</w:t>
      </w:r>
      <w:r/>
    </w:p>
    <w:p w14:paraId="3EB0D7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**Categories needed (minimum):** L1/Infrastructure, L2/Scaling, DeFi, Stablecoin, Exchange Token, Meme, Privacy, Storage, Gaming/Metaverse, AI/Compute, Oracle, Cross-chain.</w:t>
      </w:r>
      <w:r/>
    </w:p>
    <w:p w14:paraId="2F713D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**Effort impact:** Small. Schema change to existing table + one-time data population script.</w:t>
      </w:r>
      <w:r/>
    </w:p>
    <w:p w14:paraId="20D124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6.4 Calendar / Event Data</w:t>
      </w:r>
      <w:r/>
    </w:p>
    <w:p w14:paraId="62FDF3D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**Action:** Create </w:t>
      </w:r>
      <w:r>
        <w:rPr>
          <w:rFonts w:ascii="Courier New" w:hAnsi="Courier New" w:eastAsia="Courier New" w:cs="Courier New"/>
          <w:color w:val="000000"/>
          <w:sz w:val="20"/>
        </w:rPr>
        <w:t xml:space="preserve">forge.event_calendar</w:t>
      </w:r>
      <w:r>
        <w:rPr>
          <w:rFonts w:ascii="Times New Roman" w:hAnsi="Times New Roman" w:eastAsia="Times New Roman" w:cs="Times New Roman"/>
          <w:color w:val="000000"/>
          <w:sz w:val="24"/>
        </w:rPr>
        <w:t xml:space="preserve"> table. Populate with FOMC dates (published annually), major macro release dates, quarterly futures expiry dates.</w:t>
      </w:r>
      <w:r/>
    </w:p>
    <w:p w14:paraId="2ECC46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**Schema sketch:**</w:t>
      </w:r>
      <w:r/>
    </w:p>
    <w:p w14:paraId="458ECA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CREATE TABLE forge.event_calendar (</w:t>
      </w:r>
      <w:r/>
    </w:p>
    <w:p w14:paraId="154E57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event_id SERIAL PRIMARY KEY,</w:t>
      </w:r>
      <w:r/>
    </w:p>
    <w:p w14:paraId="75022A4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event_type TEXT NOT NULL,        -- 'fomc', 'cpi_release', 'nfp_release', 'futures_expiry'</w:t>
      </w:r>
      <w:r/>
    </w:p>
    <w:p w14:paraId="3E659A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event_date DATE NOT NULL,</w:t>
      </w:r>
      <w:r/>
    </w:p>
    <w:p w14:paraId="4D6B7C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description TEXT,</w:t>
      </w:r>
      <w:r/>
    </w:p>
    <w:p w14:paraId="158C47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source TEXT,</w:t>
      </w:r>
      <w:r/>
    </w:p>
    <w:p w14:paraId="42294B3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    created_at TIMESTAMPTZ DEFAULT NOW()</w:t>
      </w:r>
      <w:r/>
    </w:p>
    <w:p w14:paraId="082D04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eaecf0"/>
          <w:sz w:val="24"/>
        </w:rPr>
        <w:t xml:space="preserve">);</w:t>
      </w:r>
      <w:r/>
    </w:p>
    <w:p w14:paraId="151D1FB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**Maintenance:** Annual update for FOMC schedule. Quarterly for other calendars. Can be automated from Fed/BLS websites or maintained manually given low frequency.</w:t>
      </w:r>
      <w:r/>
    </w:p>
    <w:p w14:paraId="699807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**Effort impact:** Trivial. Static data, one table, annual maintenance.</w:t>
      </w:r>
      <w:r/>
    </w:p>
    <w:p w14:paraId="47FD42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6.5 Evaluation Items (Medium Priority)</w:t>
      </w:r>
      <w:r/>
    </w:p>
    <w:p w14:paraId="4F8163C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require investigation before committing:</w:t>
      </w:r>
      <w:r/>
    </w:p>
    <w:p w14:paraId="765CB2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|Item |What to Evaluate |How | |-----------------------|--------------------------------------------------------|---------------------------------------| |Coinalyze CVD |Does free tier expose aggregated CVD data? |Check API docs, test endpoint | |Stablecoi</w:t>
      </w:r>
      <w:r>
        <w:rPr>
          <w:rFonts w:ascii="Times New Roman" w:hAnsi="Times New Roman" w:eastAsia="Times New Roman" w:cs="Times New Roman"/>
          <w:color w:val="000000"/>
          <w:sz w:val="24"/>
        </w:rPr>
        <w:t xml:space="preserve">n mint/burn |Does DeFiLlama expose discrete mint/burn events? |Check API docs for event endpoints | |BOJ/PBOC balance sheets|Are these available as FRED series? |Search FRED series catalog | |Spot volume by exchange|What free source provides exchange-speci</w:t>
      </w:r>
      <w:r>
        <w:rPr>
          <w:rFonts w:ascii="Times New Roman" w:hAnsi="Times New Roman" w:eastAsia="Times New Roman" w:cs="Times New Roman"/>
          <w:color w:val="000000"/>
          <w:sz w:val="24"/>
        </w:rPr>
        <w:t xml:space="preserve">fic spot volume?|Evaluate CoinPaprika, CoinGecko, others|</w:t>
      </w:r>
      <w:r/>
    </w:p>
    <w:p w14:paraId="62ADC6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3737904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7. Data Constraints &amp; Accepted Gaps</w:t>
      </w:r>
      <w:r/>
    </w:p>
    <w:p w14:paraId="75692F4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7.1 Coverage Limitations That Affect Model Design</w:t>
      </w:r>
      <w:r/>
    </w:p>
    <w:p w14:paraId="390ACBF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|Limitation |Affected Model|Impact |Mitigation | |------------------------------------------------|--------------|--------------------------------------------------------|-------------------------------------------------------------------------------------</w:t>
      </w:r>
      <w:r>
        <w:rPr>
          <w:rFonts w:ascii="Times New Roman" w:hAnsi="Times New Roman" w:eastAsia="Times New Roman" w:cs="Times New Roman"/>
          <w:color w:val="000000"/>
          <w:sz w:val="24"/>
        </w:rPr>
        <w:t xml:space="preserve">-----------------| |Exchange flows: 18/157 instruments |Capital Flow |Per-instrument signal only for covered subset |Two-mode operation (instrument + market-level proxy) | |No BTC on-chain flows |Capital Flow |BTC capital flow signal relies on stablecoin +</w:t>
      </w:r>
      <w:r>
        <w:rPr>
          <w:rFonts w:ascii="Times New Roman" w:hAnsi="Times New Roman" w:eastAsia="Times New Roman" w:cs="Times New Roman"/>
          <w:color w:val="000000"/>
          <w:sz w:val="24"/>
        </w:rPr>
        <w:t xml:space="preserve"> ETF proxy|Stablecoin dynamics + ETF flows provide partial coverage | |Macro data: daily/weekly/monthly mixed frequency|Macro Regime |Stale values for infrequently updated series |Carry-forward with staleness indicator feature | |DeFi data: 13 protocols |D</w:t>
      </w:r>
      <w:r>
        <w:rPr>
          <w:rFonts w:ascii="Times New Roman" w:hAnsi="Times New Roman" w:eastAsia="Times New Roman" w:cs="Times New Roman"/>
          <w:color w:val="000000"/>
          <w:sz w:val="24"/>
        </w:rPr>
        <w:t xml:space="preserve">eFi Stress |Not comprehensive DeFi coverage |Top 13 by TVL covers ~60-70% of total DeFi TVL | |Coinalyze: 121/157 instruments |Derivatives |36 instruments have no derivatives data |These are mostly small-cap — no derivatives market exists for them. Not a c</w:t>
      </w:r>
      <w:r>
        <w:rPr>
          <w:rFonts w:ascii="Times New Roman" w:hAnsi="Times New Roman" w:eastAsia="Times New Roman" w:cs="Times New Roman"/>
          <w:color w:val="000000"/>
          <w:sz w:val="24"/>
        </w:rPr>
        <w:t xml:space="preserve">overage gap — it’s reality.| |No implied volatility |Volatility |Realized vol only, no market expectations data |Funding rate dynamics + VIX serve as partial proxies |</w:t>
      </w:r>
      <w:r/>
    </w:p>
    <w:p w14:paraId="6397BF5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7.2 Historical Depth Constraints</w:t>
      </w:r>
      <w:r/>
    </w:p>
    <w:p w14:paraId="2F34F1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 Source |History Available |History Required (min 450d)|Sufficient? | |-----------------|-----------------------|---------------------------|-------------------------------------| |OHLCV (EDS) |2+ years |✅ |Yes | |FRED macro |10+ years (most series)|✅</w:t>
      </w:r>
      <w:r>
        <w:rPr>
          <w:rFonts w:ascii="Times New Roman" w:hAnsi="Times New Roman" w:eastAsia="Times New Roman" w:cs="Times New Roman"/>
          <w:color w:val="000000"/>
          <w:sz w:val="24"/>
        </w:rPr>
        <w:t xml:space="preserve"> |Yes — richest historical data | |Coinalyze (Forge)|~Feb 2026 start |❌ ~15 months out |No — binding constraint | |Explorer (Forge) |~Feb 2026 start |❌ ~15 months out |No — binding constraint | |DeFiLlama (Forge)|~Feb 2026 start |❌ ~15 months out |No — bin</w:t>
      </w:r>
      <w:r>
        <w:rPr>
          <w:rFonts w:ascii="Times New Roman" w:hAnsi="Times New Roman" w:eastAsia="Times New Roman" w:cs="Times New Roman"/>
          <w:color w:val="000000"/>
          <w:sz w:val="24"/>
        </w:rPr>
        <w:t xml:space="preserve">ding constraint | |ETF (FRG-05) |Not yet collecting |❌ |SoSoValue may provide historical data|</w:t>
      </w:r>
      <w:r/>
    </w:p>
    <w:p w14:paraId="0894988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**Implication:** Forge-native data (derivatives, exchange flows, DeFi) is the binding constraint on ML training timeline. Macro and price data have deep history. The Prompt 6 backfill strategy determines whether historical EDS data can substitute for Forge</w:t>
      </w:r>
      <w:r>
        <w:rPr>
          <w:rFonts w:ascii="Times New Roman" w:hAnsi="Times New Roman" w:eastAsia="Times New Roman" w:cs="Times New Roman"/>
          <w:color w:val="000000"/>
          <w:sz w:val="24"/>
        </w:rPr>
        <w:t xml:space="preserve">-native features during initial training.</w:t>
      </w:r>
      <w:r/>
    </w:p>
    <w:p w14:paraId="6E44D59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**Backfill feasibility by domain:**</w:t>
      </w:r>
      <w:r/>
    </w:p>
    <w:p w14:paraId="3CCF21B4">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Derivatives: Coinalyze may offer historical data download (evaluate). If not, training set starts accumulating from collection start date.</w:t>
      </w:r>
      <w:r/>
    </w:p>
    <w:p w14:paraId="356352CF">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Exchange flows: No historical backfill possible — Explorer data is point-in-time chain queries.</w:t>
      </w:r>
      <w:r/>
    </w:p>
    <w:p w14:paraId="5BE565A4">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DeFi: DeFiLlama historical API endpoints exist. Backfill likely possible.</w:t>
      </w:r>
      <w:r/>
    </w:p>
    <w:p w14:paraId="3BBD36AA">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Stablecoins: DeFiLlama historical API endpoints exist. Backfill likely possible.</w:t>
      </w:r>
      <w:r/>
    </w:p>
    <w:p w14:paraId="53DB2267">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Macro: FRED provides full history for all series. Complete backfill possible.</w:t>
      </w:r>
      <w:r/>
    </w:p>
    <w:p w14:paraId="027F09D4">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ETF: SoSoValue may provide historical flows. Evaluate.</w:t>
      </w:r>
      <w:r/>
    </w:p>
    <w:p w14:paraId="63AA126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7.3 Permanent Gaps (Not Pursuing)</w:t>
      </w:r>
      <w:r/>
    </w:p>
    <w:p w14:paraId="311F81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|Gap |Domain ID |Rationale | |-------------------------------------------------|----------|---------------------------------------------------------------------------------------------------------------------------------| |BTC UTXO-based metrics (realized </w:t>
      </w:r>
      <w:r>
        <w:rPr>
          <w:rFonts w:ascii="Times New Roman" w:hAnsi="Times New Roman" w:eastAsia="Times New Roman" w:cs="Times New Roman"/>
          <w:color w:val="000000"/>
          <w:sz w:val="24"/>
        </w:rPr>
        <w:t xml:space="preserve">cap, MVRV, SOPR)|U4 |No free source. MVRV proxy was attempted and dropped (D1). Accepted as permanent gap. | |Market microstructure (order book, trade-level) |U6 |Not Empire’s domain (D5). Requires high-frequency infrastructure that is architecturally inco</w:t>
      </w:r>
      <w:r>
        <w:rPr>
          <w:rFonts w:ascii="Times New Roman" w:hAnsi="Times New Roman" w:eastAsia="Times New Roman" w:cs="Times New Roman"/>
          <w:color w:val="000000"/>
          <w:sz w:val="24"/>
        </w:rPr>
        <w:t xml:space="preserve">mpatible with 8h collection cadence.| |Social sentiment (Twitter/Reddit/Telegram) |U8 partial|No reliable free source. Signal-to-noise ratio extremely low. Revisit only if a high-quality source emerges. | |Options market data |— |Deribit dominates, API lik</w:t>
      </w:r>
      <w:r>
        <w:rPr>
          <w:rFonts w:ascii="Times New Roman" w:hAnsi="Times New Roman" w:eastAsia="Times New Roman" w:cs="Times New Roman"/>
          <w:color w:val="000000"/>
          <w:sz w:val="24"/>
        </w:rPr>
        <w:t xml:space="preserve">ely paid. Realized vol proxies are sufficient. |</w:t>
      </w:r>
      <w:r/>
    </w:p>
    <w:p w14:paraId="0475DD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4C6A1E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8. Open Questions</w:t>
      </w:r>
      <w:r/>
    </w:p>
    <w:p w14:paraId="55EE433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For Architect Decision</w:t>
      </w:r>
      <w:r/>
    </w:p>
    <w:p w14:paraId="7E3E62CF">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**Layer 1 model retraining trigger:** Should models retrain on a fixed schedule (monthly) or on regime-change detection or both? Impacts operational complexity and infrastructure requirements.</w:t>
      </w:r>
      <w:r/>
    </w:p>
    <w:p w14:paraId="3AEBCCE5">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**Feature selection strategy:** Compute all ~400-500 features and let models select, or pre-filter based on statistical criteria (mutual information, correlation with target)? Full computation requires more storage and compute; pre-filtering risks discardi</w:t>
      </w:r>
      <w:r>
        <w:rPr>
          <w:rFonts w:ascii="Times New Roman" w:hAnsi="Times New Roman" w:eastAsia="Times New Roman" w:cs="Times New Roman"/>
          <w:color w:val="000000"/>
          <w:sz w:val="24"/>
        </w:rPr>
        <w:t xml:space="preserve">ng features that are only useful in combination.</w:t>
      </w:r>
      <w:r/>
    </w:p>
    <w:p w14:paraId="7D5F83E3">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**Target variable definition:** What exactly are Layer 1 models predicting? “Direction of next 24h return” is different from “direction of next 7d return” which is different from “direction of next significant move.” This is a fundamental design choice tha</w:t>
      </w:r>
      <w:r>
        <w:rPr>
          <w:rFonts w:ascii="Times New Roman" w:hAnsi="Times New Roman" w:eastAsia="Times New Roman" w:cs="Times New Roman"/>
          <w:color w:val="000000"/>
          <w:sz w:val="24"/>
        </w:rPr>
        <w:t xml:space="preserve">t affects training labels, accuracy measurement, and W6 actionability.</w:t>
      </w:r>
      <w:r/>
    </w:p>
    <w:p w14:paraId="5AB6AF3A">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**Ensemble within Layer 1:** Should each Layer 1 “model” actually be an ensemble of multiple models (e.g., LightGBM + logistic regression + random forest), or a single model type? Ensembles are more robust but multiply training cost and complexity.</w:t>
      </w:r>
      <w:r/>
    </w:p>
    <w:p w14:paraId="6DCF4994">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**Sector classification granularity:** How many categories for instrument sectors? Minimum viable (5-6 broad categories) vs. detailed (15-20 subcategories)? Affects breadth features and sector rotation detection.</w:t>
      </w:r>
      <w:r/>
    </w:p>
    <w:p w14:paraId="2D552B3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 For Future Design Sessions</w:t>
      </w:r>
      <w:r/>
    </w:p>
    <w:p w14:paraId="11D2BEA2">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**Layer 2 architecture:** How Layer 2 consumes Layer 1 outputs is a separate design session. This document defines what Layer 2 receives (the output specifications above).</w:t>
      </w:r>
      <w:r/>
    </w:p>
    <w:p w14:paraId="29948A2A">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**Prompt 6 backfill scope:** Which Layer 0 features can be reliably backfilled from historical EDS/FRED data, and which require Forge-native collection? This determines the ML training timeline.</w:t>
      </w:r>
      <w:r/>
    </w:p>
    <w:p w14:paraId="2D03A42A">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**Model monitoring and drift detection:** How to detect when a trained model’s performance is degrading, requiring retraining or architecture changes.</w:t>
      </w:r>
      <w:r/>
    </w:p>
    <w:p w14:paraId="556105A3">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**Feature store infrastructure:** The physical implementation of Layer 0 — what database, what schema, what computation cadence, what PIT guarantees.</w:t>
      </w:r>
      <w:r/>
    </w:p>
    <w:p w14:paraId="7EB273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t>
      </w:r>
      <w:r/>
    </w:p>
    <w:p w14:paraId="088774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document is the canonical reference for ML data requirements. Future ML design sessions refine methodology and architecture. They do not expand the data collection scope unless this document is formally amended with architect approval.*</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9BCB1B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1ADD066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619C39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5D7EA7D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3645E73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ONLYOFFICE/9.3.0.140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2026-03-04T22:46:18Z</dcterms:modified>
</cp:coreProperties>
</file>