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rPr>
          <w:sz w:val="24"/>
          <w:szCs w:val="24"/>
        </w:rPr>
        <w:t xml:space="preserve"/>
      </w:r>
    </w:p>
    <w:p>
      <w:pPr>
        <w:spacing w:after="80" w:before="0"/>
      </w:pPr>
      <w:r>
        <w:rPr>
          <w:rFonts w:ascii="Courier New" w:cs="Courier New" w:eastAsia="Courier New" w:hAnsi="Courier New"/>
          <w:b/>
          <w:bCs/>
          <w:color w:val="6B8CAE"/>
          <w:sz w:val="20"/>
          <w:szCs w:val="20"/>
        </w:rPr>
        <w:t xml:space="preserve">RESULT_ID_C1_SILVERGOLD_EXPORT_SLARESOLUTION</w:t>
      </w:r>
    </w:p>
    <w:p>
      <w:pPr>
        <w:pBdr>
          <w:bottom w:val="single" w:color="2E5FA3" w:sz="12" w:space="8"/>
        </w:pBdr>
        <w:spacing w:after="120" w:before="0"/>
      </w:pPr>
      <w:r>
        <w:rPr>
          <w:rFonts w:ascii="Arial" w:cs="Arial" w:eastAsia="Arial" w:hAnsi="Arial"/>
          <w:b/>
          <w:bCs/>
          <w:color w:val="1A2B4A"/>
          <w:sz w:val="52"/>
          <w:szCs w:val="52"/>
        </w:rPr>
        <w:t xml:space="preserve">Silver → Gold Export: SLA Resolution Design</w:t>
      </w:r>
    </w:p>
    <w:p>
      <w:pPr>
        <w:spacing w:after="0" w:before="12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6B8CAE"/>
          <w:sz w:val="22"/>
          <w:szCs w:val="22"/>
        </w:rPr>
        <w:t xml:space="preserve">FromTheBridge — Empire Architecture v2.0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A3A3A"/>
          <w:sz w:val="20"/>
          <w:szCs w:val="20"/>
        </w:rPr>
        <w:t xml:space="preserve">Status: </w:t>
      </w:r>
      <w:r>
        <w:rPr>
          <w:rFonts w:ascii="Arial" w:cs="Arial" w:eastAsia="Arial" w:hAnsi="Arial"/>
          <w:color w:val="2E5FA3"/>
          <w:sz w:val="20"/>
          <w:szCs w:val="20"/>
        </w:rPr>
        <w:t xml:space="preserve">Locked — Pending Architect Confirmation</w:t>
      </w:r>
      <w:r>
        <w:rPr>
          <w:rFonts w:ascii="Arial" w:cs="Arial" w:eastAsia="Arial" w:hAnsi="Arial"/>
          <w:color w:val="6B8CAE"/>
          <w:sz w:val="20"/>
          <w:szCs w:val="20"/>
        </w:rPr>
        <w:t xml:space="preserve">   |   </w:t>
      </w:r>
      <w:r>
        <w:rPr>
          <w:rFonts w:ascii="Arial" w:cs="Arial" w:eastAsia="Arial" w:hAnsi="Arial"/>
          <w:b/>
          <w:bCs/>
          <w:color w:val="3A3A3A"/>
          <w:sz w:val="20"/>
          <w:szCs w:val="20"/>
        </w:rPr>
        <w:t xml:space="preserve">Date: </w:t>
      </w:r>
      <w:r>
        <w:rPr>
          <w:rFonts w:ascii="Arial" w:cs="Arial" w:eastAsia="Arial" w:hAnsi="Arial"/>
          <w:color w:val="3A3A3A"/>
          <w:sz w:val="20"/>
          <w:szCs w:val="20"/>
        </w:rPr>
        <w:t xml:space="preserve">2026-03-06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A3A3A"/>
          <w:sz w:val="20"/>
          <w:szCs w:val="20"/>
        </w:rPr>
        <w:t xml:space="preserve">Layers affected: </w:t>
      </w:r>
      <w:r>
        <w:rPr>
          <w:rFonts w:ascii="Arial" w:cs="Arial" w:eastAsia="Arial" w:hAnsi="Arial"/>
          <w:color w:val="3A3A3A"/>
          <w:sz w:val="20"/>
          <w:szCs w:val="20"/>
        </w:rPr>
        <w:t xml:space="preserve">Layer 4 (Silver / ClickHouse)  →  Layer 5 (Gold / Iceberg)  →  Layer 1 (Dagster Orchestration)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3A3A3A"/>
          <w:sz w:val="20"/>
          <w:szCs w:val="20"/>
        </w:rPr>
        <w:t xml:space="preserve">Phase target: </w:t>
      </w:r>
      <w:r>
        <w:rPr>
          <w:rFonts w:ascii="Arial" w:cs="Arial" w:eastAsia="Arial" w:hAnsi="Arial"/>
          <w:color w:val="3A3A3A"/>
          <w:sz w:val="20"/>
          <w:szCs w:val="20"/>
        </w:rPr>
        <w:t xml:space="preserve">Phase 1 (Data Collection) — export asset build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1. Problem Statement</w:t>
      </w:r>
    </w:p>
    <w:p>
      <w:pPr>
        <w:spacing w:after="100" w:before="80"/>
      </w:pPr>
      <w:r>
        <w:t xml:space="preserve">The original infrastructure design specified a Silver → Gold export cadence of </w:t>
      </w:r>
      <w:r>
        <w:rPr>
          <w:b/>
          <w:bCs/>
        </w:rPr>
        <w:t xml:space="preserve">every 6 hours</w:t>
      </w:r>
      <w:r>
        <w:t xml:space="preserve">. The signal architecture carries a </w:t>
      </w:r>
      <w:r>
        <w:rPr>
          <w:b/>
          <w:bCs/>
        </w:rPr>
        <w:t xml:space="preserve">90-minute freshness SLA</w:t>
      </w:r>
      <w:r>
        <w:t xml:space="preserve"> from collection completion to signal availability. These two constraints are irreconcilable under a fixed 6-hour export schedule.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1.1 Worst-Case Path (Original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6160"/>
      </w:tblGrid>
      <w:tr>
        <w:tc>
          <w:tcPr>
            <w:tcW w:type="dxa" w:w="16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16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Elapsed</w:t>
            </w:r>
          </w:p>
        </w:tc>
        <w:tc>
          <w:tcPr>
            <w:tcW w:type="dxa" w:w="616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T+0:00</w:t>
            </w:r>
          </w:p>
        </w:tc>
        <w:tc>
          <w:tcPr>
            <w:tcW w:type="dxa" w:w="6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Collection completes</w:t>
            </w:r>
          </w:p>
        </w:tc>
      </w:tr>
      <w:tr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T+0:05</w:t>
            </w:r>
          </w:p>
        </w:tc>
        <w:tc>
          <w:tcPr>
            <w:tcW w:type="dxa" w:w="6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Silver write committed</w:t>
            </w:r>
          </w:p>
        </w:tc>
      </w:tr>
      <w:tr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T+0:05</w:t>
            </w:r>
          </w:p>
        </w:tc>
        <w:tc>
          <w:tcPr>
            <w:tcW w:type="dxa" w:w="6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Export window missed — next export in up to 6 hours</w:t>
            </w:r>
          </w:p>
        </w:tc>
      </w:tr>
      <w:tr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T+6:00</w:t>
            </w:r>
          </w:p>
        </w:tc>
        <w:tc>
          <w:tcPr>
            <w:tcW w:type="dxa" w:w="6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Export runs, Gold updated</w:t>
            </w:r>
          </w:p>
        </w:tc>
      </w:tr>
      <w:tr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T+6:30</w:t>
            </w:r>
          </w:p>
        </w:tc>
        <w:tc>
          <w:tcPr>
            <w:tcW w:type="dxa" w:w="6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Features computed, signals scored</w:t>
            </w:r>
          </w:p>
        </w:tc>
      </w:tr>
      <w:tr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A3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A3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~6.5 hrs</w:t>
            </w:r>
          </w:p>
        </w:tc>
        <w:tc>
          <w:tcPr>
            <w:tcW w:type="dxa" w:w="6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A3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6.5-hour worst-case gap — irreconcilable with 90-minute SLA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1.2 Hard Constraints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Rule 2 absolute: </w:t>
      </w:r>
      <w:r>
        <w:t xml:space="preserve">ClickHouse (Silver) is write-only except for the export Dagster asset. No other service holds ClickHouse credentials.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Iceberg on MinIO: </w:t>
      </w:r>
      <w:r>
        <w:t xml:space="preserve">Gold storage layer is unchanged.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Dagster-only orchestration: </w:t>
      </w:r>
      <w:r>
        <w:t xml:space="preserve">The fix is implemented entirely as Dagster assets and sensors. No new technology introduced.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FINAL qualifier: </w:t>
      </w:r>
      <w:r>
        <w:t xml:space="preserve">All ClickHouse reads use SELECT ... FINAL or post-OPTIMIZE reads to handle ReplacingMergeTree unmerged rows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Single-operator maintainability: </w:t>
      </w:r>
      <w:r>
        <w:t xml:space="preserve">No Kafka, no Flink, no Spark. Stack remains unchanged.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2. Recommended Export Strategy</w:t>
      </w:r>
    </w:p>
    <w:p>
      <w:pPr>
        <w:pBdr>
          <w:left w:val="single" w:color="2E5FA3" w:sz="12" w:space="8"/>
        </w:pBdr>
        <w:shd w:fill="D6E4F7" w:val="clear"/>
        <w:spacing w:after="100" w:before="100"/>
        <w:ind w:left="360" w:right="360"/>
      </w:pPr>
      <w:r>
        <w:rPr>
          <w:b/>
          <w:bCs/>
        </w:rPr>
        <w:t xml:space="preserve">Decision: </w:t>
      </w:r>
      <w:r>
        <w:t xml:space="preserve">Hybrid trigger — event-driven multi_asset_sensor with 1-hour time-based fallback schedule.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2.1 Options Evaluated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22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22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fit</w:t>
            </w:r>
          </w:p>
        </w:tc>
        <w:tc>
          <w:tcPr>
            <w:tcW w:type="dxa" w:w="276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(a) Fixed 1-hour cadence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ScheduleDefinition at @hourly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~95 min worst-case (60 min window + 35 min compute)</w:t>
            </w:r>
          </w:p>
        </w:tc>
        <w:tc>
          <w:tcPr>
            <w:tcW w:type="dxa" w:w="27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A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Fails SLA by design. No buffer for variance.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(b) Pure event-triggered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multi_asset_sensor fires after each collection materializes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~44 min worst-case — fits comfortably</w:t>
            </w:r>
          </w:p>
        </w:tc>
        <w:tc>
          <w:tcPr>
            <w:tcW w:type="dxa" w:w="27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8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SLA met, but fragile: sensor restart or daemon hiccup stalls Gold up to 24 hours (FRED cadence) with no fallback.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(c) Hybrid — event + fallback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Sensor fires on any collection materialization. @hourly fallback as safety net.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~44 min normal path; fallback caps worst-case at 60 min</w:t>
            </w:r>
          </w:p>
        </w:tc>
        <w:tc>
          <w:tcPr>
            <w:tcW w:type="dxa" w:w="27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SELECTED. </w:t>
            </w:r>
            <w:r>
              <w:t xml:space="preserve">Event-triggered speed + fallback reliability. Sensor gap cannot exceed 1 hour.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2.2 Minimum Interval Guard</w:t>
      </w:r>
    </w:p>
    <w:p>
      <w:pPr>
        <w:spacing w:after="100" w:before="60"/>
      </w:pPr>
      <w:r>
        <w:t xml:space="preserve">A </w:t>
      </w:r>
      <w:r>
        <w:rPr>
          <w:rFonts w:ascii="Courier New" w:cs="Courier New" w:eastAsia="Courier New" w:hAnsi="Courier New"/>
          <w:sz w:val="18"/>
          <w:szCs w:val="18"/>
        </w:rPr>
        <w:t xml:space="preserve">minimum_interval_seconds=600</w:t>
      </w:r>
      <w:r>
        <w:t xml:space="preserve"> guard on the sensor prevents export thrashing when multiple adapters land close together at shared cadence boundaries (e.g., Tiingo + Coinalyze both complete at the same 8-hour mark). The export fires at most once per 10-minute window regardless of how many collection assets materialize within it.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3. Incremental Export Mechanics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3.1 Watermark Strategy</w:t>
      </w:r>
    </w:p>
    <w:p>
      <w:pPr>
        <w:spacing w:after="80" w:before="60"/>
      </w:pPr>
      <w:r>
        <w:t xml:space="preserve">The export maintains a single high-water mark: the maximum </w:t>
      </w:r>
      <w:r>
        <w:rPr>
          <w:rFonts w:ascii="Courier New" w:cs="Courier New" w:eastAsia="Courier New" w:hAnsi="Courier New"/>
          <w:sz w:val="18"/>
          <w:szCs w:val="18"/>
        </w:rPr>
        <w:t xml:space="preserve">ingested_at</w:t>
      </w:r>
      <w:r>
        <w:t xml:space="preserve"> value successfully written to Gold on the previous run. Storage location: Dagster asset materialization metadata (</w:t>
      </w:r>
      <w:r>
        <w:rPr>
          <w:rFonts w:ascii="Courier New" w:cs="Courier New" w:eastAsia="Courier New" w:hAnsi="Courier New"/>
          <w:sz w:val="18"/>
          <w:szCs w:val="18"/>
        </w:rPr>
        <w:t xml:space="preserve">context.add_output_metadata</w:t>
      </w:r>
      <w:r>
        <w:t xml:space="preserve">). No additional infrastructure dependency.</w:t>
      </w:r>
    </w:p>
    <w:p>
      <w:pPr>
        <w:pBdr>
          <w:left w:val="single" w:color="2E5FA3" w:sz="12" w:space="8"/>
        </w:pBdr>
        <w:shd w:fill="D6E4F7" w:val="clear"/>
        <w:spacing w:after="100" w:before="100"/>
        <w:ind w:left="360" w:right="360"/>
      </w:pPr>
      <w:r>
        <w:rPr>
          <w:b/>
          <w:bCs/>
        </w:rPr>
        <w:t xml:space="preserve">Watermark advance rule: </w:t>
      </w:r>
      <w:r>
        <w:t xml:space="preserve">The watermark advances only after a successful Iceberg partition commit. A failed write leaves the watermark unchanged. The next run re-queries from the same watermark and retries the full delta. This gives exactly-once semantics on the Gold side.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3.2 ClickHouse Query Pattern</w:t>
      </w:r>
    </w:p>
    <w:p>
      <w:pPr>
        <w:spacing w:after="60" w:before="60"/>
      </w:pPr>
      <w:r>
        <w:t xml:space="preserve">The export query uses SELECT ... FINAL — not OPTIMIZE TABLE. Rationale: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OPTIMIZE TABLE FINAL: </w:t>
      </w:r>
      <w:r>
        <w:t xml:space="preserve">blocks writes during execution, can take minutes on large tables — unacceptable for a live collection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SELECT ... FINAL: </w:t>
      </w:r>
      <w:r>
        <w:t xml:space="preserve">forces deduplication at read time on qualifying rows only. Scoped to the watermark delta — which is small under normal operation.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Ordering key locality: </w:t>
      </w:r>
      <w:r>
        <w:t xml:space="preserve">The ordering key (metric_id, instrument_id, observed_at) means FINAL's deduplication pass is naturally sorted and cache-friendly.</w:t>
      </w:r>
    </w:p>
    <w:p>
      <w:pPr>
        <w:spacing w:after="0" w:before="80"/>
      </w:pPr>
      <w:r>
        <w:t xml:space="preserve"/>
      </w:r>
    </w:p>
    <w:p>
      <w:pPr>
        <w:spacing w:after="40" w:before="60"/>
      </w:pPr>
      <w:r>
        <w:t xml:space="preserve">Export query: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SELECT metric_id, instrument_id, observed_at, value,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ingested_at, data_version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FROM forge.observations FINAL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WHERE ingested_at &gt; {last_watermark}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AND ingested_at &lt;= {run_start_ts} - INTERVAL 3 MINUTE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ORDER BY metric_id, instrument_id, observed_at</w:t>
      </w:r>
    </w:p>
    <w:p>
      <w:pPr>
        <w:spacing w:after="0" w:before="80"/>
      </w:pPr>
      <w:r>
        <w:t xml:space="preserve"/>
      </w:r>
    </w:p>
    <w:p>
      <w:pPr>
        <w:pBdr>
          <w:left w:val="single" w:color="C87A00" w:sz="12" w:space="8"/>
        </w:pBdr>
        <w:shd w:fill="FFF8E6" w:val="clear"/>
        <w:spacing w:after="100" w:before="100"/>
        <w:ind w:left="360" w:right="360"/>
      </w:pPr>
      <w:r>
        <w:rPr>
          <w:b/>
          <w:bCs/>
        </w:rPr>
        <w:t xml:space="preserve">3-minute lag floor: </w:t>
      </w:r>
      <w:r>
        <w:t xml:space="preserve">Protects against in-flight writes from adapters that have begun their Silver write but not yet committed. A row ingested at T=:00:00 is not queried until T=:00:03, ensuring full ClickHouse visibility.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3.3 Iceberg Write Pattern</w:t>
      </w:r>
    </w:p>
    <w:p>
      <w:pPr>
        <w:spacing w:after="80" w:before="60"/>
      </w:pPr>
      <w:r>
        <w:t xml:space="preserve">Gold uses partition overwrite — not append-only and not row-level upsert.</w:t>
      </w:r>
    </w:p>
    <w:p>
      <w:pPr>
        <w:spacing w:after="60" w:before="40"/>
      </w:pPr>
      <w:r>
        <w:t xml:space="preserve">Write procedure per run: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6640"/>
      </w:tblGrid>
      <w:tr>
        <w:tc>
          <w:tcPr>
            <w:tcW w:type="dxa" w:w="72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64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72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Identify touched partitions</w:t>
            </w:r>
          </w:p>
        </w:tc>
        <w:tc>
          <w:tcPr>
            <w:tcW w:type="dxa" w:w="66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Derive (year_month, metric_domain) tuples from delta rows' observed_at dates and metric_id prefixes.</w:t>
            </w:r>
          </w:p>
        </w:tc>
      </w:tr>
      <w:tr>
        <w:tc>
          <w:tcPr>
            <w:tcW w:type="dxa" w:w="72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Read existing Gold partition</w:t>
            </w:r>
          </w:p>
        </w:tc>
        <w:tc>
          <w:tcPr>
            <w:tcW w:type="dxa" w:w="66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PyIceberg scan of each touched partition from MinIO.</w:t>
            </w:r>
          </w:p>
        </w:tc>
      </w:tr>
      <w:tr>
        <w:tc>
          <w:tcPr>
            <w:tcW w:type="dxa" w:w="72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Merge by data_version</w:t>
            </w:r>
          </w:p>
        </w:tc>
        <w:tc>
          <w:tcPr>
            <w:tcW w:type="dxa" w:w="66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For any (metric_id, instrument_id, observed_at) present in both existing and delta: keep the row with the higher data_version. For new tuples: insert.</w:t>
            </w:r>
          </w:p>
        </w:tc>
      </w:tr>
      <w:tr>
        <w:tc>
          <w:tcPr>
            <w:tcW w:type="dxa" w:w="72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Atomic overwrite</w:t>
            </w:r>
          </w:p>
        </w:tc>
        <w:tc>
          <w:tcPr>
            <w:tcW w:type="dxa" w:w="66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PyIceberg overwrites the partition atomically. Iceberg ACID guarantee: partial write due to MinIO interruption leaves prior partition intact.</w:t>
            </w:r>
          </w:p>
        </w:tc>
      </w:tr>
      <w:tr>
        <w:tc>
          <w:tcPr>
            <w:tcW w:type="dxa" w:w="72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Advance watermark</w:t>
            </w:r>
          </w:p>
        </w:tc>
        <w:tc>
          <w:tcPr>
            <w:tcW w:type="dxa" w:w="66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Only after all partition commits succeed. Failure on any partition leaves watermark unchanged for full retry.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b/>
          <w:bCs/>
        </w:rPr>
        <w:t xml:space="preserve">Why partition overwrite over append-only: </w:t>
      </w:r>
      <w:r>
        <w:t xml:space="preserve">Append-only Gold accumulates duplicate (metric_id, instrument_id, observed_at) tuples whenever Silver revises a value (data_version increment). DuckDB queries would then require deduplication — defeating the purpose of the export. Partition overwrite keeps Gold clean: one canonical row per observation tuple, always the latest data_version.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3.4 Gold Partition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20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example</w:t>
            </w:r>
          </w:p>
        </w:tc>
        <w:tc>
          <w:tcPr>
            <w:tcW w:type="dxa" w:w="536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year_month</w:t>
            </w:r>
          </w:p>
        </w:tc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2026-03</w:t>
            </w:r>
          </w:p>
        </w:tc>
        <w:tc>
          <w:tcPr>
            <w:tcW w:type="dxa" w:w="5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Monthly granularity. DuckDB prunes by date range efficiently.</w:t>
            </w:r>
          </w:p>
        </w:tc>
      </w:tr>
      <w:tr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metric_domain</w:t>
            </w:r>
          </w:p>
        </w:tc>
        <w:tc>
          <w:tcPr>
            <w:tcW w:type="dxa" w:w="20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derivatives, macro, flows, defi, onchain</w:t>
            </w:r>
          </w:p>
        </w:tc>
        <w:tc>
          <w:tcPr>
            <w:tcW w:type="dxa" w:w="5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First segment of metric_id. 5 domains at v1. Prunes by query domain naturally.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87A00" w:sz="12" w:space="8"/>
        </w:pBdr>
        <w:shd w:fill="FFF8E6" w:val="clear"/>
        <w:spacing w:after="100" w:before="100"/>
        <w:ind w:left="360" w:right="360"/>
      </w:pPr>
      <w:r>
        <w:rPr>
          <w:b/>
          <w:bCs/>
        </w:rPr>
        <w:t xml:space="preserve">Phase 2 note — derivatives sub-partitioning: </w:t>
      </w:r>
      <w:r>
        <w:t xml:space="preserve">At full BLC-01 volume (~1,200 Silver rows/day after aggregation), the derivatives domain partition reaches ~36k rows/month — well within DuckDB scan tolerance for v1. Monitor: if DuckDB scan latency on derivatives partitions exceeds 500ms in Phase 2, sub-partition by week or instrument prefix (BTC/ETH/OTHER). Iceberg schema evolution supports non-disruptive partition spec changes.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4. Dagster Asset Specification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4.1 Asset Definition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@asset(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key=AssetKey(["infrastructure", "silver_to_gold_export"]),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group_name="infrastructure",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description="Incremental export from ClickHouse Silver to Iceberg Gold.",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freshness_policy=FreshnessPolicy(maximum_lag_minutes=60),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retry_policy=RetryPolicy(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max_retries=3,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delay=30,         # seconds — linear backoff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jitter="full",    # avoids thundering herd on concurrent retry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No upstream asset dependencies: export reads ClickHouse directly.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It IS the sole authorized ClickHouse reader. Trigger via sensor/schedule.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def silver_to_gold_export(context) -&gt; None: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last_watermark = _load_watermark(context)  # from prior materialization metadata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run_start_ts   = pendulum.now("UTC")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lag_floor      = run_start_ts.subtract(minutes=3)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── Query Silver ───────────────────────────────────────────────────────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delta_rows = clickhouse_client.query("""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SELECT metric_id, instrument_id, observed_at, value,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       ingested_at, data_version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FROM forge.observations FINAL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WHERE ingested_at &gt; {last_watermark}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  AND ingested_at &lt;= {lag_floor}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ORDER BY metric_id, instrument_id, observed_at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""", params={"last_watermark": last_watermark, "lag_floor": lag_floor})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row_count = len(delta_rows)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── Anomaly guard ──────────────────────────────────────────────────────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if row_count &gt; _get_anomaly_threshold(context):  # 10x rolling 7-day avg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raise Failure(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    description=f"Export delta anomaly: {row_count} rows exceeds threshold.",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    metadata={"row_count": MetadataValue.int(row_count)},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── Zero-row short-circuit ─────────────────────────────────────────────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if row_count == 0: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context.add_output_metadata({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    "rows_exported": MetadataValue.int(0),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    "watermark_advanced": MetadataValue.bool(False),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})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return  # Not a failure — log and exit cleanly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── Partition overwrite ────────────────────────────────────────────────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touched_partitions = _compute_touched_partitions(delta_rows)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for partition_key in touched_partitions: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existing = _read_gold_partition(partition_key)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merged   = _merge_by_data_version(existing, delta_rows, partition_key)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_write_gold_partition(partition_key, merged)   # atomic Iceberg overwrite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── Advance watermark (only after all commits succeed) ─────────────────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new_watermark = delta_rows["ingested_at"].max()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_save_watermark(context, new_watermark)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context.add_output_metadata({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"rows_exported":      MetadataValue.int(row_count),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"partitions_touched": MetadataValue.int(len(touched_partitions)),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"watermark_prev":     MetadataValue.text(str(last_watermark)),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"watermark_new":      MetadataValue.text(str(new_watermark)),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"lag_seconds":        MetadataValue.int(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                          int((run_start_ts - new_watermark).total_seconds())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                       ),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})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4.2 Event Sensor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COLLECTION_ASSET_KEYS = [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AssetKey(["collection", source])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for source in [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"tiingo", "coinalyze", "defillama", "fred", "sosovalue",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"etherscan", "coinpaprika", "coinmetrics", "bgeometrics", "blc01"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]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]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@multi_asset_sensor(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monitored_assets=COLLECTION_ASSET_KEYS,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job=export_job,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minimum_interval_seconds=600,   # 10-min guard against burst firing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def collection_to_export_sensor(context: SensorEvaluationContext):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asset_events = context.latest_materialization_records_by_key()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any_new = any(record is not None for record in asset_events.values())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if any_new: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context.advance_all_cursors()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yield RunRequest(run_key=f"export_{pendulum.now('UTC').isoformat()}")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4.3 Hourly Fallback Schedule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export_fallback_schedule = ScheduleDefinition(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job=export_job,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cron_schedule="0 * * * *",        # top of every hour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default_status=DefaultScheduleStatus.RUNNING,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description="Fallback: Gold never lags &gt;1h even if sensor misses.",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)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4.4 Materialization Metadata Logged Per Run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2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36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rows_exported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Total Silver rows written to Gold this run</w:t>
            </w:r>
          </w:p>
        </w:tc>
      </w:tr>
      <w:tr>
        <w:tc>
          <w:tcPr>
            <w:tcW w:type="dxa" w:w="2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partitions_touched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Number of Iceberg partitions overwritten</w:t>
            </w:r>
          </w:p>
        </w:tc>
      </w:tr>
      <w:tr>
        <w:tc>
          <w:tcPr>
            <w:tcW w:type="dxa" w:w="2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watermark_prev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text (ISO timestamp)</w:t>
            </w:r>
          </w:p>
        </w:tc>
        <w:tc>
          <w:tcPr>
            <w:tcW w:type="dxa" w:w="4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Watermark value at start of this run</w:t>
            </w:r>
          </w:p>
        </w:tc>
      </w:tr>
      <w:tr>
        <w:tc>
          <w:tcPr>
            <w:tcW w:type="dxa" w:w="2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watermark_new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text (ISO timestamp)</w:t>
            </w:r>
          </w:p>
        </w:tc>
        <w:tc>
          <w:tcPr>
            <w:tcW w:type="dxa" w:w="4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Watermark value after successful commit</w:t>
            </w:r>
          </w:p>
        </w:tc>
      </w:tr>
      <w:tr>
        <w:tc>
          <w:tcPr>
            <w:tcW w:type="dxa" w:w="2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lag_seconds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Seconds between run_start_ts and new_watermark — freshness signal</w:t>
            </w:r>
          </w:p>
        </w:tc>
      </w:tr>
      <w:tr>
        <w:tc>
          <w:tcPr>
            <w:tcW w:type="dxa" w:w="2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watermark_advanced</w:t>
            </w:r>
          </w:p>
        </w:tc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bool</w:t>
            </w:r>
          </w:p>
        </w:tc>
        <w:tc>
          <w:tcPr>
            <w:tcW w:type="dxa" w:w="4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False on zero-row run; operator visibility into no-op runs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5. SLA Verification</w:t>
      </w:r>
    </w:p>
    <w:p>
      <w:pPr>
        <w:pBdr>
          <w:left w:val="single" w:color="1E6B3C" w:sz="12" w:space="8"/>
        </w:pBdr>
        <w:shd w:fill="E6F4EC" w:val="clear"/>
        <w:spacing w:after="100" w:before="100"/>
        <w:ind w:left="360" w:right="360"/>
      </w:pPr>
      <w:r>
        <w:rPr>
          <w:b/>
          <w:bCs/>
        </w:rPr>
        <w:t xml:space="preserve">Result: </w:t>
      </w:r>
      <w:r>
        <w:t xml:space="preserve">44 minutes worst-case end-to-end. SLA margin: 46 minutes.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5.1 Revised Worst-Case Freshness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440"/>
        <w:gridCol w:w="7360"/>
      </w:tblGrid>
      <w:tr>
        <w:tc>
          <w:tcPr>
            <w:tcW w:type="dxa" w:w="56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4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Elapsed</w:t>
            </w:r>
          </w:p>
        </w:tc>
        <w:tc>
          <w:tcPr>
            <w:tcW w:type="dxa" w:w="736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T+0:00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Collection asset completes (Tiingo, worst-case 6h cadence)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T+0:02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Silver write committed — ClickHouse ReplacingMergeTree accepts row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T+0:03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Dagster collection asset marks materialized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T+0:04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multi_asset_sensor fires (30s polling interval)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T+0:04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Export job starts (minimum interval guard clear — cold start path)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6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T+0:09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ClickHouse FINAL query + result transfer (~5 min for 8h delta at full v1 volume)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7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T+0:11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Partition merge computation (in-memory, small delta ~1,500 rows)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8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T+0:14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Iceberg partition overwrite committed to MinIO (~3 min)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9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T+0:14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Gold available — forge_compute downstream asset triggered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10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T+0:34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Feature compute completes (dbt + forge_compute, ~20 min at v1 feature count)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11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T+0:44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EDSx signal scoring completes (~10 min for 5 pillars)</w:t>
            </w:r>
          </w:p>
        </w:tc>
      </w:tr>
      <w:tr>
        <w:tc>
          <w:tcPr>
            <w:tcW w:type="dxa" w:w="5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144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T+0:44</w:t>
            </w:r>
          </w:p>
        </w:tc>
        <w:tc>
          <w:tcPr>
            <w:tcW w:type="dxa" w:w="7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available in Marts. 44 min end-to-end. SLA: 90 min. Margin: 46 min.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5.2 Stress Scenario</w:t>
      </w:r>
    </w:p>
    <w:p>
      <w:pPr>
        <w:spacing w:after="80" w:before="60"/>
      </w:pPr>
      <w:r>
        <w:t xml:space="preserve">Simultaneous Silver export + full feature recompute on a heavily loaded proxmox host is estimated at </w:t>
      </w:r>
      <w:r>
        <w:rPr>
          <w:b/>
          <w:bCs/>
        </w:rPr>
        <w:t xml:space="preserve">~75 minutes</w:t>
      </w:r>
      <w:r>
        <w:t xml:space="preserve"> — still within the 90-minute SLA with a 15-minute buffer. The system does not breach SLA under this scenario.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6. Failure Mode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58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Behavior</w:t>
            </w:r>
          </w:p>
        </w:tc>
        <w:tc>
          <w:tcPr>
            <w:tcW w:type="dxa" w:w="358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ClickHouse unreachable during export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Dagster raises connection error. Asset fails. Retry policy: 3× with 30s jitter delay. On exhaustion: asset shows failed in Dagit, freshness policy alert fires at T+60 min.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ClickHouse recovers → next sensor fire or hourly fallback triggers export. Watermark unchanged — no data lost, full delta re-exported on next run.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MinIO unreachable during Iceberg write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PyIceberg write raises before commit. Asset fails before watermark advances. Retry policy applies. Partial Iceberg writes never committed — prior partition state intact.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MinIO recovers → same recovery path. No corrupted Gold partitions. Exactly-once semantics preserved.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Export produces zero rows (empty delta)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Not a failure. Asset materializes with rows_exported=0, watermark_advanced=false. Freshness policy still satisfied — materialization occurred.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No action needed. Next collection cycle produces a non-zero delta.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Anomalously large delta (&gt;10× rolling 7-day average OR &gt;2M rows during bootstrap week)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Asset raises Failure with row_count metadata. No Gold write. No watermark advance. Alert fires immediately.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Operator inspects: legitimate backfill → re-run with force_backfill=True in run config to bypass guard for one run. Source bug → investigate dead_letter. ClickHouse merge issue → inspect system.parts.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Concurrent export runs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Structurally impossible: Dagster blocks concurrent materialization of the same asset. minimum_interval_seconds=600 provides a second layer.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N/A — not a recoverable scenario because it cannot occur.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Export asset stuck mid-run (OOM, process kill)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Dagster marks run as failed. Watermark not advanced — Iceberg commit never reached.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Same as ClickHouse/MinIO failure. Idempotent re-run from last watermark.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7. Cold-Start and Backfill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7.1 First-Ever Run (Bootstrap)</w:t>
      </w:r>
    </w:p>
    <w:p>
      <w:pPr>
        <w:spacing w:after="80" w:before="60"/>
      </w:pPr>
      <w:r>
        <w:t xml:space="preserve">On first run, </w:t>
      </w:r>
      <w:r>
        <w:rPr>
          <w:rFonts w:ascii="Courier New" w:cs="Courier New" w:eastAsia="Courier New" w:hAnsi="Courier New"/>
          <w:sz w:val="18"/>
          <w:szCs w:val="18"/>
        </w:rPr>
        <w:t xml:space="preserve">last_watermark</w:t>
      </w:r>
      <w:r>
        <w:t xml:space="preserve"> metadata does not exist. The export detects absence and enters </w:t>
      </w:r>
      <w:r>
        <w:rPr>
          <w:b/>
          <w:bCs/>
        </w:rPr>
        <w:t xml:space="preserve">chunked bootstrap mode</w:t>
      </w:r>
      <w:r>
        <w:t xml:space="preserve">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if last_watermark is None: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Bootstrap: default 7-day chunks (~42k rows/chunk at full v1 volume)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chunk_days   = context.op_config.get("bootstrap_chunk_days", 7)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bootstrap_start = context.op_config.get(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    "bootstrap_start", "2026-02-01"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Run export in 7-day windows until caught up to current lag floor.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# Each chunk advances watermark and commits before starting the next.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_run_chunked_bootstrap(bootstrap_start, chunk_days, lag_floor)</w:t>
      </w:r>
    </w:p>
    <w:p>
      <w:pPr>
        <w:spacing w:after="0" w:before="80"/>
      </w:pPr>
      <w:r>
        <w:t xml:space="preserve"/>
      </w:r>
    </w:p>
    <w:p>
      <w:pPr>
        <w:spacing w:after="40" w:before="60"/>
      </w:pPr>
      <w:r>
        <w:t xml:space="preserve">Triggered as a one-time manual Dagster run with run config: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{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"bootstrap_chunk_days": 7,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    "bootstrap_start": "2026-02-01"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t xml:space="preserve">Memory safety: each 7-day chunk loads at most </w:t>
      </w:r>
      <w:r>
        <w:rPr>
          <w:b/>
          <w:bCs/>
        </w:rPr>
        <w:t xml:space="preserve">~42k rows</w:t>
      </w:r>
      <w:r>
        <w:t xml:space="preserve"> (7 days × ~6k rows/day at full v1 volume) — well within proxmox host limits. Full-table FINAL is never run.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7.2 Mid-Operation Metric Addition</w:t>
      </w:r>
    </w:p>
    <w:p>
      <w:pPr>
        <w:spacing w:after="80" w:before="60"/>
      </w:pPr>
      <w:r>
        <w:t xml:space="preserve">When a new metric is added (catalog row added, first Silver rows appear), the incremental export picks it up automatically — </w:t>
      </w:r>
      <w:r>
        <w:rPr>
          <w:rFonts w:ascii="Courier New" w:cs="Courier New" w:eastAsia="Courier New" w:hAnsi="Courier New"/>
          <w:sz w:val="18"/>
          <w:szCs w:val="18"/>
        </w:rPr>
        <w:t xml:space="preserve">ingested_at &gt; last_watermark</w:t>
      </w:r>
      <w:r>
        <w:t xml:space="preserve"> captures the new metric's rows on the first collection cycle after addition. </w:t>
      </w:r>
      <w:r>
        <w:rPr>
          <w:b/>
          <w:bCs/>
        </w:rPr>
        <w:t xml:space="preserve">No special handling required.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7.3 Historical Backfill of a New Metric</w:t>
      </w:r>
    </w:p>
    <w:p>
      <w:pPr>
        <w:spacing w:after="80" w:before="60"/>
      </w:pPr>
      <w:r>
        <w:t xml:space="preserve">Pre-populating Silver with historical data triggers the anomaly guard. The operator bypasses it with </w:t>
      </w:r>
      <w:r>
        <w:rPr>
          <w:rFonts w:ascii="Courier New" w:cs="Courier New" w:eastAsia="Courier New" w:hAnsi="Courier New"/>
          <w:sz w:val="18"/>
          <w:szCs w:val="18"/>
        </w:rPr>
        <w:t xml:space="preserve">force_backfill=True</w:t>
      </w:r>
      <w:r>
        <w:t xml:space="preserve"> in run config, which skips the threshold check for that run only. The chunked bootstrap logic is reused for per-metric backfills by passing a </w:t>
      </w:r>
      <w:r>
        <w:rPr>
          <w:rFonts w:ascii="Courier New" w:cs="Courier New" w:eastAsia="Courier New" w:hAnsi="Courier New"/>
          <w:sz w:val="18"/>
          <w:szCs w:val="18"/>
        </w:rPr>
        <w:t xml:space="preserve">metric_id_filter</w:t>
      </w:r>
      <w:r>
        <w:t xml:space="preserve"> run config parameter.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8. Volume Projections and Benchmark Plan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8.1 Silver Row Volume at Full v1 Buildout</w:t>
      </w:r>
    </w:p>
    <w:p>
      <w:pPr>
        <w:spacing w:after="80" w:before="60"/>
      </w:pPr>
      <w:r>
        <w:t xml:space="preserve">BLC-01's 70k daily raw ticks aggregate to a small number of Silver rows. The full v1 daily volume is substantially smaller than intuition from raw tick counts suggests: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1600"/>
        <w:gridCol w:w="2160"/>
      </w:tblGrid>
      <w:tr>
        <w:tc>
          <w:tcPr>
            <w:tcW w:type="dxa" w:w="22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6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Metrics/instrument</w:t>
            </w:r>
          </w:p>
        </w:tc>
        <w:tc>
          <w:tcPr>
            <w:tcW w:type="dxa" w:w="18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Instruments</w:t>
            </w:r>
          </w:p>
        </w:tc>
        <w:tc>
          <w:tcPr>
            <w:tcW w:type="dxa" w:w="16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Cadence</w:t>
            </w:r>
          </w:p>
        </w:tc>
        <w:tc>
          <w:tcPr>
            <w:tcW w:type="dxa" w:w="216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Silver rows/day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BLC-01 (aggregated)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~4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100 symbols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8h → 3 windows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~1,200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Coinalyze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~4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121 instruments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8h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~1,450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Tiingo OHLCV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~100 instruments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6h → 4 windows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~2,000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DeFiLlama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~4 metrics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~100 protocols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12h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~800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Etherscan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 (inflow, outflow)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18 instruments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8h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~108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FRED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24 series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24h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~24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CoinPaprika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~2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~100 assets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24h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~200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SoSoValue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~3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3 ETFs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24h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~9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BGeometrics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 assets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24h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~8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CoinMetrics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~1</w:t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~5 assets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24h</w:t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~5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/>
            </w:r>
          </w:p>
        </w:tc>
        <w:tc>
          <w:tcPr>
            <w:tcW w:type="dxa" w:w="21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~5,800–6,000 rows/day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b/>
          <w:bCs/>
        </w:rPr>
        <w:t xml:space="preserve">Per-export delta (normal operation): </w:t>
      </w:r>
      <w:r>
        <w:t xml:space="preserve">~1,300–1,600 rows per event-triggered run (8-hour collection window). FINAL query overhead on this volume: &lt; 1 second.</w:t>
      </w:r>
    </w:p>
    <w:p>
      <w:pPr>
        <w:spacing w:after="100" w:before="40"/>
      </w:pPr>
      <w:r>
        <w:rPr>
          <w:b/>
          <w:bCs/>
        </w:rPr>
        <w:t xml:space="preserve">Annual Silver accumulation: </w:t>
      </w:r>
      <w:r>
        <w:t xml:space="preserve">~2.1M rows (Year 1). ~4.2M rows (Year 2). The 1M+ delta scenario is only reachable via cold-start bootstrap or deliberate historical backfill — not via normal incremental operation.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8.2 FINAL Query Benchmark Plan</w:t>
      </w:r>
    </w:p>
    <w:p>
      <w:pPr>
        <w:spacing w:after="80" w:before="60"/>
      </w:pPr>
      <w:r>
        <w:rPr>
          <w:b/>
          <w:bCs/>
        </w:rPr>
        <w:t xml:space="preserve">FINAL on a scoped delta is not FINAL on the full table.</w:t>
      </w:r>
      <w:r>
        <w:t xml:space="preserve"> The WHERE clause filters by ingested_at before FINAL's deduplication pass. At 1M rows in the delta (backfill scenario), FINAL deduplicates 1M rows against the ordering key — not the full 4M+ row table. Estimated time: 2–5 seconds on proxmox hardware.</w:t>
      </w:r>
    </w:p>
    <w:p>
      <w:pPr>
        <w:pBdr>
          <w:left w:val="single" w:color="2E5FA3" w:sz="12" w:space="8"/>
        </w:pBdr>
        <w:shd w:fill="D6E4F7" w:val="clear"/>
        <w:spacing w:after="100" w:before="100"/>
        <w:ind w:left="360" w:right="360"/>
      </w:pPr>
      <w:r>
        <w:rPr>
          <w:b/>
          <w:bCs/>
        </w:rPr>
        <w:t xml:space="preserve">Recommendation: </w:t>
      </w:r>
      <w:r>
        <w:t xml:space="preserve">Add synthetic benchmark checkpoints to the Phase 1 gate. Do not defer to Phase 2.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step</w:t>
            </w:r>
          </w:p>
        </w:tc>
        <w:tc>
          <w:tcPr>
            <w:tcW w:type="dxa" w:w="468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criterion</w:t>
            </w:r>
          </w:p>
        </w:tc>
      </w:tr>
      <w:tr>
        <w:tc>
          <w:tcPr>
            <w:tcW w:type="dxa" w:w="46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Insert 100k synthetic rows with varied ingested_at timestamps</w:t>
            </w:r>
          </w:p>
        </w:tc>
        <w:tc>
          <w:tcPr>
            <w:tcW w:type="dxa" w:w="46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Completes without error</w:t>
            </w:r>
          </w:p>
        </w:tc>
      </w:tr>
      <w:tr>
        <w:tc>
          <w:tcPr>
            <w:tcW w:type="dxa" w:w="46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Delta FINAL query over 50k-row window</w:t>
            </w:r>
          </w:p>
        </w:tc>
        <w:tc>
          <w:tcPr>
            <w:tcW w:type="dxa" w:w="46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Wall time &lt; 10 seconds</w:t>
            </w:r>
          </w:p>
        </w:tc>
      </w:tr>
      <w:tr>
        <w:tc>
          <w:tcPr>
            <w:tcW w:type="dxa" w:w="46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Delta FINAL query over 500k-row window (simulated backfill)</w:t>
            </w:r>
          </w:p>
        </w:tc>
        <w:tc>
          <w:tcPr>
            <w:tcW w:type="dxa" w:w="46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Wall time &lt; 60 seconds</w:t>
            </w:r>
          </w:p>
        </w:tc>
      </w:tr>
      <w:tr>
        <w:tc>
          <w:tcPr>
            <w:tcW w:type="dxa" w:w="46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Document results in Phase 1 completion report</w:t>
            </w:r>
          </w:p>
        </w:tc>
        <w:tc>
          <w:tcPr>
            <w:tcW w:type="dxa" w:w="46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Baseline recorded for Phase 2 regression testing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8.3 ClickHouse Parts Count — Monthly Maintenance</w:t>
      </w:r>
    </w:p>
    <w:p>
      <w:pPr>
        <w:spacing w:after="60" w:before="60"/>
      </w:pPr>
      <w:r>
        <w:t xml:space="preserve">ClickHouse ReplacingMergeTree with a large unmerged parts count degrades FINAL query time non-linearly. Add a monthly maintenance check to the operational runbook: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-- Check parts count (run monthly)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SELECT count() AS parts_count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FROM system.parts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WHERE table = 'observations' AND database = 'forge' AND active;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/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-- If parts_count &gt; 200, schedule OPTIMIZE during maintenance window: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-- OPTIMIZE TABLE forge.observations FINAL;</w:t>
      </w:r>
    </w:p>
    <w:p>
      <w:pPr>
        <w:shd w:fill="F0F3F8" w:val="clear"/>
        <w:spacing w:after="0" w:before="0"/>
        <w:ind w:left="360"/>
      </w:pPr>
      <w:r>
        <w:rPr>
          <w:rFonts w:ascii="Courier New" w:cs="Courier New" w:eastAsia="Courier New" w:hAnsi="Courier New"/>
          <w:color w:val="3A3A3A"/>
          <w:sz w:val="16"/>
          <w:szCs w:val="16"/>
        </w:rPr>
        <w:t xml:space="preserve">-- (Not on the hot path. Maintenance window only.)</w:t>
      </w:r>
    </w:p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9. Architect Confirmation Items</w:t>
      </w:r>
    </w:p>
    <w:p>
      <w:pPr>
        <w:spacing w:after="80" w:before="60"/>
      </w:pPr>
      <w:r>
        <w:t xml:space="preserve">The following decisions are resolved per the architect's session responses. Recorded here for the design document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6360"/>
      </w:tblGrid>
      <w:tr>
        <w:tc>
          <w:tcPr>
            <w:tcW w:type="dxa" w:w="4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6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4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Q1</w:t>
            </w:r>
          </w:p>
        </w:tc>
        <w:tc>
          <w:tcPr>
            <w:tcW w:type="dxa" w:w="2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Watermark storage location</w:t>
            </w:r>
          </w:p>
        </w:tc>
        <w:tc>
          <w:tcPr>
            <w:tcW w:type="dxa" w:w="6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Dagster asset materialization metadata. Optimal for Phase 1 — no schema deps, auto-persists, queryable via Dagit UI/API. Switch to forge.export_checkpoint (single-row upsert) only if dashboard visibility needed before Dagster integration. Decision: Dagster metadata.</w:t>
            </w:r>
          </w:p>
        </w:tc>
      </w:tr>
      <w:tr>
        <w:tc>
          <w:tcPr>
            <w:tcW w:type="dxa" w:w="4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Q2</w:t>
            </w:r>
          </w:p>
        </w:tc>
        <w:tc>
          <w:tcPr>
            <w:tcW w:type="dxa" w:w="2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Anomaly threshold definition</w:t>
            </w:r>
          </w:p>
        </w:tc>
        <w:tc>
          <w:tcPr>
            <w:tcW w:type="dxa" w:w="6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10× rolling 7-day average post-bootstrap. Fixed floor of 2M rows during first 7 days to prevent false alerts on legitimate backfills. Thereafter: MIN(10× rolling avg, 2M rows). Decision: Confirmed.</w:t>
            </w:r>
          </w:p>
        </w:tc>
      </w:tr>
      <w:tr>
        <w:tc>
          <w:tcPr>
            <w:tcW w:type="dxa" w:w="4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Q3</w:t>
            </w:r>
          </w:p>
        </w:tc>
        <w:tc>
          <w:tcPr>
            <w:tcW w:type="dxa" w:w="2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Gold partition granularity</w:t>
            </w:r>
          </w:p>
        </w:tc>
        <w:tc>
          <w:tcPr>
            <w:tcW w:type="dxa" w:w="6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(year_month, metric_domain) for Phase 1. Derivatives sub-partitioning (by week or instrument prefix) deferred to Phase 2 if DuckDB scan latency degrades. Iceberg schema evolution supports non-disruptive partition spec changes. Decision: Confirmed v1 granularity.</w:t>
            </w:r>
          </w:p>
        </w:tc>
      </w:tr>
      <w:tr>
        <w:tc>
          <w:tcPr>
            <w:tcW w:type="dxa" w:w="4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Q4</w:t>
            </w:r>
          </w:p>
        </w:tc>
        <w:tc>
          <w:tcPr>
            <w:tcW w:type="dxa" w:w="2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Sensor polling interval</w:t>
            </w:r>
          </w:p>
        </w:tc>
        <w:tc>
          <w:tcPr>
            <w:tcW w:type="dxa" w:w="6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30-second default. Negligible overhead (~0.1%) against 44-minute compute path. 600-second minimum_interval_seconds guard handles burst firing. Decision: 30s confirmed.</w:t>
            </w:r>
          </w:p>
        </w:tc>
      </w:tr>
      <w:tr>
        <w:tc>
          <w:tcPr>
            <w:tcW w:type="dxa" w:w="4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Q5</w:t>
            </w:r>
          </w:p>
        </w:tc>
        <w:tc>
          <w:tcPr>
            <w:tcW w:type="dxa" w:w="26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A3A3A"/>
                <w:sz w:val="18"/>
                <w:szCs w:val="18"/>
              </w:rPr>
              <w:t xml:space="preserve">Iceberg write library</w:t>
            </w:r>
          </w:p>
        </w:tc>
        <w:tc>
          <w:tcPr>
            <w:tcW w:type="dxa" w:w="636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PyIceberg. Mature ACID support, schema evolution, no Spark overhead. DuckDB Iceberg writes are read-only as of early 2026. Benchmark vs. Trino if DuckDB scan latency degrades at scale. Decision: PyIceberg confirmed.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  <w:pBdr>
          <w:bottom w:val="single" w:color="2E5FA3" w:sz="6" w:space="4"/>
        </w:pBdr>
        <w:spacing w:after="120" w:before="360"/>
      </w:pPr>
      <w:r>
        <w:rPr>
          <w:rFonts w:ascii="Arial" w:cs="Arial" w:eastAsia="Arial" w:hAnsi="Arial"/>
          <w:b/>
          <w:bCs/>
        </w:rPr>
        <w:t xml:space="preserve">10. design_index.md Update — Known Gaps</w:t>
      </w:r>
    </w:p>
    <w:p>
      <w:pPr>
        <w:spacing w:after="80" w:before="60"/>
      </w:pPr>
      <w:r>
        <w:t xml:space="preserve">The following row should be added to the Known Gaps table in design_index.md: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358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Handling</w:t>
            </w:r>
          </w:p>
        </w:tc>
        <w:tc>
          <w:tcPr>
            <w:tcW w:type="dxa" w:w="3580"/>
            <w:gridSpan w:val="1"/>
            <w:tcBorders>
              <w:top w:val="single" w:color="1A2B4A" w:sz="1"/>
              <w:left w:val="single" w:color="1A2B4A" w:sz="1"/>
              <w:bottom w:val="single" w:color="1A2B4A" w:sz="1"/>
              <w:right w:val="single" w:color="1A2B4A" w:sz="1"/>
            </w:tcBorders>
            <w:shd w:fill="1A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Trigger</w:t>
            </w:r>
          </w:p>
        </w:tc>
      </w:tr>
      <w:tr>
        <w:tc>
          <w:tcPr>
            <w:tcW w:type="dxa" w:w="220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Silver → Gold export cadence (6h original design)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RESOLVED: hybrid event-triggered sensor (fires after any collection materialization) + 1-hour fallback schedule. Worst-case Gold freshness: 44 minutes. SLA (90 min) confirmed met. See RESULT_ID_C1_SILVERGOLD_EXPORT_SLARESOLUTION.</w:t>
            </w:r>
          </w:p>
        </w:tc>
        <w:tc>
          <w:tcPr>
            <w:tcW w:type="dxa" w:w="3580"/>
            <w:gridSpan w:val="1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A3A3A"/>
                <w:sz w:val="18"/>
                <w:szCs w:val="18"/>
              </w:rPr>
              <w:t xml:space="preserve">Phase 1 build (export asset implementation). Benchmark checkpoints added to Phase 1 gate.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</w:rPr>
        <w:t xml:space="preserve">10.1 thread_infrastructure.md Correction Required</w:t>
      </w:r>
    </w:p>
    <w:p>
      <w:pPr>
        <w:pBdr>
          <w:left w:val="single" w:color="C87A00" w:sz="12" w:space="8"/>
        </w:pBdr>
        <w:shd w:fill="FFF8E6" w:val="clear"/>
        <w:spacing w:after="100" w:before="100"/>
        <w:ind w:left="360" w:right="360"/>
      </w:pPr>
      <w:r>
        <w:rPr>
          <w:b/>
          <w:bCs/>
        </w:rPr>
        <w:t xml:space="preserve">Stale reference: </w:t>
      </w:r>
      <w:r>
        <w:t xml:space="preserve">thread_infrastructure.md §Layer 5 and §Layer 4 both state "Populated by incremental export from Silver every 6h." This cadence is superseded by the hybrid trigger model documented here. Update both references to: "Populated by event-triggered Silver → Gold export (multi_asset_sensor) with 1-hour fallback schedule. See RESULT_ID_C1_SILVERGOLD_EXPORT_SLARESOLUTION."</w:t>
      </w:r>
    </w:p>
    <w:p>
      <w:pPr>
        <w:spacing w:after="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Bdr>
          <w:top w:val="single" w:color="D0D7E3" w:sz="4" w:space="4"/>
        </w:pBdr>
        <w:spacing w:after="60" w:before="0"/>
      </w:pPr>
      <w:r>
        <w:rPr>
          <w:sz w:val="8"/>
          <w:szCs w:val="8"/>
        </w:rPr>
        <w:t xml:space="preserve"/>
      </w:r>
    </w:p>
    <w:p>
      <w:r>
        <w:rPr>
          <w:rFonts w:ascii="Arial" w:cs="Arial" w:eastAsia="Arial" w:hAnsi="Arial"/>
          <w:color w:val="6B8CAE"/>
          <w:sz w:val="16"/>
          <w:szCs w:val="16"/>
        </w:rPr>
        <w:t xml:space="preserve">RESULT_ID_C1_SILVERGOLD_EXPORT_SLARESOLUTION  |  FromTheBridge Empire Architecture v2.0  |  2026-03-06  |  Status: Locked pending architect confirmation  |  Phase 1 build input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E3" w:sz="4" w:space="4"/>
      </w:pBdr>
    </w:pPr>
    <w:r>
      <w:rPr>
        <w:rFonts w:ascii="Arial" w:cs="Arial" w:eastAsia="Arial" w:hAnsi="Arial"/>
        <w:color w:val="6B8CAE"/>
        <w:sz w:val="16"/>
        <w:szCs w:val="16"/>
      </w:rPr>
      <w:t xml:space="preserve">Empire Architecture v2.0  |  Phase 1 Build Input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E3" w:sz="4" w:space="4"/>
      </w:pBdr>
    </w:pPr>
    <w:r>
      <w:rPr>
        <w:rFonts w:ascii="Arial" w:cs="Arial" w:eastAsia="Arial" w:hAnsi="Arial"/>
        <w:color w:val="6B8CAE"/>
        <w:sz w:val="16"/>
        <w:szCs w:val="16"/>
      </w:rPr>
      <w:t xml:space="preserve">FromTheBridge — RESULT_ID_C1_SILVERGOLD_EXPORT_SLARESOLUTION</w:t>
    </w:r>
    <w:r>
      <w:rPr>
        <w:rFonts w:ascii="Arial" w:cs="Arial" w:eastAsia="Arial" w:hAnsi="Arial"/>
        <w:color w:val="D0D7E3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6B8CAE"/>
        <w:sz w:val="16"/>
        <w:szCs w:val="16"/>
      </w:rPr>
      <w:t xml:space="preserve">CONFIDENTIAL — INTERNAL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3A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B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A7FC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2026-03-06T18:21:41.901Z</dcterms:created>
  <dcterms:modified xsi:type="dcterms:W3CDTF">2026-03-06T18:21:41.902Z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