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jc w:val="center"/>
      </w:pPr>
      <w:r>
        <w:rPr>
          <w:rFonts w:ascii="Arial" w:cs="Arial" w:eastAsia="Arial" w:hAnsi="Arial"/>
          <w:b/>
          <w:bCs/>
          <w:caps/>
          <w:color w:val="1B2A4A"/>
          <w:sz w:val="56"/>
          <w:szCs w:val="56"/>
        </w:rPr>
        <w:t xml:space="preserve">FROMTHEBRIDGE</w:t>
      </w:r>
    </w:p>
    <w:p>
      <w:pPr>
        <w:pBdr>
          <w:bottom w:val="single" w:color="0E7490" w:sz="6" w:space="8"/>
        </w:pBdr>
        <w:spacing w:after="40" w:before="0"/>
        <w:jc w:val="center"/>
      </w:pPr>
      <w:r>
        <w:rPr>
          <w:rFonts w:ascii="Arial" w:cs="Arial" w:eastAsia="Arial" w:hAnsi="Arial"/>
          <w:i/>
          <w:iCs/>
          <w:color w:val="0E7490"/>
          <w:sz w:val="26"/>
          <w:szCs w:val="26"/>
        </w:rPr>
        <w:t xml:space="preserve">Empire Architecture v2.0</w:t>
      </w:r>
    </w:p>
    <w:p>
      <w:pPr>
        <w:spacing w:after="0" w:before="80"/>
      </w:pPr>
    </w:p>
    <w:p>
      <w:pPr>
        <w:spacing w:after="120" w:before="0"/>
        <w:jc w:val="center"/>
      </w:pPr>
      <w:r>
        <w:rPr>
          <w:rFonts w:ascii="Arial" w:cs="Arial" w:eastAsia="Arial" w:hAnsi="Arial"/>
          <w:b/>
          <w:bCs/>
          <w:caps/>
          <w:color w:val="0E7490"/>
          <w:sz w:val="44"/>
          <w:szCs w:val="44"/>
        </w:rPr>
        <w:t xml:space="preserve">RESULT_ID_F1_CUSTOMER_ACQUISITION_PLAN</w:t>
      </w:r>
    </w:p>
    <w:p>
      <w:pPr>
        <w:spacing w:after="40" w:before="0"/>
        <w:jc w:val="center"/>
      </w:pPr>
      <w:r>
        <w:rPr>
          <w:rFonts w:ascii="Arial" w:cs="Arial" w:eastAsia="Arial" w:hAnsi="Arial"/>
          <w:i/>
          <w:iCs/>
          <w:color w:val="1E293B"/>
          <w:sz w:val="28"/>
          <w:szCs w:val="28"/>
        </w:rPr>
        <w:t xml:space="preserve">Go-to-Market Strategy &amp; Customer Acquisition Design Document</w:t>
      </w:r>
    </w:p>
    <w:p>
      <w:pPr>
        <w:spacing w:after="0" w:before="400"/>
      </w:pP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spacing w:after="40" w:before="0"/>
              <w:jc w:val="right"/>
            </w:pPr>
            <w:r>
              <w:rPr>
                <w:rFonts w:ascii="Arial" w:cs="Arial" w:eastAsia="Arial" w:hAnsi="Arial"/>
                <w:b/>
                <w:bCs/>
                <w:color w:val="0E7490"/>
                <w:sz w:val="22"/>
                <w:szCs w:val="22"/>
              </w:rPr>
              <w:t xml:space="preserve">Date: </w:t>
            </w:r>
          </w:p>
        </w:tc>
        <w:tc>
          <w:tcPr>
            <w:tcW w:type="dxa" w:w="3000"/>
            <w:tcBorders>
              <w:top w:val="none" w:color="FFFFFF" w:sz="0"/>
              <w:left w:val="none" w:color="FFFFFF" w:sz="0"/>
              <w:bottom w:val="none" w:color="FFFFFF" w:sz="0"/>
              <w:right w:val="none" w:color="FFFFFF" w:sz="0"/>
            </w:tcBorders>
          </w:tcPr>
          <w:p>
            <w:pPr>
              <w:spacing w:after="40" w:before="0"/>
            </w:pPr>
            <w:r>
              <w:rPr>
                <w:rFonts w:ascii="Arial" w:cs="Arial" w:eastAsia="Arial" w:hAnsi="Arial"/>
                <w:color w:val="1E293B"/>
                <w:sz w:val="22"/>
                <w:szCs w:val="22"/>
              </w:rPr>
              <w:t xml:space="preserve">2026-03-06</w:t>
            </w:r>
          </w:p>
        </w:tc>
      </w:tr>
      <w:tr>
        <w:tc>
          <w:tcPr>
            <w:tcW w:type="dxa" w:w="3000"/>
            <w:tcBorders>
              <w:top w:val="none" w:color="FFFFFF" w:sz="0"/>
              <w:left w:val="none" w:color="FFFFFF" w:sz="0"/>
              <w:bottom w:val="none" w:color="FFFFFF" w:sz="0"/>
              <w:right w:val="none" w:color="FFFFFF" w:sz="0"/>
            </w:tcBorders>
          </w:tcPr>
          <w:p>
            <w:pPr>
              <w:spacing w:after="40" w:before="0"/>
              <w:jc w:val="right"/>
            </w:pPr>
            <w:r>
              <w:rPr>
                <w:rFonts w:ascii="Arial" w:cs="Arial" w:eastAsia="Arial" w:hAnsi="Arial"/>
                <w:b/>
                <w:bCs/>
                <w:color w:val="0E7490"/>
                <w:sz w:val="22"/>
                <w:szCs w:val="22"/>
              </w:rPr>
              <w:t xml:space="preserve">Status: </w:t>
            </w:r>
          </w:p>
        </w:tc>
        <w:tc>
          <w:tcPr>
            <w:tcW w:type="dxa" w:w="3000"/>
            <w:tcBorders>
              <w:top w:val="none" w:color="FFFFFF" w:sz="0"/>
              <w:left w:val="none" w:color="FFFFFF" w:sz="0"/>
              <w:bottom w:val="none" w:color="FFFFFF" w:sz="0"/>
              <w:right w:val="none" w:color="FFFFFF" w:sz="0"/>
            </w:tcBorders>
          </w:tcPr>
          <w:p>
            <w:pPr>
              <w:spacing w:after="40" w:before="0"/>
            </w:pPr>
            <w:r>
              <w:rPr>
                <w:rFonts w:ascii="Arial" w:cs="Arial" w:eastAsia="Arial" w:hAnsi="Arial"/>
                <w:color w:val="1E293B"/>
                <w:sz w:val="22"/>
                <w:szCs w:val="22"/>
              </w:rPr>
              <w:t xml:space="preserve">LOCKED — Architect Confirmed</w:t>
            </w:r>
          </w:p>
        </w:tc>
      </w:tr>
      <w:tr>
        <w:tc>
          <w:tcPr>
            <w:tcW w:type="dxa" w:w="3000"/>
            <w:tcBorders>
              <w:top w:val="none" w:color="FFFFFF" w:sz="0"/>
              <w:left w:val="none" w:color="FFFFFF" w:sz="0"/>
              <w:bottom w:val="none" w:color="FFFFFF" w:sz="0"/>
              <w:right w:val="none" w:color="FFFFFF" w:sz="0"/>
            </w:tcBorders>
          </w:tcPr>
          <w:p>
            <w:pPr>
              <w:spacing w:after="40" w:before="0"/>
              <w:jc w:val="right"/>
            </w:pPr>
            <w:r>
              <w:rPr>
                <w:rFonts w:ascii="Arial" w:cs="Arial" w:eastAsia="Arial" w:hAnsi="Arial"/>
                <w:b/>
                <w:bCs/>
                <w:color w:val="0E7490"/>
                <w:sz w:val="22"/>
                <w:szCs w:val="22"/>
              </w:rPr>
              <w:t xml:space="preserve">Phase Gate: </w:t>
            </w:r>
          </w:p>
        </w:tc>
        <w:tc>
          <w:tcPr>
            <w:tcW w:type="dxa" w:w="3000"/>
            <w:tcBorders>
              <w:top w:val="none" w:color="FFFFFF" w:sz="0"/>
              <w:left w:val="none" w:color="FFFFFF" w:sz="0"/>
              <w:bottom w:val="none" w:color="FFFFFF" w:sz="0"/>
              <w:right w:val="none" w:color="FFFFFF" w:sz="0"/>
            </w:tcBorders>
          </w:tcPr>
          <w:p>
            <w:pPr>
              <w:spacing w:after="40" w:before="0"/>
            </w:pPr>
            <w:r>
              <w:rPr>
                <w:rFonts w:ascii="Arial" w:cs="Arial" w:eastAsia="Arial" w:hAnsi="Arial"/>
                <w:color w:val="1E293B"/>
                <w:sz w:val="22"/>
                <w:szCs w:val="22"/>
              </w:rPr>
              <w:t xml:space="preserve">Required before Phase 5 (Serving)</w:t>
            </w:r>
          </w:p>
        </w:tc>
      </w:tr>
      <w:tr>
        <w:tc>
          <w:tcPr>
            <w:tcW w:type="dxa" w:w="3000"/>
            <w:tcBorders>
              <w:top w:val="none" w:color="FFFFFF" w:sz="0"/>
              <w:left w:val="none" w:color="FFFFFF" w:sz="0"/>
              <w:bottom w:val="none" w:color="FFFFFF" w:sz="0"/>
              <w:right w:val="none" w:color="FFFFFF" w:sz="0"/>
            </w:tcBorders>
          </w:tcPr>
          <w:p>
            <w:pPr>
              <w:spacing w:after="40" w:before="0"/>
              <w:jc w:val="right"/>
            </w:pPr>
            <w:r>
              <w:rPr>
                <w:rFonts w:ascii="Arial" w:cs="Arial" w:eastAsia="Arial" w:hAnsi="Arial"/>
                <w:b/>
                <w:bCs/>
                <w:color w:val="0E7490"/>
                <w:sz w:val="22"/>
                <w:szCs w:val="22"/>
              </w:rPr>
              <w:t xml:space="preserve">Session ID: </w:t>
            </w:r>
          </w:p>
        </w:tc>
        <w:tc>
          <w:tcPr>
            <w:tcW w:type="dxa" w:w="3000"/>
            <w:tcBorders>
              <w:top w:val="none" w:color="FFFFFF" w:sz="0"/>
              <w:left w:val="none" w:color="FFFFFF" w:sz="0"/>
              <w:bottom w:val="none" w:color="FFFFFF" w:sz="0"/>
              <w:right w:val="none" w:color="FFFFFF" w:sz="0"/>
            </w:tcBorders>
          </w:tcPr>
          <w:p>
            <w:pPr>
              <w:spacing w:after="40" w:before="0"/>
            </w:pPr>
            <w:r>
              <w:rPr>
                <w:rFonts w:ascii="Arial" w:cs="Arial" w:eastAsia="Arial" w:hAnsi="Arial"/>
                <w:color w:val="1E293B"/>
                <w:sz w:val="22"/>
                <w:szCs w:val="22"/>
              </w:rPr>
              <w:t xml:space="preserve">Prompt 7 of N — F1</w:t>
            </w:r>
          </w:p>
        </w:tc>
      </w:tr>
    </w:tbl>
    <w:p>
      <w:pPr>
        <w:spacing w:after="0" w:before="600"/>
      </w:pPr>
    </w:p>
    <w:p>
      <w:pPr>
        <w:jc w:val="center"/>
      </w:pPr>
      <w:r>
        <w:rPr>
          <w:rFonts w:ascii="Arial" w:cs="Arial" w:eastAsia="Arial" w:hAnsi="Arial"/>
          <w:i/>
          <w:iCs/>
          <w:color w:val="0E7490"/>
          <w:sz w:val="20"/>
          <w:szCs w:val="20"/>
        </w:rPr>
        <w:t xml:space="preserve">This document records all decisions from the F1 customer acquisition design session.
All 8 open assumptions are locked. Use this document to update the final design document
and generate CC prompts for the Phase 5 serving layer build.</w:t>
      </w:r>
    </w:p>
    <w:p>
      <w:r>
        <w:br w:type="page"/>
      </w:r>
    </w:p>
    <w:p>
      <w:pPr>
        <w:pStyle w:val="Heading1"/>
        <w:pBdr>
          <w:bottom w:val="single" w:color="0E7490" w:sz="8" w:space="6"/>
        </w:pBdr>
        <w:spacing w:after="120" w:before="360"/>
      </w:pPr>
      <w:r>
        <w:rPr>
          <w:rFonts w:ascii="Arial" w:cs="Arial" w:eastAsia="Arial" w:hAnsi="Arial"/>
          <w:b/>
          <w:bCs/>
          <w:color w:val="1B2A4A"/>
          <w:sz w:val="36"/>
          <w:szCs w:val="36"/>
        </w:rPr>
        <w:t xml:space="preserve">1. Executive Summary</w:t>
      </w:r>
    </w:p>
    <w:p>
      <w:pPr>
        <w:spacing w:after="80" w:before="80"/>
      </w:pPr>
      <w:r>
        <w:rPr>
          <w:rFonts w:ascii="Arial" w:cs="Arial" w:eastAsia="Arial" w:hAnsi="Arial"/>
          <w:color w:val="1E293B"/>
        </w:rPr>
        <w:t xml:space="preserve">The F1 Customer Acquisition Plan defines the go-to-market strategy for FromTheBridge v1. It establishes positioning, customer profiles, pricing, a pre-launch track record strategy, and a 90-day sprint plan executable alongside the Phase 3–5 technical build.</w:t>
      </w:r>
    </w:p>
    <w:p>
      <w:pPr>
        <w:spacing w:after="4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E7490" w:sz="12"/>
              <w:left w:val="single" w:color="0E7490" w:sz="12"/>
              <w:bottom w:val="single" w:color="CBD5E1" w:sz="1"/>
              <w:right w:val="none" w:color="FFFFFF" w:sz="0"/>
            </w:tcBorders>
            <w:shd w:fill="F1F5F9" w:val="clear"/>
            <w:tcMar>
              <w:top w:type="dxa" w:w="120"/>
              <w:left w:type="dxa" w:w="160"/>
              <w:bottom w:type="dxa" w:w="120"/>
              <w:right w:type="dxa" w:w="120"/>
            </w:tcMar>
          </w:tcPr>
          <w:p>
            <w:pPr>
              <w:spacing w:after="40" w:before="0"/>
            </w:pPr>
            <w:r>
              <w:rPr>
                <w:rFonts w:ascii="Arial" w:cs="Arial" w:eastAsia="Arial" w:hAnsi="Arial"/>
                <w:b/>
                <w:bCs/>
                <w:caps/>
                <w:color w:val="0E7490"/>
                <w:sz w:val="20"/>
                <w:szCs w:val="20"/>
              </w:rPr>
              <w:t xml:space="preserve">Core Strategy</w:t>
            </w:r>
          </w:p>
          <w:p>
            <w:pPr>
              <w:spacing w:after="0" w:before="0"/>
            </w:pPr>
            <w:r>
              <w:rPr>
                <w:rFonts w:ascii="Arial" w:cs="Arial" w:eastAsia="Arial" w:hAnsi="Arial"/>
                <w:color w:val="1E293B"/>
                <w:sz w:val="22"/>
                <w:szCs w:val="22"/>
              </w:rPr>
              <w:t xml:space="preserve">Track-record-first. Profile A (prosumer quants) is acquired first via methodology-led content pull to validate credibility. Profile A traction unlocks Profile B (protocol ecosystem clients). The first material revenue event is a protocol report engagement, not subscription volume.</w:t>
            </w:r>
          </w:p>
        </w:tc>
      </w:tr>
    </w:tbl>
    <w:p>
      <w:pPr>
        <w:spacing w:after="40" w:before="100"/>
      </w:pPr>
    </w:p>
    <w:p>
      <w:pPr>
        <w:pStyle w:val="Heading2"/>
        <w:spacing w:after="100" w:before="280"/>
      </w:pPr>
      <w:r>
        <w:rPr>
          <w:rFonts w:ascii="Arial" w:cs="Arial" w:eastAsia="Arial" w:hAnsi="Arial"/>
          <w:b/>
          <w:bCs/>
          <w:color w:val="0E7490"/>
          <w:sz w:val="28"/>
          <w:szCs w:val="28"/>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Metric</w:t>
            </w:r>
          </w:p>
        </w:tc>
        <w:tc>
          <w:tcPr>
            <w:tcW w:type="dxa" w:w="57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Value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 tier price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$199/month | $1,990/year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First protocol engagement (founding rate)</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$4,500 (one-time, first customer only)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Standard protocol report (one-time)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$7,500</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90-day retainer (3 monthly reports)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$18,000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Institutional tier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$2,500/month</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Shadow period target</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60–90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Break-even (6 months)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~10 Pro subscribers OR 1 protocol engagement</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Target MRR at 12 months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$8,000/month</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GTM time investment (90-day sprint)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~27 hours total (~1.7h/week)</w:t>
            </w:r>
          </w:p>
        </w:tc>
      </w:tr>
    </w:tbl>
    <w:p>
      <w:pPr>
        <w:spacing w:after="80" w:before="160"/>
      </w:pPr>
    </w:p>
    <w:p>
      <w:pPr>
        <w:pStyle w:val="Heading2"/>
        <w:spacing w:after="100" w:before="280"/>
      </w:pPr>
      <w:r>
        <w:rPr>
          <w:rFonts w:ascii="Arial" w:cs="Arial" w:eastAsia="Arial" w:hAnsi="Arial"/>
          <w:b/>
          <w:bCs/>
          <w:color w:val="0E7490"/>
          <w:sz w:val="28"/>
          <w:szCs w:val="28"/>
        </w:rPr>
        <w:t xml:space="preserve">Supersedes Prior Design Language</w:t>
      </w:r>
    </w:p>
    <w:p>
      <w:pPr>
        <w:spacing w:after="80" w:before="80"/>
      </w:pPr>
      <w:r>
        <w:rPr>
          <w:rFonts w:ascii="Arial" w:cs="Arial" w:eastAsia="Arial" w:hAnsi="Arial"/>
          <w:color w:val="1E293B"/>
        </w:rPr>
        <w:t xml:space="preserve">The prior design document stated only: 'direct engagement, manual invoicing, no free trials.' This document replaces that placeholder with an executable mechanism:</w:t>
      </w:r>
    </w:p>
    <w:p>
      <w:pPr>
        <w:pStyle w:val="ListParagraph"/>
        <w:numPr>
          <w:ilvl w:val="0"/>
          <w:numId w:val="2"/>
        </w:numPr>
        <w:spacing w:after="40" w:before="40"/>
      </w:pPr>
      <w:r>
        <w:rPr>
          <w:rFonts w:ascii="Arial" w:cs="Arial" w:eastAsia="Arial" w:hAnsi="Arial"/>
          <w:color w:val="1E293B"/>
          <w:sz w:val="22"/>
          <w:szCs w:val="22"/>
        </w:rPr>
        <w:t xml:space="preserve">Free preview (not a trial) — 48h-delayed top-10 composite score on the website, no account required</w:t>
      </w:r>
    </w:p>
    <w:p>
      <w:pPr>
        <w:pStyle w:val="ListParagraph"/>
        <w:numPr>
          <w:ilvl w:val="0"/>
          <w:numId w:val="2"/>
        </w:numPr>
        <w:spacing w:after="40" w:before="40"/>
      </w:pPr>
      <w:r>
        <w:rPr>
          <w:rFonts w:ascii="Arial" w:cs="Arial" w:eastAsia="Arial" w:hAnsi="Arial"/>
          <w:color w:val="1E293B"/>
          <w:sz w:val="22"/>
          <w:szCs w:val="22"/>
        </w:rPr>
        <w:t xml:space="preserve">Content-first pull (not cold outreach) — methodology publication and a single high-leverage technical post generate Profile A discovery</w:t>
      </w:r>
    </w:p>
    <w:p>
      <w:pPr>
        <w:pStyle w:val="ListParagraph"/>
        <w:numPr>
          <w:ilvl w:val="0"/>
          <w:numId w:val="2"/>
        </w:numPr>
        <w:spacing w:after="40" w:before="40"/>
      </w:pPr>
      <w:r>
        <w:rPr>
          <w:rFonts w:ascii="Arial" w:cs="Arial" w:eastAsia="Arial" w:hAnsi="Arial"/>
          <w:color w:val="1E293B"/>
          <w:sz w:val="22"/>
          <w:szCs w:val="22"/>
        </w:rPr>
        <w:t xml:space="preserve">Protocol report path — a drafted v0 report serves as the Profile B conversation opener, not a cold sales pitch</w:t>
      </w:r>
    </w:p>
    <w:p>
      <w:r>
        <w:br w:type="page"/>
      </w:r>
    </w:p>
    <w:p>
      <w:pPr>
        <w:spacing w:after="0" w:before="200"/>
      </w:pPr>
    </w:p>
    <w:p>
      <w:pPr>
        <w:pStyle w:val="Heading1"/>
        <w:pBdr>
          <w:bottom w:val="single" w:color="0E7490" w:sz="8" w:space="6"/>
        </w:pBdr>
        <w:spacing w:after="120" w:before="360"/>
      </w:pPr>
      <w:r>
        <w:rPr>
          <w:rFonts w:ascii="Arial" w:cs="Arial" w:eastAsia="Arial" w:hAnsi="Arial"/>
          <w:b/>
          <w:bCs/>
          <w:color w:val="1B2A4A"/>
          <w:sz w:val="36"/>
          <w:szCs w:val="36"/>
        </w:rPr>
        <w:t xml:space="preserve">2. Positioning Statement</w:t>
      </w:r>
    </w:p>
    <w:p>
      <w:pPr>
        <w:pStyle w:val="Heading2"/>
        <w:spacing w:after="100" w:before="280"/>
      </w:pPr>
      <w:r>
        <w:rPr>
          <w:rFonts w:ascii="Arial" w:cs="Arial" w:eastAsia="Arial" w:hAnsi="Arial"/>
          <w:b/>
          <w:bCs/>
          <w:color w:val="0E7490"/>
          <w:sz w:val="28"/>
          <w:szCs w:val="28"/>
        </w:rPr>
        <w:t xml:space="preserve">Paragraph Version</w:t>
      </w:r>
    </w:p>
    <w:p>
      <w:pPr>
        <w:pBdr>
          <w:left w:val="single" w:color="0E7490" w:sz="16" w:space="12"/>
        </w:pBdr>
        <w:spacing w:after="100" w:before="100"/>
        <w:ind w:left="360" w:right="360"/>
      </w:pPr>
      <w:r>
        <w:rPr>
          <w:rFonts w:ascii="Arial" w:cs="Arial" w:eastAsia="Arial" w:hAnsi="Arial"/>
          <w:i/>
          <w:iCs/>
          <w:color w:val="1E293B"/>
          <w:sz w:val="22"/>
          <w:szCs w:val="22"/>
        </w:rPr>
        <w:t xml:space="preserve">FromTheBridge produces systematic, auditable crypto market signals built on a four-domain intelligence stack: derivatives positioning, on-chain capital flows, DeFi structural metrics, and macro regime overlay. Every signal outputs a deterministic score with a full pillar-level audit trail alongside a calibrated ML probability — not a black box, not an opinion. Historical data is point-in-time correct, meaning backtests cannot cheat. Coverage spans 121+ instruments from day one, expressed as domain breadth rather than a ticker list. This is the product that quant-oriented traders and institutional allocators have been building in-house because no commercial provider has ever made it available at a reasonable cost with the methodology surfaced.</w:t>
      </w:r>
    </w:p>
    <w:p>
      <w:pPr>
        <w:spacing w:after="40" w:before="120"/>
      </w:pPr>
    </w:p>
    <w:p>
      <w:pPr>
        <w:pStyle w:val="Heading2"/>
        <w:spacing w:after="100" w:before="280"/>
      </w:pPr>
      <w:r>
        <w:rPr>
          <w:rFonts w:ascii="Arial" w:cs="Arial" w:eastAsia="Arial" w:hAnsi="Arial"/>
          <w:b/>
          <w:bCs/>
          <w:color w:val="0E7490"/>
          <w:sz w:val="28"/>
          <w:szCs w:val="28"/>
        </w:rPr>
        <w:t xml:space="preserve">One-Sentence Version (Above the Fold)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E7490" w:sz="12"/>
              <w:left w:val="single" w:color="0E7490" w:sz="12"/>
              <w:bottom w:val="single" w:color="CBD5E1" w:sz="1"/>
              <w:right w:val="none" w:color="FFFFFF" w:sz="0"/>
            </w:tcBorders>
            <w:shd w:fill="F1F5F9" w:val="clear"/>
            <w:tcMar>
              <w:top w:type="dxa" w:w="120"/>
              <w:left w:type="dxa" w:w="160"/>
              <w:bottom w:type="dxa" w:w="120"/>
              <w:right w:type="dxa" w:w="120"/>
            </w:tcMar>
          </w:tcPr>
          <w:p>
            <w:pPr>
              <w:spacing w:after="40" w:before="0"/>
            </w:pPr>
            <w:r>
              <w:rPr>
                <w:rFonts w:ascii="Arial" w:cs="Arial" w:eastAsia="Arial" w:hAnsi="Arial"/>
                <w:b/>
                <w:bCs/>
                <w:caps/>
                <w:color w:val="0E7490"/>
                <w:sz w:val="20"/>
                <w:szCs w:val="20"/>
              </w:rPr>
              <w:t xml:space="preserve">Landing Page Hook</w:t>
            </w:r>
          </w:p>
          <w:p>
            <w:pPr>
              <w:spacing w:after="0" w:before="0"/>
            </w:pPr>
            <w:r>
              <w:rPr>
                <w:rFonts w:ascii="Arial" w:cs="Arial" w:eastAsia="Arial" w:hAnsi="Arial"/>
                <w:color w:val="1E293B"/>
                <w:sz w:val="22"/>
                <w:szCs w:val="22"/>
              </w:rPr>
              <w:t xml:space="preserve">Systematic crypto signals with a full audit trail — deterministic pillar scoring + calibrated ML probabilities, PIT-correct historical data, 121+ instruments.</w:t>
            </w:r>
          </w:p>
        </w:tc>
      </w:tr>
    </w:tbl>
    <w:p>
      <w:pPr>
        <w:spacing w:after="40" w:before="120"/>
      </w:pPr>
    </w:p>
    <w:p>
      <w:pPr>
        <w:pStyle w:val="Heading2"/>
        <w:spacing w:after="100" w:before="280"/>
      </w:pPr>
      <w:r>
        <w:rPr>
          <w:rFonts w:ascii="Arial" w:cs="Arial" w:eastAsia="Arial" w:hAnsi="Arial"/>
          <w:b/>
          <w:bCs/>
          <w:color w:val="0E7490"/>
          <w:sz w:val="28"/>
          <w:szCs w:val="28"/>
        </w:rPr>
        <w:t xml:space="preserve">Differentiation Claims (All True at v1)</w:t>
      </w:r>
    </w:p>
    <w:p>
      <w:pPr>
        <w:pStyle w:val="ListParagraph"/>
        <w:numPr>
          <w:ilvl w:val="0"/>
          <w:numId w:val="2"/>
        </w:numPr>
        <w:spacing w:after="40" w:before="40"/>
      </w:pPr>
      <w:r>
        <w:rPr>
          <w:rFonts w:ascii="Arial" w:cs="Arial" w:eastAsia="Arial" w:hAnsi="Arial"/>
          <w:color w:val="1E293B"/>
          <w:sz w:val="22"/>
          <w:szCs w:val="22"/>
        </w:rPr>
        <w:t xml:space="preserve">PIT-correct historical data — backtests cannot look forward, unlike most commercial providers</w:t>
      </w:r>
    </w:p>
    <w:p>
      <w:pPr>
        <w:pStyle w:val="ListParagraph"/>
        <w:numPr>
          <w:ilvl w:val="0"/>
          <w:numId w:val="2"/>
        </w:numPr>
        <w:spacing w:after="40" w:before="40"/>
      </w:pPr>
      <w:r>
        <w:rPr>
          <w:rFonts w:ascii="Arial" w:cs="Arial" w:eastAsia="Arial" w:hAnsi="Arial"/>
          <w:color w:val="1E293B"/>
          <w:sz w:val="22"/>
          <w:szCs w:val="22"/>
        </w:rPr>
        <w:t xml:space="preserve">Deterministic audit trail — every signal score is decomposable to its pillar-level inputs</w:t>
      </w:r>
    </w:p>
    <w:p>
      <w:pPr>
        <w:pStyle w:val="ListParagraph"/>
        <w:numPr>
          <w:ilvl w:val="0"/>
          <w:numId w:val="2"/>
        </w:numPr>
        <w:spacing w:after="40" w:before="40"/>
      </w:pPr>
      <w:r>
        <w:rPr>
          <w:rFonts w:ascii="Arial" w:cs="Arial" w:eastAsia="Arial" w:hAnsi="Arial"/>
          <w:color w:val="1E293B"/>
          <w:sz w:val="22"/>
          <w:szCs w:val="22"/>
        </w:rPr>
        <w:t xml:space="preserve">Calibrated ML probabilities (ECE &lt; 0.05) — stated confidence means what it says</w:t>
      </w:r>
    </w:p>
    <w:p>
      <w:pPr>
        <w:pStyle w:val="ListParagraph"/>
        <w:numPr>
          <w:ilvl w:val="0"/>
          <w:numId w:val="2"/>
        </w:numPr>
        <w:spacing w:after="40" w:before="40"/>
      </w:pPr>
      <w:r>
        <w:rPr>
          <w:rFonts w:ascii="Arial" w:cs="Arial" w:eastAsia="Arial" w:hAnsi="Arial"/>
          <w:color w:val="1E293B"/>
          <w:sz w:val="22"/>
          <w:szCs w:val="22"/>
        </w:rPr>
        <w:t xml:space="preserve">Null state transparency — the system explicitly communicates when data is stale, rather than defaulting to stale outputs</w:t>
      </w:r>
    </w:p>
    <w:p>
      <w:pPr>
        <w:pStyle w:val="ListParagraph"/>
        <w:numPr>
          <w:ilvl w:val="0"/>
          <w:numId w:val="2"/>
        </w:numPr>
        <w:spacing w:after="40" w:before="40"/>
      </w:pPr>
      <w:r>
        <w:rPr>
          <w:rFonts w:ascii="Arial" w:cs="Arial" w:eastAsia="Arial" w:hAnsi="Arial"/>
          <w:color w:val="1E293B"/>
          <w:sz w:val="22"/>
          <w:szCs w:val="22"/>
        </w:rPr>
        <w:t xml:space="preserve">121+ instrument coverage from day one via derivatives domain breadth</w:t>
      </w:r>
    </w:p>
    <w:p>
      <w:pPr>
        <w:pStyle w:val="ListParagraph"/>
        <w:numPr>
          <w:ilvl w:val="0"/>
          <w:numId w:val="2"/>
        </w:numPr>
        <w:spacing w:after="40" w:before="40"/>
      </w:pPr>
      <w:r>
        <w:rPr>
          <w:rFonts w:ascii="Arial" w:cs="Arial" w:eastAsia="Arial" w:hAnsi="Arial"/>
          <w:color w:val="1E293B"/>
          <w:sz w:val="22"/>
          <w:szCs w:val="22"/>
        </w:rPr>
        <w:t xml:space="preserve">No qualitative overlay — systematic rules, not analyst opinion</w:t>
      </w:r>
    </w:p>
    <w:p>
      <w:r>
        <w:br w:type="page"/>
      </w:r>
    </w:p>
    <w:p>
      <w:pPr>
        <w:spacing w:after="0" w:before="200"/>
      </w:pPr>
    </w:p>
    <w:p>
      <w:pPr>
        <w:pStyle w:val="Heading1"/>
        <w:pBdr>
          <w:bottom w:val="single" w:color="0E7490" w:sz="8" w:space="6"/>
        </w:pBdr>
        <w:spacing w:after="120" w:before="360"/>
      </w:pPr>
      <w:r>
        <w:rPr>
          <w:rFonts w:ascii="Arial" w:cs="Arial" w:eastAsia="Arial" w:hAnsi="Arial"/>
          <w:b/>
          <w:bCs/>
          <w:color w:val="1B2A4A"/>
          <w:sz w:val="36"/>
          <w:szCs w:val="36"/>
        </w:rPr>
        <w:t xml:space="preserve">3. Customer Acquisition Thesis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E7490" w:sz="12"/>
              <w:left w:val="single" w:color="0E7490" w:sz="12"/>
              <w:bottom w:val="single" w:color="CBD5E1" w:sz="1"/>
              <w:right w:val="none" w:color="FFFFFF" w:sz="0"/>
            </w:tcBorders>
            <w:shd w:fill="F1F5F9" w:val="clear"/>
            <w:tcMar>
              <w:top w:type="dxa" w:w="120"/>
              <w:left w:type="dxa" w:w="160"/>
              <w:bottom w:type="dxa" w:w="120"/>
              <w:right w:type="dxa" w:w="120"/>
            </w:tcMar>
          </w:tcPr>
          <w:p>
            <w:pPr>
              <w:spacing w:after="40" w:before="0"/>
            </w:pPr>
            <w:r>
              <w:rPr>
                <w:rFonts w:ascii="Arial" w:cs="Arial" w:eastAsia="Arial" w:hAnsi="Arial"/>
                <w:b/>
                <w:bCs/>
                <w:caps/>
                <w:color w:val="0E7490"/>
                <w:sz w:val="20"/>
                <w:szCs w:val="20"/>
              </w:rPr>
              <w:t xml:space="preserve">Decision</w:t>
            </w:r>
          </w:p>
          <w:p>
            <w:pPr>
              <w:spacing w:after="0" w:before="0"/>
            </w:pPr>
            <w:r>
              <w:rPr>
                <w:rFonts w:ascii="Arial" w:cs="Arial" w:eastAsia="Arial" w:hAnsi="Arial"/>
                <w:color w:val="1E293B"/>
                <w:sz w:val="22"/>
                <w:szCs w:val="22"/>
              </w:rPr>
              <w:t xml:space="preserve">This is a locked decision, not a hypothesis. It defines the sequencing and leverage relationship between Profile A and Profile B.</w:t>
            </w:r>
          </w:p>
        </w:tc>
      </w:tr>
    </w:tbl>
    <w:p>
      <w:pPr>
        <w:spacing w:after="60" w:before="120"/>
      </w:pPr>
    </w:p>
    <w:p>
      <w:pPr>
        <w:pStyle w:val="Heading2"/>
        <w:spacing w:after="100" w:before="280"/>
      </w:pPr>
      <w:r>
        <w:rPr>
          <w:rFonts w:ascii="Arial" w:cs="Arial" w:eastAsia="Arial" w:hAnsi="Arial"/>
          <w:b/>
          <w:bCs/>
          <w:color w:val="0E7490"/>
          <w:sz w:val="28"/>
          <w:szCs w:val="28"/>
        </w:rPr>
        <w:t xml:space="preserve">The Sequencing Logic</w:t>
      </w:r>
    </w:p>
    <w:p>
      <w:pPr>
        <w:spacing w:after="80" w:before="80"/>
      </w:pPr>
      <w:r>
        <w:rPr>
          <w:rFonts w:ascii="Arial" w:cs="Arial" w:eastAsia="Arial" w:hAnsi="Arial"/>
          <w:color w:val="1E293B"/>
        </w:rPr>
        <w:t xml:space="preserve">Profile A (prosumer/retail quant) is acquired first and serves as proof-of-market for Profile B (protocol ecosystem client). Profile A traction provides three things that Profile B procurement requires before a conversation is credible:</w:t>
      </w:r>
    </w:p>
    <w:p>
      <w:pPr>
        <w:pStyle w:val="ListParagraph"/>
        <w:numPr>
          <w:ilvl w:val="0"/>
          <w:numId w:val="3"/>
        </w:numPr>
        <w:spacing w:after="40" w:before="40"/>
      </w:pPr>
      <w:r>
        <w:rPr>
          <w:rFonts w:ascii="Arial" w:cs="Arial" w:eastAsia="Arial" w:hAnsi="Arial"/>
          <w:color w:val="1E293B"/>
          <w:sz w:val="22"/>
          <w:szCs w:val="22"/>
        </w:rPr>
        <w:t xml:space="preserve">Evidence that third parties find the signals valuable enough to pay for</w:t>
      </w:r>
    </w:p>
    <w:p>
      <w:pPr>
        <w:pStyle w:val="ListParagraph"/>
        <w:numPr>
          <w:ilvl w:val="0"/>
          <w:numId w:val="3"/>
        </w:numPr>
        <w:spacing w:after="40" w:before="40"/>
      </w:pPr>
      <w:r>
        <w:rPr>
          <w:rFonts w:ascii="Arial" w:cs="Arial" w:eastAsia="Arial" w:hAnsi="Arial"/>
          <w:color w:val="1E293B"/>
          <w:sz w:val="22"/>
          <w:szCs w:val="22"/>
        </w:rPr>
        <w:t xml:space="preserve">A reference body of public methodology work that a protocol team can evaluate independently</w:t>
      </w:r>
    </w:p>
    <w:p>
      <w:pPr>
        <w:pStyle w:val="ListParagraph"/>
        <w:numPr>
          <w:ilvl w:val="0"/>
          <w:numId w:val="3"/>
        </w:numPr>
        <w:spacing w:after="40" w:before="40"/>
      </w:pPr>
      <w:r>
        <w:rPr>
          <w:rFonts w:ascii="Arial" w:cs="Arial" w:eastAsia="Arial" w:hAnsi="Arial"/>
          <w:color w:val="1E293B"/>
          <w:sz w:val="22"/>
          <w:szCs w:val="22"/>
        </w:rPr>
        <w:t xml:space="preserve">Visible operational cadence that makes cold outreach to protocol relationships non-speculative</w:t>
      </w:r>
    </w:p>
    <w:p>
      <w:pPr>
        <w:spacing w:after="40" w:before="100"/>
      </w:pPr>
    </w:p>
    <w:p>
      <w:pPr>
        <w:pStyle w:val="Heading2"/>
        <w:spacing w:after="100" w:before="280"/>
      </w:pPr>
      <w:r>
        <w:rPr>
          <w:rFonts w:ascii="Arial" w:cs="Arial" w:eastAsia="Arial" w:hAnsi="Arial"/>
          <w:b/>
          <w:bCs/>
          <w:color w:val="0E7490"/>
          <w:sz w:val="28"/>
          <w:szCs w:val="28"/>
        </w:rPr>
        <w:t xml:space="preserve">Sequencing Timeline</w:t>
      </w:r>
    </w:p>
    <w:p>
      <w:pPr>
        <w:spacing w:after="80" w:before="80"/>
      </w:pPr>
      <w:r>
        <w:rPr>
          <w:rFonts w:ascii="Arial" w:cs="Arial" w:eastAsia="Arial" w:hAnsi="Arial"/>
          <w:color w:val="1E293B"/>
        </w:rPr>
        <w:t xml:space="preserve">Shadow period begins (Phase 4) → Profile A outreach via published content (shadow week 4) → Pro tier opens at 30+ days shadow → First paying subscriber → Protocol outreach begins at 60 days post-launch with at least 3 paying subscribers and 1 published performance summary → Protocol engagement closes.</w:t>
      </w:r>
    </w:p>
    <w:p>
      <w:pPr>
        <w:spacing w:after="40" w:before="100"/>
      </w:pPr>
    </w:p>
    <w:p>
      <w:pPr>
        <w:pStyle w:val="Heading2"/>
        <w:spacing w:after="100" w:before="280"/>
      </w:pPr>
      <w:r>
        <w:rPr>
          <w:rFonts w:ascii="Arial" w:cs="Arial" w:eastAsia="Arial" w:hAnsi="Arial"/>
          <w:b/>
          <w:bCs/>
          <w:color w:val="0E7490"/>
          <w:sz w:val="28"/>
          <w:szCs w:val="28"/>
        </w:rPr>
        <w:t xml:space="preserve">Minimum Profile A Traction for Profile B Approach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E7490" w:sz="12"/>
              <w:left w:val="single" w:color="0E7490" w:sz="12"/>
              <w:bottom w:val="single" w:color="CBD5E1" w:sz="1"/>
              <w:right w:val="none" w:color="FFFFFF" w:sz="0"/>
            </w:tcBorders>
            <w:shd w:fill="F1F5F9" w:val="clear"/>
            <w:tcMar>
              <w:top w:type="dxa" w:w="120"/>
              <w:left w:type="dxa" w:w="160"/>
              <w:bottom w:type="dxa" w:w="120"/>
              <w:right w:type="dxa" w:w="120"/>
            </w:tcMar>
          </w:tcPr>
          <w:p>
            <w:pPr>
              <w:spacing w:after="40" w:before="0"/>
            </w:pPr>
            <w:r>
              <w:rPr>
                <w:rFonts w:ascii="Arial" w:cs="Arial" w:eastAsia="Arial" w:hAnsi="Arial"/>
                <w:b/>
                <w:bCs/>
                <w:caps/>
                <w:color w:val="0E7490"/>
                <w:sz w:val="20"/>
                <w:szCs w:val="20"/>
              </w:rPr>
              <w:t xml:space="preserve">Threshold</w:t>
            </w:r>
          </w:p>
          <w:p>
            <w:pPr>
              <w:spacing w:after="0" w:before="0"/>
            </w:pPr>
            <w:r>
              <w:rPr>
                <w:rFonts w:ascii="Arial" w:cs="Arial" w:eastAsia="Arial" w:hAnsi="Arial"/>
                <w:color w:val="1E293B"/>
                <w:sz w:val="22"/>
                <w:szCs w:val="22"/>
              </w:rPr>
              <w:t xml:space="preserve">Three paying subscribers AND one published performance summary covering at least 60 days of live signal history. Protocol teams are not evaluating customer volume — they are evaluating methodological rigor and operator credibility.</w:t>
            </w:r>
          </w:p>
        </w:tc>
      </w:tr>
    </w:tbl>
    <w:p>
      <w:pPr>
        <w:spacing w:after="40" w:before="120"/>
      </w:pPr>
    </w:p>
    <w:p>
      <w:pPr>
        <w:pStyle w:val="Heading2"/>
        <w:spacing w:after="100" w:before="280"/>
      </w:pPr>
      <w:r>
        <w:rPr>
          <w:rFonts w:ascii="Arial" w:cs="Arial" w:eastAsia="Arial" w:hAnsi="Arial"/>
          <w:b/>
          <w:bCs/>
          <w:color w:val="0E7490"/>
          <w:sz w:val="28"/>
          <w:szCs w:val="28"/>
        </w:rPr>
        <w:t xml:space="preserve">The Revenue Leverage Insight</w:t>
      </w:r>
    </w:p>
    <w:p>
      <w:pPr>
        <w:spacing w:after="80" w:before="80"/>
      </w:pPr>
      <w:r>
        <w:rPr>
          <w:rFonts w:ascii="Arial" w:cs="Arial" w:eastAsia="Arial" w:hAnsi="Arial"/>
          <w:color w:val="1E293B"/>
        </w:rPr>
        <w:t xml:space="preserve">Profile A does not fund the business at $199/month at small scale. Profile A builds the reputation that funds the business via Profile B. The first $4,500–$18,000 protocol engagement is worth more than 50 Pro subscribers in both revenue and credibility terms. The two profiles are sequential leverage, not competing acquisition targets.</w:t>
      </w:r>
    </w:p>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Metric</w:t>
            </w:r>
          </w:p>
        </w:tc>
        <w:tc>
          <w:tcPr>
            <w:tcW w:type="dxa" w:w="32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Profile A</w:t>
            </w:r>
          </w:p>
        </w:tc>
        <w:tc>
          <w:tcPr>
            <w:tcW w:type="dxa" w:w="32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Profile 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Customer type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Prosumer quant / indie trader</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Protocol foundation / ecosystem DAO</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Revenue per customer</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$199/month ($2,388/year)</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$4,500–$18,000/engagement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Acquisition motion</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Pull via content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Direct outreach + warm intro</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Evaluation criteria</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Methodology legibility + sample output</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Rigor + provenance + reference clients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Minimum traction to approach</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N/A — content pull</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 Profile A subscribers + 60d history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Sales cycle</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Days (self-serve)</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4–8 weeks (relationship-driven)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When outreach begins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Shadow week 4 (content publish)</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60 days post-launch</w:t>
            </w:r>
          </w:p>
        </w:tc>
      </w:tr>
    </w:tbl>
    <w:p>
      <w:r>
        <w:br w:type="page"/>
      </w:r>
    </w:p>
    <w:p>
      <w:pPr>
        <w:spacing w:after="0" w:before="200"/>
      </w:pPr>
    </w:p>
    <w:p>
      <w:pPr>
        <w:pStyle w:val="Heading1"/>
        <w:pBdr>
          <w:bottom w:val="single" w:color="0E7490" w:sz="8" w:space="6"/>
        </w:pBdr>
        <w:spacing w:after="120" w:before="360"/>
      </w:pPr>
      <w:r>
        <w:rPr>
          <w:rFonts w:ascii="Arial" w:cs="Arial" w:eastAsia="Arial" w:hAnsi="Arial"/>
          <w:b/>
          <w:bCs/>
          <w:color w:val="1B2A4A"/>
          <w:sz w:val="36"/>
          <w:szCs w:val="36"/>
        </w:rPr>
        <w:t xml:space="preserve">4. First Paying Customer Profile</w:t>
      </w:r>
    </w:p>
    <w:p>
      <w:pPr>
        <w:pStyle w:val="Heading2"/>
        <w:spacing w:after="100" w:before="280"/>
      </w:pPr>
      <w:r>
        <w:rPr>
          <w:rFonts w:ascii="Arial" w:cs="Arial" w:eastAsia="Arial" w:hAnsi="Arial"/>
          <w:b/>
          <w:bCs/>
          <w:color w:val="0E7490"/>
          <w:sz w:val="28"/>
          <w:szCs w:val="28"/>
        </w:rPr>
        <w:t xml:space="preserve">Who They Are</w:t>
      </w:r>
    </w:p>
    <w:p>
      <w:pPr>
        <w:spacing w:after="80" w:before="80"/>
      </w:pPr>
      <w:r>
        <w:rPr>
          <w:rFonts w:ascii="Arial" w:cs="Arial" w:eastAsia="Arial" w:hAnsi="Arial"/>
          <w:color w:val="1E293B"/>
        </w:rPr>
        <w:t xml:space="preserve">A technically sophisticated independent crypto trader, fund analyst, or quant researcher who currently builds their own signal infrastructure or pays for raw data (Glassnode, Coinalyze, similar) but finds the output unsynthesized. They understand funding rates, open interest, MVRV, and macro overlays. They are likely running a sub-$10M discretionary book, managing research for a small fund, or operating as a serious independent. They have paid $99–499/month for data providers before and will pay $199/month for something that saves them 5–10 hours/week of aggregation work and provides an auditable baseline they can build on.</w:t>
      </w:r>
    </w:p>
    <w:p>
      <w:pPr>
        <w:spacing w:after="40" w:before="100"/>
      </w:pPr>
    </w:p>
    <w:p>
      <w:pPr>
        <w:pStyle w:val="Heading2"/>
        <w:spacing w:after="100" w:before="280"/>
      </w:pPr>
      <w:r>
        <w:rPr>
          <w:rFonts w:ascii="Arial" w:cs="Arial" w:eastAsia="Arial" w:hAnsi="Arial"/>
          <w:b/>
          <w:bCs/>
          <w:color w:val="0E7490"/>
          <w:sz w:val="28"/>
          <w:szCs w:val="28"/>
        </w:rPr>
        <w:t xml:space="preserve">Where They Spend Time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Platform</w:t>
            </w:r>
          </w:p>
        </w:tc>
        <w:tc>
          <w:tcPr>
            <w:tcW w:type="dxa" w:w="6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Specific Context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Twitter/X</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Quant crypto subculture: derivatives data breakdowns, OI analysis, MVRV commentary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Substack</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Delphi Digital, The Block Research, Blockworks Research free-tier readers wanting more systematic depth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GitHub</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Actively check repos for open-source trading infrastructure and methodology credibility signals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Discord</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Delphi Digital community, Blockworks community, independent quant servers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Telegram</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Already uses signal-oriented channels; comfortable with the delivery format</w:t>
            </w:r>
          </w:p>
        </w:tc>
      </w:tr>
    </w:tbl>
    <w:p>
      <w:pPr>
        <w:spacing w:after="40" w:before="120"/>
      </w:pPr>
    </w:p>
    <w:p>
      <w:pPr>
        <w:pStyle w:val="Heading2"/>
        <w:spacing w:after="100" w:before="280"/>
      </w:pPr>
      <w:r>
        <w:rPr>
          <w:rFonts w:ascii="Arial" w:cs="Arial" w:eastAsia="Arial" w:hAnsi="Arial"/>
          <w:b/>
          <w:bCs/>
          <w:color w:val="0E7490"/>
          <w:sz w:val="28"/>
          <w:szCs w:val="28"/>
        </w:rPr>
        <w:t xml:space="preserve">Evaluation Criteria (What They Need to See Before Paying)</w:t>
      </w:r>
    </w:p>
    <w:p>
      <w:pPr>
        <w:pStyle w:val="ListParagraph"/>
        <w:numPr>
          <w:ilvl w:val="0"/>
          <w:numId w:val="3"/>
        </w:numPr>
        <w:spacing w:after="40" w:before="40"/>
      </w:pPr>
      <w:r>
        <w:rPr>
          <w:rFonts w:ascii="Arial" w:cs="Arial" w:eastAsia="Arial" w:hAnsi="Arial"/>
          <w:color w:val="1E293B"/>
          <w:sz w:val="22"/>
          <w:szCs w:val="22"/>
        </w:rPr>
        <w:t xml:space="preserve">Methodology legibility — a public methodology document or detailed post explaining pillar logic</w:t>
      </w:r>
    </w:p>
    <w:p>
      <w:pPr>
        <w:pStyle w:val="ListParagraph"/>
        <w:numPr>
          <w:ilvl w:val="0"/>
          <w:numId w:val="3"/>
        </w:numPr>
        <w:spacing w:after="40" w:before="40"/>
      </w:pPr>
      <w:r>
        <w:rPr>
          <w:rFonts w:ascii="Arial" w:cs="Arial" w:eastAsia="Arial" w:hAnsi="Arial"/>
          <w:color w:val="1E293B"/>
          <w:sz w:val="22"/>
          <w:szCs w:val="22"/>
        </w:rPr>
        <w:t xml:space="preserve">Historical signal performance — 60–90 days of shadow results with honest PIT framing</w:t>
      </w:r>
    </w:p>
    <w:p>
      <w:pPr>
        <w:pStyle w:val="ListParagraph"/>
        <w:numPr>
          <w:ilvl w:val="0"/>
          <w:numId w:val="3"/>
        </w:numPr>
        <w:spacing w:after="40" w:before="40"/>
      </w:pPr>
      <w:r>
        <w:rPr>
          <w:rFonts w:ascii="Arial" w:cs="Arial" w:eastAsia="Arial" w:hAnsi="Arial"/>
          <w:color w:val="1E293B"/>
          <w:sz w:val="22"/>
          <w:szCs w:val="22"/>
        </w:rPr>
        <w:t xml:space="preserve">Operational discipline — evidence that the system communicates stale data rather than suppressing it</w:t>
      </w:r>
    </w:p>
    <w:p>
      <w:pPr>
        <w:pStyle w:val="ListParagraph"/>
        <w:numPr>
          <w:ilvl w:val="0"/>
          <w:numId w:val="3"/>
        </w:numPr>
        <w:spacing w:after="40" w:before="40"/>
      </w:pPr>
      <w:r>
        <w:rPr>
          <w:rFonts w:ascii="Arial" w:cs="Arial" w:eastAsia="Arial" w:hAnsi="Arial"/>
          <w:color w:val="1E293B"/>
          <w:sz w:val="22"/>
          <w:szCs w:val="22"/>
        </w:rPr>
        <w:t xml:space="preserve">Signal sample — a limited public preview of top-N instruments (48h delayed) to verify cadence</w:t>
      </w:r>
    </w:p>
    <w:p>
      <w:pPr>
        <w:spacing w:after="40" w:before="100"/>
      </w:pPr>
    </w:p>
    <w:p>
      <w:pPr>
        <w:pStyle w:val="Heading2"/>
        <w:spacing w:after="100" w:before="280"/>
      </w:pPr>
      <w:r>
        <w:rPr>
          <w:rFonts w:ascii="Arial" w:cs="Arial" w:eastAsia="Arial" w:hAnsi="Arial"/>
          <w:b/>
          <w:bCs/>
          <w:color w:val="0E7490"/>
          <w:sz w:val="28"/>
          <w:szCs w:val="28"/>
        </w:rPr>
        <w:t xml:space="preserve">Sales Motion</w:t>
      </w:r>
    </w:p>
    <w:p>
      <w:pPr>
        <w:spacing w:after="80" w:before="80"/>
      </w:pPr>
      <w:r>
        <w:rPr>
          <w:rFonts w:ascii="Arial" w:cs="Arial" w:eastAsia="Arial" w:hAnsi="Arial"/>
          <w:color w:val="1E293B"/>
        </w:rPr>
        <w:t xml:space="preserve">Pull, not push. The operator publishes the methodology document and one high-quality technical thread on Twitter/X. The thread surfaces in the right communities organically. The landing page captures interested visitors with a Pro signup or early access notification. No cold DMs to Profile A — the content does the reaching. There is no sales conversation — the documentation and sample output convert.</w:t>
      </w:r>
    </w:p>
    <w:p>
      <w:pPr>
        <w:spacing w:after="40" w:before="100"/>
      </w:pPr>
    </w:p>
    <w:p>
      <w:pPr>
        <w:pStyle w:val="Heading2"/>
        <w:spacing w:after="100" w:before="280"/>
      </w:pPr>
      <w:r>
        <w:rPr>
          <w:rFonts w:ascii="Arial" w:cs="Arial" w:eastAsia="Arial" w:hAnsi="Arial"/>
          <w:b/>
          <w:bCs/>
          <w:color w:val="0E7490"/>
          <w:sz w:val="28"/>
          <w:szCs w:val="28"/>
        </w:rPr>
        <w:t xml:space="preserve">First Interaction (Post-Subscription)</w:t>
      </w:r>
    </w:p>
    <w:p>
      <w:pPr>
        <w:spacing w:after="80" w:before="80"/>
      </w:pPr>
      <w:r>
        <w:rPr>
          <w:rFonts w:ascii="Arial" w:cs="Arial" w:eastAsia="Arial" w:hAnsi="Arial"/>
          <w:color w:val="1E293B"/>
        </w:rPr>
        <w:t xml:space="preserve">A reply to the confirmation email: 'Anything specific you want me to add coverage for, or any edge cases you think the model should handle differently?' This positions the operator as a builder with a feedback channel, not a vendor. Early subscribers who engage become the first community and word-of-mouth source.</w:t>
      </w:r>
    </w:p>
    <w:p>
      <w:r>
        <w:br w:type="page"/>
      </w:r>
    </w:p>
    <w:p>
      <w:pPr>
        <w:spacing w:after="0" w:before="200"/>
      </w:pPr>
    </w:p>
    <w:p>
      <w:pPr>
        <w:pStyle w:val="Heading1"/>
        <w:pBdr>
          <w:bottom w:val="single" w:color="0E7490" w:sz="8" w:space="6"/>
        </w:pBdr>
        <w:spacing w:after="120" w:before="360"/>
      </w:pPr>
      <w:r>
        <w:rPr>
          <w:rFonts w:ascii="Arial" w:cs="Arial" w:eastAsia="Arial" w:hAnsi="Arial"/>
          <w:b/>
          <w:bCs/>
          <w:color w:val="1B2A4A"/>
          <w:sz w:val="36"/>
          <w:szCs w:val="36"/>
        </w:rPr>
        <w:t xml:space="preserve">5. Pre-Launch Track Record Strategy</w:t>
      </w:r>
    </w:p>
    <w:p>
      <w:pPr>
        <w:pStyle w:val="Heading2"/>
        <w:spacing w:after="100" w:before="280"/>
      </w:pPr>
      <w:r>
        <w:rPr>
          <w:rFonts w:ascii="Arial" w:cs="Arial" w:eastAsia="Arial" w:hAnsi="Arial"/>
          <w:b/>
          <w:bCs/>
          <w:color w:val="0E7490"/>
          <w:sz w:val="28"/>
          <w:szCs w:val="28"/>
        </w:rPr>
        <w:t xml:space="preserve">Shadow Period Artifacts</w:t>
      </w:r>
    </w:p>
    <w:p>
      <w:pPr>
        <w:spacing w:after="80" w:before="80"/>
      </w:pPr>
      <w:r>
        <w:rPr>
          <w:rFonts w:ascii="Arial" w:cs="Arial" w:eastAsia="Arial" w:hAnsi="Arial"/>
          <w:color w:val="1E293B"/>
        </w:rPr>
        <w:t xml:space="preserve">During Phase 4 (60–90 day shadow target), the following artifacts are generated and preserved:</w:t>
      </w:r>
    </w:p>
    <w:p>
      <w:pPr>
        <w:pStyle w:val="ListParagraph"/>
        <w:numPr>
          <w:ilvl w:val="0"/>
          <w:numId w:val="2"/>
        </w:numPr>
        <w:spacing w:after="40" w:before="40"/>
      </w:pPr>
      <w:r>
        <w:rPr>
          <w:rFonts w:ascii="Arial" w:cs="Arial" w:eastAsia="Arial" w:hAnsi="Arial"/>
          <w:color w:val="1E293B"/>
          <w:sz w:val="22"/>
          <w:szCs w:val="22"/>
        </w:rPr>
        <w:t xml:space="preserve">Daily signal snapshots — composite score, EDSx pillar scores, ML probabilities, confidence values, regime classification for every scored instrument with full timestamps</w:t>
      </w:r>
    </w:p>
    <w:p>
      <w:pPr>
        <w:pStyle w:val="ListParagraph"/>
        <w:numPr>
          <w:ilvl w:val="0"/>
          <w:numId w:val="2"/>
        </w:numPr>
        <w:spacing w:after="40" w:before="40"/>
      </w:pPr>
      <w:r>
        <w:rPr>
          <w:rFonts w:ascii="Arial" w:cs="Arial" w:eastAsia="Arial" w:hAnsi="Arial"/>
          <w:color w:val="1E293B"/>
          <w:sz w:val="22"/>
          <w:szCs w:val="22"/>
        </w:rPr>
        <w:t xml:space="preserve">Weekly summary digests — drafted as if subscriber-facing: top 5 movers in each direction, pillar attribution, regime state. Produces 8–12 example digest units that serve as product samples</w:t>
      </w:r>
    </w:p>
    <w:p>
      <w:pPr>
        <w:pStyle w:val="ListParagraph"/>
        <w:numPr>
          <w:ilvl w:val="0"/>
          <w:numId w:val="2"/>
        </w:numPr>
        <w:spacing w:after="40" w:before="40"/>
      </w:pPr>
      <w:r>
        <w:rPr>
          <w:rFonts w:ascii="Arial" w:cs="Arial" w:eastAsia="Arial" w:hAnsi="Arial"/>
          <w:color w:val="1E293B"/>
          <w:sz w:val="22"/>
          <w:szCs w:val="22"/>
        </w:rPr>
        <w:t xml:space="preserve">Outcome log — 14-day forward price outcomes logged against each signal, producing realized directional accuracy by pillar, by instrument tier, and by regime at shadow end</w:t>
      </w:r>
    </w:p>
    <w:p>
      <w:pPr>
        <w:spacing w:after="40" w:before="100"/>
      </w:pPr>
    </w:p>
    <w:p>
      <w:pPr>
        <w:pStyle w:val="Heading2"/>
        <w:spacing w:after="100" w:before="280"/>
      </w:pPr>
      <w:r>
        <w:rPr>
          <w:rFonts w:ascii="Arial" w:cs="Arial" w:eastAsia="Arial" w:hAnsi="Arial"/>
          <w:b/>
          <w:bCs/>
          <w:color w:val="0E7490"/>
          <w:sz w:val="28"/>
          <w:szCs w:val="28"/>
        </w:rPr>
        <w:t xml:space="preserve">What Is Made Public Before Launch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E7490" w:sz="12"/>
              <w:left w:val="single" w:color="0E7490" w:sz="12"/>
              <w:bottom w:val="single" w:color="CBD5E1" w:sz="1"/>
              <w:right w:val="none" w:color="FFFFFF" w:sz="0"/>
            </w:tcBorders>
            <w:shd w:fill="F1F5F9" w:val="clear"/>
            <w:tcMar>
              <w:top w:type="dxa" w:w="120"/>
              <w:left w:type="dxa" w:w="160"/>
              <w:bottom w:type="dxa" w:w="120"/>
              <w:right w:type="dxa" w:w="120"/>
            </w:tcMar>
          </w:tcPr>
          <w:p>
            <w:pPr>
              <w:spacing w:after="40" w:before="0"/>
            </w:pPr>
            <w:r>
              <w:rPr>
                <w:rFonts w:ascii="Arial" w:cs="Arial" w:eastAsia="Arial" w:hAnsi="Arial"/>
                <w:b/>
                <w:bCs/>
                <w:caps/>
                <w:color w:val="0E7490"/>
                <w:sz w:val="20"/>
                <w:szCs w:val="20"/>
              </w:rPr>
              <w:t xml:space="preserve">Public Signal Preview</w:t>
            </w:r>
          </w:p>
          <w:p>
            <w:pPr>
              <w:spacing w:after="0" w:before="0"/>
            </w:pPr>
            <w:r>
              <w:rPr>
                <w:rFonts w:ascii="Arial" w:cs="Arial" w:eastAsia="Arial" w:hAnsi="Arial"/>
                <w:color w:val="1E293B"/>
                <w:sz w:val="22"/>
                <w:szCs w:val="22"/>
              </w:rPr>
              <w:t xml:space="preserve">A 48h-delayed top-10 composite score preview (top 5 / bottom 5 by composite score, updated daily, no pillar detail, no ML breakdown, no confidence values) goes live at fromthebridge.net at shadow week 2. Label: 'Live signal preview — delayed 48h. No pillar attribution included. Methodology at [link].' Purpose: demonstrate operational cadence and attract organic Profile A discovery. This is not the product.</w:t>
            </w:r>
          </w:p>
        </w:tc>
      </w:tr>
    </w:tbl>
    <w:p>
      <w:pPr>
        <w:spacing w:after="40" w:before="100"/>
      </w:pPr>
    </w:p>
    <w:p>
      <w:pPr>
        <w:pStyle w:val="Heading2"/>
        <w:spacing w:after="100" w:before="280"/>
      </w:pPr>
      <w:r>
        <w:rPr>
          <w:rFonts w:ascii="Arial" w:cs="Arial" w:eastAsia="Arial" w:hAnsi="Arial"/>
          <w:b/>
          <w:bCs/>
          <w:color w:val="0E7490"/>
          <w:sz w:val="28"/>
          <w:szCs w:val="28"/>
        </w:rPr>
        <w:t xml:space="preserve">Performance Presentation by Profile</w:t>
      </w:r>
    </w:p>
    <w:p>
      <w:pPr>
        <w:pStyle w:val="Heading3"/>
        <w:spacing w:after="80" w:before="200"/>
      </w:pPr>
      <w:r>
        <w:rPr>
          <w:rFonts w:ascii="Arial" w:cs="Arial" w:eastAsia="Arial" w:hAnsi="Arial"/>
          <w:b/>
          <w:bCs/>
          <w:color w:val="B45309"/>
          <w:sz w:val="24"/>
          <w:szCs w:val="24"/>
        </w:rPr>
        <w:t xml:space="preserve">Profile A Format</w:t>
      </w:r>
    </w:p>
    <w:p>
      <w:pPr>
        <w:spacing w:after="80" w:before="80"/>
      </w:pPr>
      <w:r>
        <w:rPr>
          <w:rFonts w:ascii="Arial" w:cs="Arial" w:eastAsia="Arial" w:hAnsi="Arial"/>
          <w:color w:val="1E293B"/>
        </w:rPr>
        <w:t xml:space="preserve">A single-page PDF or web page showing: (a) directional accuracy of the composite signal over the shadow period broken down by confidence tier — high-confidence calls must show meaningfully better hit rates than low-confidence calls to validate the confidence metric; (b) the regime classification history with forward return context; (c) three representative signal examples with pillar attribution. No Sharpe ratio. No overclaimed statistics. Framing: 'Here is what the system said, here is what happened, here is why the confidence metric predicted the reliability.'</w:t>
      </w:r>
    </w:p>
    <w:p>
      <w:pPr>
        <w:spacing w:after="40" w:before="80"/>
      </w:pPr>
    </w:p>
    <w:p>
      <w:pPr>
        <w:pStyle w:val="Heading3"/>
        <w:spacing w:after="80" w:before="200"/>
      </w:pPr>
      <w:r>
        <w:rPr>
          <w:rFonts w:ascii="Arial" w:cs="Arial" w:eastAsia="Arial" w:hAnsi="Arial"/>
          <w:b/>
          <w:bCs/>
          <w:color w:val="B45309"/>
          <w:sz w:val="24"/>
          <w:szCs w:val="24"/>
        </w:rPr>
        <w:t xml:space="preserve">Profile B Format</w:t>
      </w:r>
    </w:p>
    <w:p>
      <w:pPr>
        <w:spacing w:after="80" w:before="80"/>
      </w:pPr>
      <w:r>
        <w:rPr>
          <w:rFonts w:ascii="Arial" w:cs="Arial" w:eastAsia="Arial" w:hAnsi="Arial"/>
          <w:color w:val="1E293B"/>
        </w:rPr>
        <w:t xml:space="preserve">An expanded version of the Profile A presentation plus: the full methodology section (how EDSx scoring is calculated, what PIT-correctness means and why it matters, the ML calibration approach), the null state policy (what the system does when data is stale — this is the credibility signal for institutional readers), and the data source provenance table. Protocol client evaluation is less about hit rate and more about 'is this rigorous enough that our DAO will not be embarrassed if we publish it.'</w:t>
      </w:r>
    </w:p>
    <w:p>
      <w:pPr>
        <w:spacing w:after="40" w:before="100"/>
      </w:pPr>
    </w:p>
    <w:p>
      <w:pPr>
        <w:pStyle w:val="Heading2"/>
        <w:spacing w:after="100" w:before="280"/>
      </w:pPr>
      <w:r>
        <w:rPr>
          <w:rFonts w:ascii="Arial" w:cs="Arial" w:eastAsia="Arial" w:hAnsi="Arial"/>
          <w:b/>
          <w:bCs/>
          <w:color w:val="0E7490"/>
          <w:sz w:val="28"/>
          <w:szCs w:val="28"/>
        </w:rPr>
        <w:t xml:space="preserve">Outreach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Milestone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Timing</w:t>
            </w:r>
          </w:p>
        </w:tc>
        <w:tc>
          <w:tcPr>
            <w:tcW w:type="dxa" w:w="3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Depends 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48h-delayed public preview live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Shadow week 2</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Phase 3 EDSx scoring confirmed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Profile A content pull begins (PIT post + Twitter thread)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Shadow week 4</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30+ days shadow data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 tier opens, first subscriber accepted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~Shadow week 6–8</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30d shadow minimum passed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Performance summary published (Profile A format)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60 days post-launch</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60d live signal history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First Profile B outreach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60 days post-launch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 paying subscribers + performance summary</w:t>
            </w:r>
          </w:p>
        </w:tc>
      </w:tr>
    </w:tbl>
    <w:p>
      <w:r>
        <w:br w:type="page"/>
      </w:r>
    </w:p>
    <w:p>
      <w:pPr>
        <w:spacing w:after="0" w:before="200"/>
      </w:pPr>
    </w:p>
    <w:p>
      <w:pPr>
        <w:pStyle w:val="Heading1"/>
        <w:pBdr>
          <w:bottom w:val="single" w:color="0E7490" w:sz="8" w:space="6"/>
        </w:pBdr>
        <w:spacing w:after="120" w:before="360"/>
      </w:pPr>
      <w:r>
        <w:rPr>
          <w:rFonts w:ascii="Arial" w:cs="Arial" w:eastAsia="Arial" w:hAnsi="Arial"/>
          <w:b/>
          <w:bCs/>
          <w:color w:val="1B2A4A"/>
          <w:sz w:val="36"/>
          <w:szCs w:val="36"/>
        </w:rPr>
        <w:t xml:space="preserve">6. Protocol Ecosystem Report Path</w:t>
      </w:r>
    </w:p>
    <w:p>
      <w:pPr>
        <w:spacing w:after="80" w:before="80"/>
      </w:pPr>
      <w:r>
        <w:rPr>
          <w:rFonts w:ascii="Arial" w:cs="Arial" w:eastAsia="Arial" w:hAnsi="Arial"/>
          <w:color w:val="1E293B"/>
        </w:rPr>
        <w:t xml:space="preserve">Stream 2 (sponsored protocol reporting) is the fastest path to first B2B revenue. It does not require Phase 6 completion. The v0 report is drafted during Phase 3 as a production test, serving double duty: it validates the report format and produces a concrete artifact for Profile B outreach.</w:t>
      </w:r>
    </w:p>
    <w:p>
      <w:pPr>
        <w:spacing w:after="40" w:before="100"/>
      </w:pPr>
    </w:p>
    <w:p>
      <w:pPr>
        <w:pStyle w:val="Heading2"/>
        <w:spacing w:after="100" w:before="280"/>
      </w:pPr>
      <w:r>
        <w:rPr>
          <w:rFonts w:ascii="Arial" w:cs="Arial" w:eastAsia="Arial" w:hAnsi="Arial"/>
          <w:b/>
          <w:bCs/>
          <w:color w:val="0E7490"/>
          <w:sz w:val="28"/>
          <w:szCs w:val="28"/>
        </w:rPr>
        <w:t xml:space="preserve">Priority Target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2200"/>
        <w:gridCol w:w="1960"/>
      </w:tblGrid>
      <w:tr>
        <w:trPr>
          <w:tblHeader/>
        </w:trPr>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Priority</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Protocol</w:t>
            </w:r>
          </w:p>
        </w:tc>
        <w:tc>
          <w:tcPr>
            <w:tcW w:type="dxa" w:w="25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Rationale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Data Coverage</w:t>
            </w:r>
          </w:p>
        </w:tc>
        <w:tc>
          <w:tcPr>
            <w:tcW w:type="dxa" w:w="1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Report Topic</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 (Primary)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Aave / Aave Chan Initiative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Sophisticated research culture, active grants DAO, lending data directly available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DeFiLlama lending TVL + utilization rate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Lending utilization rate as a macro stress indicator</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Uniswap Foundation</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Active grants, history of commissioning research, strong community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DeFiLlama DEX volume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DEX liquidity depth vs. CEX derivatives positioning divergence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Lido DAO</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Active grants, research interest in stETH market dynamics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Etherscan ETH flows, BGeometrics MVRV/SOPR</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stETH market share dynamics vs. ETH spot demand signals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4</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ARB Foundation</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ARB is a tracked flow instrument in v1 (Etherscan)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Etherscan L2 exchange flows</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Arbitrum exchange flow patterns vs. native token positioning</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5 (Long-lead)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Solana Foundation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High budget, but v1 coverage is limited to ETF flows + market cap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SoSoValue ETF flows, CoinPaprika</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SOL ETF flow analysis + macro market structure positioning</w:t>
            </w:r>
          </w:p>
        </w:tc>
      </w:tr>
    </w:tbl>
    <w:p>
      <w:pPr>
        <w:spacing w:after="40" w:before="120"/>
      </w:pPr>
    </w:p>
    <w:p>
      <w:pPr>
        <w:pStyle w:val="Heading2"/>
        <w:spacing w:after="100" w:before="280"/>
      </w:pPr>
      <w:r>
        <w:rPr>
          <w:rFonts w:ascii="Arial" w:cs="Arial" w:eastAsia="Arial" w:hAnsi="Arial"/>
          <w:b/>
          <w:bCs/>
          <w:color w:val="0E7490"/>
          <w:sz w:val="28"/>
          <w:szCs w:val="28"/>
        </w:rPr>
        <w:t xml:space="preserve">v0 Protocol Report Specification</w:t>
      </w:r>
    </w:p>
    <w:p>
      <w:pPr>
        <w:spacing w:after="80" w:before="80"/>
      </w:pPr>
      <w:r>
        <w:rPr>
          <w:rFonts w:ascii="Arial" w:cs="Arial" w:eastAsia="Arial" w:hAnsi="Arial"/>
          <w:color w:val="1E293B"/>
        </w:rPr>
        <w:t xml:space="preserve">Length: 8–12 pages. Audience: protocol grants team or head of research, not general public.</w:t>
      </w:r>
    </w:p>
    <w:p>
      <w:pPr>
        <w:pStyle w:val="ListParagraph"/>
        <w:numPr>
          <w:ilvl w:val="0"/>
          <w:numId w:val="2"/>
        </w:numPr>
        <w:spacing w:after="40" w:before="40"/>
      </w:pPr>
      <w:r>
        <w:rPr>
          <w:rFonts w:ascii="Arial" w:cs="Arial" w:eastAsia="Arial" w:hAnsi="Arial"/>
          <w:color w:val="1E293B"/>
          <w:sz w:val="22"/>
          <w:szCs w:val="22"/>
        </w:rPr>
        <w:t xml:space="preserve">Executive summary: 3–5 bullet key findings</w:t>
      </w:r>
    </w:p>
    <w:p>
      <w:pPr>
        <w:pStyle w:val="ListParagraph"/>
        <w:numPr>
          <w:ilvl w:val="0"/>
          <w:numId w:val="2"/>
        </w:numPr>
        <w:spacing w:after="40" w:before="40"/>
      </w:pPr>
      <w:r>
        <w:rPr>
          <w:rFonts w:ascii="Arial" w:cs="Arial" w:eastAsia="Arial" w:hAnsi="Arial"/>
          <w:color w:val="1E293B"/>
          <w:sz w:val="22"/>
          <w:szCs w:val="22"/>
        </w:rPr>
        <w:t xml:space="preserve">Methodology section: data sources used, metrics computed, PIT statement, null state disclosure</w:t>
      </w:r>
    </w:p>
    <w:p>
      <w:pPr>
        <w:pStyle w:val="ListParagraph"/>
        <w:numPr>
          <w:ilvl w:val="0"/>
          <w:numId w:val="2"/>
        </w:numPr>
        <w:spacing w:after="40" w:before="40"/>
      </w:pPr>
      <w:r>
        <w:rPr>
          <w:rFonts w:ascii="Arial" w:cs="Arial" w:eastAsia="Arial" w:hAnsi="Arial"/>
          <w:color w:val="1E293B"/>
          <w:sz w:val="22"/>
          <w:szCs w:val="22"/>
        </w:rPr>
        <w:t xml:space="preserve">Market structure overview: 60–90 day history of the protocol's key signal metrics</w:t>
      </w:r>
    </w:p>
    <w:p>
      <w:pPr>
        <w:pStyle w:val="ListParagraph"/>
        <w:numPr>
          <w:ilvl w:val="0"/>
          <w:numId w:val="2"/>
        </w:numPr>
        <w:spacing w:after="40" w:before="40"/>
      </w:pPr>
      <w:r>
        <w:rPr>
          <w:rFonts w:ascii="Arial" w:cs="Arial" w:eastAsia="Arial" w:hAnsi="Arial"/>
          <w:color w:val="1E293B"/>
          <w:sz w:val="22"/>
          <w:szCs w:val="22"/>
        </w:rPr>
        <w:t xml:space="preserve">Macro regime context: where the protocol sits in the current capital flow and macro regime quadrant</w:t>
      </w:r>
    </w:p>
    <w:p>
      <w:pPr>
        <w:pStyle w:val="ListParagraph"/>
        <w:numPr>
          <w:ilvl w:val="0"/>
          <w:numId w:val="2"/>
        </w:numPr>
        <w:spacing w:after="40" w:before="40"/>
      </w:pPr>
      <w:r>
        <w:rPr>
          <w:rFonts w:ascii="Arial" w:cs="Arial" w:eastAsia="Arial" w:hAnsi="Arial"/>
          <w:color w:val="1E293B"/>
          <w:sz w:val="22"/>
          <w:szCs w:val="22"/>
        </w:rPr>
        <w:t xml:space="preserve">Forward-looking signal section: what the current signal state implies for the 14-day forward window — framed as systematic output, not prediction</w:t>
      </w:r>
    </w:p>
    <w:p>
      <w:pPr>
        <w:pStyle w:val="ListParagraph"/>
        <w:numPr>
          <w:ilvl w:val="0"/>
          <w:numId w:val="2"/>
        </w:numPr>
        <w:spacing w:after="40" w:before="40"/>
      </w:pPr>
      <w:r>
        <w:rPr>
          <w:rFonts w:ascii="Arial" w:cs="Arial" w:eastAsia="Arial" w:hAnsi="Arial"/>
          <w:color w:val="1E293B"/>
          <w:sz w:val="22"/>
          <w:szCs w:val="22"/>
        </w:rPr>
        <w:t xml:space="preserve">Appendix: data provenance table for every metric cited</w:t>
      </w:r>
    </w:p>
    <w:p>
      <w:pPr>
        <w:spacing w:after="40" w:before="100"/>
      </w:pPr>
    </w:p>
    <w:p>
      <w:pPr>
        <w:pStyle w:val="Heading2"/>
        <w:spacing w:after="100" w:before="280"/>
      </w:pPr>
      <w:r>
        <w:rPr>
          <w:rFonts w:ascii="Arial" w:cs="Arial" w:eastAsia="Arial" w:hAnsi="Arial"/>
          <w:b/>
          <w:bCs/>
          <w:color w:val="0E7490"/>
          <w:sz w:val="28"/>
          <w:szCs w:val="28"/>
        </w:rPr>
        <w:t xml:space="preserve">Build Phase Timing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E7490" w:sz="12"/>
              <w:left w:val="single" w:color="0E7490" w:sz="12"/>
              <w:bottom w:val="single" w:color="CBD5E1" w:sz="1"/>
              <w:right w:val="none" w:color="FFFFFF" w:sz="0"/>
            </w:tcBorders>
            <w:shd w:fill="F1F5F9" w:val="clear"/>
            <w:tcMar>
              <w:top w:type="dxa" w:w="120"/>
              <w:left w:type="dxa" w:w="160"/>
              <w:bottom w:type="dxa" w:w="120"/>
              <w:right w:type="dxa" w:w="120"/>
            </w:tcMar>
          </w:tcPr>
          <w:p>
            <w:pPr>
              <w:spacing w:after="40" w:before="0"/>
            </w:pPr>
            <w:r>
              <w:rPr>
                <w:rFonts w:ascii="Arial" w:cs="Arial" w:eastAsia="Arial" w:hAnsi="Arial"/>
                <w:b/>
                <w:bCs/>
                <w:caps/>
                <w:color w:val="0E7490"/>
                <w:sz w:val="20"/>
                <w:szCs w:val="20"/>
              </w:rPr>
              <w:t xml:space="preserve">Phase Timing</w:t>
            </w:r>
          </w:p>
          <w:p>
            <w:pPr>
              <w:spacing w:after="0" w:before="0"/>
            </w:pPr>
            <w:r>
              <w:rPr>
                <w:rFonts w:ascii="Arial" w:cs="Arial" w:eastAsia="Arial" w:hAnsi="Arial"/>
                <w:color w:val="1E293B"/>
                <w:sz w:val="22"/>
                <w:szCs w:val="22"/>
              </w:rPr>
              <w:t xml:space="preserve">A partial v0 is producible at Phase 2 completion (Gold layer populated, DeFiLlama + FRED data available). A complete v0 with signal output requires Phase 3 EDSx scoring. Target: draft one v0 report for Aave during Phase 3 as a production validation test. Do not wait for Phase 6.</w:t>
            </w:r>
          </w:p>
        </w:tc>
      </w:tr>
    </w:tbl>
    <w:p>
      <w:pPr>
        <w:spacing w:after="40" w:before="100"/>
      </w:pPr>
    </w:p>
    <w:p>
      <w:pPr>
        <w:pStyle w:val="Heading2"/>
        <w:spacing w:after="100" w:before="280"/>
      </w:pPr>
      <w:r>
        <w:rPr>
          <w:rFonts w:ascii="Arial" w:cs="Arial" w:eastAsia="Arial" w:hAnsi="Arial"/>
          <w:b/>
          <w:bCs/>
          <w:color w:val="0E7490"/>
          <w:sz w:val="28"/>
          <w:szCs w:val="28"/>
        </w:rPr>
        <w:t xml:space="preserve">Outreach Sequence</w:t>
      </w:r>
    </w:p>
    <w:p>
      <w:pPr>
        <w:pStyle w:val="ListParagraph"/>
        <w:numPr>
          <w:ilvl w:val="0"/>
          <w:numId w:val="3"/>
        </w:numPr>
        <w:spacing w:after="40" w:before="40"/>
      </w:pPr>
      <w:r>
        <w:rPr>
          <w:rFonts w:ascii="Arial" w:cs="Arial" w:eastAsia="Arial" w:hAnsi="Arial"/>
          <w:color w:val="1E293B"/>
          <w:sz w:val="22"/>
          <w:szCs w:val="22"/>
        </w:rPr>
        <w:t xml:space="preserve">Weeks 1–3 (now): Identify point-of-contact at each target foundation (grants program lead, head of research). Use Twitter/X — most are publicly visible. Do not reach out yet.</w:t>
      </w:r>
    </w:p>
    <w:p>
      <w:pPr>
        <w:pStyle w:val="ListParagraph"/>
        <w:numPr>
          <w:ilvl w:val="0"/>
          <w:numId w:val="3"/>
        </w:numPr>
        <w:spacing w:after="40" w:before="40"/>
      </w:pPr>
      <w:r>
        <w:rPr>
          <w:rFonts w:ascii="Arial" w:cs="Arial" w:eastAsia="Arial" w:hAnsi="Arial"/>
          <w:color w:val="1E293B"/>
          <w:sz w:val="22"/>
          <w:szCs w:val="22"/>
        </w:rPr>
        <w:t xml:space="preserve">Week 4 (during Phase 3 build): Draft the v0 Aave report internally. Do not publish.</w:t>
      </w:r>
    </w:p>
    <w:p>
      <w:pPr>
        <w:pStyle w:val="ListParagraph"/>
        <w:numPr>
          <w:ilvl w:val="0"/>
          <w:numId w:val="3"/>
        </w:numPr>
        <w:spacing w:after="40" w:before="40"/>
      </w:pPr>
      <w:r>
        <w:rPr>
          <w:rFonts w:ascii="Arial" w:cs="Arial" w:eastAsia="Arial" w:hAnsi="Arial"/>
          <w:color w:val="1E293B"/>
          <w:sz w:val="22"/>
          <w:szCs w:val="22"/>
        </w:rPr>
        <w:t xml:space="preserve">Week 8: Publish methodology document publicly. This is referenced in all future outreach.</w:t>
      </w:r>
    </w:p>
    <w:p>
      <w:pPr>
        <w:pStyle w:val="ListParagraph"/>
        <w:numPr>
          <w:ilvl w:val="0"/>
          <w:numId w:val="3"/>
        </w:numPr>
        <w:spacing w:after="40" w:before="40"/>
      </w:pPr>
      <w:r>
        <w:rPr>
          <w:rFonts w:ascii="Arial" w:cs="Arial" w:eastAsia="Arial" w:hAnsi="Arial"/>
          <w:color w:val="1E293B"/>
          <w:sz w:val="22"/>
          <w:szCs w:val="22"/>
        </w:rPr>
        <w:t xml:space="preserve">Week 12 (30+ days post-launch): First cold outreach to Aave. Message: 'I produced a draft ecosystem report using our systematic signal framework. I would like your feedback on whether this is the kind of analysis your team finds useful. No ask attached.' Attach the report.</w:t>
      </w:r>
    </w:p>
    <w:p>
      <w:pPr>
        <w:pStyle w:val="ListParagraph"/>
        <w:numPr>
          <w:ilvl w:val="0"/>
          <w:numId w:val="3"/>
        </w:numPr>
        <w:spacing w:after="40" w:before="40"/>
      </w:pPr>
      <w:r>
        <w:rPr>
          <w:rFonts w:ascii="Arial" w:cs="Arial" w:eastAsia="Arial" w:hAnsi="Arial"/>
          <w:color w:val="1E293B"/>
          <w:sz w:val="22"/>
          <w:szCs w:val="22"/>
        </w:rPr>
        <w:t xml:space="preserve">Week 14: Follow up with revised report if feedback received. Introduce founding pricing.</w:t>
      </w:r>
    </w:p>
    <w:p>
      <w:pPr>
        <w:pStyle w:val="ListParagraph"/>
        <w:numPr>
          <w:ilvl w:val="0"/>
          <w:numId w:val="3"/>
        </w:numPr>
        <w:spacing w:after="40" w:before="40"/>
      </w:pPr>
      <w:r>
        <w:rPr>
          <w:rFonts w:ascii="Arial" w:cs="Arial" w:eastAsia="Arial" w:hAnsi="Arial"/>
          <w:color w:val="1E293B"/>
          <w:sz w:val="22"/>
          <w:szCs w:val="22"/>
        </w:rPr>
        <w:t xml:space="preserve">Weeks 16–20: Repeat in sequence with Uniswap, then Lido.</w:t>
      </w:r>
    </w:p>
    <w:p>
      <w:pPr>
        <w:spacing w:after="40" w:before="100"/>
      </w:pPr>
    </w:p>
    <w:p>
      <w:pPr>
        <w:pStyle w:val="Heading2"/>
        <w:spacing w:after="100" w:before="280"/>
      </w:pPr>
      <w:r>
        <w:rPr>
          <w:rFonts w:ascii="Arial" w:cs="Arial" w:eastAsia="Arial" w:hAnsi="Arial"/>
          <w:b/>
          <w:bCs/>
          <w:color w:val="0E7490"/>
          <w:sz w:val="28"/>
          <w:szCs w:val="28"/>
        </w:rPr>
        <w:t xml:space="preserve">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Engagement Type</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Price</w:t>
            </w:r>
          </w:p>
        </w:tc>
        <w:tc>
          <w:tcPr>
            <w:tcW w:type="dxa" w:w="3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Notes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Founding rate (first engagement only)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$4,500 one-time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Below standard floor — buys reference + case study</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Standard one-time deep report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$7,500</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Floor after first engagement closes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90-day retainer (3 monthly reports)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$18,000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Preferred structure for recurring relationships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Quarterly retainer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$20,000–25,000</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For established relationships with expanded scope</w:t>
            </w:r>
          </w:p>
        </w:tc>
      </w:tr>
    </w:tbl>
    <w:p>
      <w:pPr>
        <w:spacing w:after="40" w:before="80"/>
      </w:pPr>
    </w:p>
    <w:p>
      <w:pPr>
        <w:spacing w:after="80" w:before="80"/>
      </w:pPr>
      <w:r>
        <w:rPr>
          <w:rFonts w:ascii="Arial" w:cs="Arial" w:eastAsia="Arial" w:hAnsi="Arial"/>
          <w:color w:val="1E293B"/>
        </w:rPr>
        <w:t xml:space="preserve">Payment terms: 50% on engagement, 50% on delivery. Manual invoicing. Never go below $4,500 — below this floor the signal sent to the protocol is that the work is not worth taking seriously.</w:t>
      </w:r>
    </w:p>
    <w:p>
      <w:r>
        <w:br w:type="page"/>
      </w:r>
    </w:p>
    <w:p>
      <w:pPr>
        <w:spacing w:after="0" w:before="200"/>
      </w:pPr>
    </w:p>
    <w:p>
      <w:pPr>
        <w:pStyle w:val="Heading1"/>
        <w:pBdr>
          <w:bottom w:val="single" w:color="0E7490" w:sz="8" w:space="6"/>
        </w:pBdr>
        <w:spacing w:after="120" w:before="360"/>
      </w:pPr>
      <w:r>
        <w:rPr>
          <w:rFonts w:ascii="Arial" w:cs="Arial" w:eastAsia="Arial" w:hAnsi="Arial"/>
          <w:b/>
          <w:bCs/>
          <w:color w:val="1B2A4A"/>
          <w:sz w:val="36"/>
          <w:szCs w:val="36"/>
        </w:rPr>
        <w:t xml:space="preserve">7. Minimal Public Presence Plan</w:t>
      </w:r>
    </w:p>
    <w:p>
      <w:pPr>
        <w:pStyle w:val="Heading2"/>
        <w:spacing w:after="100" w:before="280"/>
      </w:pPr>
      <w:r>
        <w:rPr>
          <w:rFonts w:ascii="Arial" w:cs="Arial" w:eastAsia="Arial" w:hAnsi="Arial"/>
          <w:b/>
          <w:bCs/>
          <w:color w:val="0E7490"/>
          <w:sz w:val="28"/>
          <w:szCs w:val="28"/>
        </w:rPr>
        <w:t xml:space="preserve">fromthebridge.net — Pre-Launch State (Shadow Week 2 Onward)</w:t>
      </w:r>
    </w:p>
    <w:p>
      <w:pPr>
        <w:spacing w:after="80" w:before="80"/>
      </w:pPr>
      <w:r>
        <w:rPr>
          <w:rFonts w:ascii="Arial" w:cs="Arial" w:eastAsia="Arial" w:hAnsi="Arial"/>
          <w:color w:val="1E293B"/>
        </w:rPr>
        <w:t xml:space="preserve">A single-page site containing:</w:t>
      </w:r>
    </w:p>
    <w:p>
      <w:pPr>
        <w:pStyle w:val="ListParagraph"/>
        <w:numPr>
          <w:ilvl w:val="0"/>
          <w:numId w:val="2"/>
        </w:numPr>
        <w:spacing w:after="40" w:before="40"/>
      </w:pPr>
      <w:r>
        <w:rPr>
          <w:rFonts w:ascii="Arial" w:cs="Arial" w:eastAsia="Arial" w:hAnsi="Arial"/>
          <w:color w:val="1E293B"/>
          <w:sz w:val="22"/>
          <w:szCs w:val="22"/>
        </w:rPr>
        <w:t xml:space="preserve">48h-delayed public signal preview: top-10 composite score, updated daily, no pillar detail</w:t>
      </w:r>
    </w:p>
    <w:p>
      <w:pPr>
        <w:pStyle w:val="ListParagraph"/>
        <w:numPr>
          <w:ilvl w:val="0"/>
          <w:numId w:val="2"/>
        </w:numPr>
        <w:spacing w:after="40" w:before="40"/>
      </w:pPr>
      <w:r>
        <w:rPr>
          <w:rFonts w:ascii="Arial" w:cs="Arial" w:eastAsia="Arial" w:hAnsi="Arial"/>
          <w:color w:val="1E293B"/>
          <w:sz w:val="22"/>
          <w:szCs w:val="22"/>
        </w:rPr>
        <w:t xml:space="preserve">'About the system' section: 3–4 paragraphs describing the signal architecture — enough to communicate rigor, not a full methodology doc</w:t>
      </w:r>
    </w:p>
    <w:p>
      <w:pPr>
        <w:pStyle w:val="ListParagraph"/>
        <w:numPr>
          <w:ilvl w:val="0"/>
          <w:numId w:val="2"/>
        </w:numPr>
        <w:spacing w:after="40" w:before="40"/>
      </w:pPr>
      <w:r>
        <w:rPr>
          <w:rFonts w:ascii="Arial" w:cs="Arial" w:eastAsia="Arial" w:hAnsi="Arial"/>
          <w:color w:val="1E293B"/>
          <w:sz w:val="22"/>
          <w:szCs w:val="22"/>
        </w:rPr>
        <w:t xml:space="preserve">Early access waitlist form</w:t>
      </w:r>
    </w:p>
    <w:p>
      <w:pPr>
        <w:spacing w:after="80" w:before="80"/>
      </w:pPr>
      <w:r>
        <w:rPr>
          <w:rFonts w:ascii="Arial" w:cs="Arial" w:eastAsia="Arial" w:hAnsi="Arial"/>
          <w:color w:val="1E293B"/>
        </w:rPr>
        <w:t xml:space="preserve">No blog. No pricing page yet. A clean, minimal, text-forward design is the correct aesthetic for this audience — it signals technical credibility over marketing polish.</w:t>
      </w:r>
    </w:p>
    <w:p>
      <w:pPr>
        <w:spacing w:after="40" w:before="80"/>
      </w:pPr>
    </w:p>
    <w:p>
      <w:pPr>
        <w:pStyle w:val="Heading2"/>
        <w:spacing w:after="100" w:before="280"/>
      </w:pPr>
      <w:r>
        <w:rPr>
          <w:rFonts w:ascii="Arial" w:cs="Arial" w:eastAsia="Arial" w:hAnsi="Arial"/>
          <w:b/>
          <w:bCs/>
          <w:color w:val="0E7490"/>
          <w:sz w:val="28"/>
          <w:szCs w:val="28"/>
        </w:rPr>
        <w:t xml:space="preserve">fromthebridge.net — Phase 6 Launch Additions</w:t>
      </w:r>
    </w:p>
    <w:p>
      <w:pPr>
        <w:pStyle w:val="ListParagraph"/>
        <w:numPr>
          <w:ilvl w:val="0"/>
          <w:numId w:val="2"/>
        </w:numPr>
        <w:spacing w:after="40" w:before="40"/>
      </w:pPr>
      <w:r>
        <w:rPr>
          <w:rFonts w:ascii="Arial" w:cs="Arial" w:eastAsia="Arial" w:hAnsi="Arial"/>
          <w:color w:val="1E293B"/>
          <w:sz w:val="22"/>
          <w:szCs w:val="22"/>
        </w:rPr>
        <w:t xml:space="preserve">Pricing page</w:t>
      </w:r>
    </w:p>
    <w:p>
      <w:pPr>
        <w:pStyle w:val="ListParagraph"/>
        <w:numPr>
          <w:ilvl w:val="0"/>
          <w:numId w:val="2"/>
        </w:numPr>
        <w:spacing w:after="40" w:before="40"/>
      </w:pPr>
      <w:r>
        <w:rPr>
          <w:rFonts w:ascii="Arial" w:cs="Arial" w:eastAsia="Arial" w:hAnsi="Arial"/>
          <w:color w:val="1E293B"/>
          <w:sz w:val="22"/>
          <w:szCs w:val="22"/>
        </w:rPr>
        <w:t xml:space="preserve">API documentation link</w:t>
      </w:r>
    </w:p>
    <w:p>
      <w:pPr>
        <w:pStyle w:val="ListParagraph"/>
        <w:numPr>
          <w:ilvl w:val="0"/>
          <w:numId w:val="2"/>
        </w:numPr>
        <w:spacing w:after="40" w:before="40"/>
      </w:pPr>
      <w:r>
        <w:rPr>
          <w:rFonts w:ascii="Arial" w:cs="Arial" w:eastAsia="Arial" w:hAnsi="Arial"/>
          <w:color w:val="1E293B"/>
          <w:sz w:val="22"/>
          <w:szCs w:val="22"/>
        </w:rPr>
        <w:t xml:space="preserve">Link to published methodology document</w:t>
      </w:r>
    </w:p>
    <w:p>
      <w:pPr>
        <w:pStyle w:val="ListParagraph"/>
        <w:numPr>
          <w:ilvl w:val="0"/>
          <w:numId w:val="2"/>
        </w:numPr>
        <w:spacing w:after="40" w:before="40"/>
      </w:pPr>
      <w:r>
        <w:rPr>
          <w:rFonts w:ascii="Arial" w:cs="Arial" w:eastAsia="Arial" w:hAnsi="Arial"/>
          <w:color w:val="1E293B"/>
          <w:sz w:val="22"/>
          <w:szCs w:val="22"/>
        </w:rPr>
        <w:t xml:space="preserve">Performance summary page (Profile A format)</w:t>
      </w:r>
    </w:p>
    <w:p>
      <w:pPr>
        <w:spacing w:after="40" w:before="100"/>
      </w:pPr>
    </w:p>
    <w:p>
      <w:pPr>
        <w:pStyle w:val="Heading2"/>
        <w:spacing w:after="100" w:before="280"/>
      </w:pPr>
      <w:r>
        <w:rPr>
          <w:rFonts w:ascii="Arial" w:cs="Arial" w:eastAsia="Arial" w:hAnsi="Arial"/>
          <w:b/>
          <w:bCs/>
          <w:color w:val="0E7490"/>
          <w:sz w:val="28"/>
          <w:szCs w:val="28"/>
        </w:rPr>
        <w:t xml:space="preserve">Twitter/X Presence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E7490" w:sz="12"/>
              <w:left w:val="single" w:color="0E7490" w:sz="12"/>
              <w:bottom w:val="single" w:color="CBD5E1" w:sz="1"/>
              <w:right w:val="none" w:color="FFFFFF" w:sz="0"/>
            </w:tcBorders>
            <w:shd w:fill="F1F5F9" w:val="clear"/>
            <w:tcMar>
              <w:top w:type="dxa" w:w="120"/>
              <w:left w:type="dxa" w:w="160"/>
              <w:bottom w:type="dxa" w:w="120"/>
              <w:right w:type="dxa" w:w="120"/>
            </w:tcMar>
          </w:tcPr>
          <w:p>
            <w:pPr>
              <w:spacing w:after="40" w:before="0"/>
            </w:pPr>
            <w:r>
              <w:rPr>
                <w:rFonts w:ascii="Arial" w:cs="Arial" w:eastAsia="Arial" w:hAnsi="Arial"/>
                <w:b/>
                <w:bCs/>
                <w:caps/>
                <w:color w:val="0E7490"/>
                <w:sz w:val="20"/>
                <w:szCs w:val="20"/>
              </w:rPr>
              <w:t xml:space="preserve">Decision: Establish during Phase 3</w:t>
            </w:r>
          </w:p>
          <w:p>
            <w:pPr>
              <w:spacing w:after="0" w:before="0"/>
            </w:pPr>
            <w:r>
              <w:rPr>
                <w:rFonts w:ascii="Arial" w:cs="Arial" w:eastAsia="Arial" w:hAnsi="Arial"/>
                <w:color w:val="1E293B"/>
                <w:sz w:val="22"/>
                <w:szCs w:val="22"/>
              </w:rPr>
              <w:t xml:space="preserve">One technical thread per two weeks, no more. Each thread covers one domain-level market structure event using the pillar framework. Threads are drafted from signal artifacts the system already produces — not original research overhead. Batch-draft four threads in a single 3-4h session and schedule them. Pseudonym is acceptable.</w:t>
            </w:r>
          </w:p>
        </w:tc>
      </w:tr>
    </w:tbl>
    <w:p>
      <w:pPr>
        <w:spacing w:after="40" w:before="100"/>
      </w:pPr>
    </w:p>
    <w:p>
      <w:pPr>
        <w:pStyle w:val="Heading2"/>
        <w:spacing w:after="100" w:before="280"/>
      </w:pPr>
      <w:r>
        <w:rPr>
          <w:rFonts w:ascii="Arial" w:cs="Arial" w:eastAsia="Arial" w:hAnsi="Arial"/>
          <w:b/>
          <w:bCs/>
          <w:color w:val="0E7490"/>
          <w:sz w:val="28"/>
          <w:szCs w:val="28"/>
        </w:rPr>
        <w:t xml:space="preserve">Substack</w:t>
      </w:r>
    </w:p>
    <w:p>
      <w:pPr>
        <w:spacing w:after="80" w:before="80"/>
      </w:pPr>
      <w:r>
        <w:rPr>
          <w:rFonts w:ascii="Arial" w:cs="Arial" w:eastAsia="Arial" w:hAnsi="Arial"/>
          <w:color w:val="1E293B"/>
        </w:rPr>
        <w:t xml:space="preserve">Not worth establishing during the build. The methodology document serves the same credibility function at lower ongoing time cost. If added, it is post-launch and post-first-subscriber. Single post: the methodology explainer, adapted from the internal design document.</w:t>
      </w:r>
    </w:p>
    <w:p>
      <w:pPr>
        <w:spacing w:after="40" w:before="100"/>
      </w:pPr>
    </w:p>
    <w:p>
      <w:pPr>
        <w:pStyle w:val="Heading2"/>
        <w:spacing w:after="100" w:before="280"/>
      </w:pPr>
      <w:r>
        <w:rPr>
          <w:rFonts w:ascii="Arial" w:cs="Arial" w:eastAsia="Arial" w:hAnsi="Arial"/>
          <w:b/>
          <w:bCs/>
          <w:color w:val="0E7490"/>
          <w:sz w:val="28"/>
          <w:szCs w:val="28"/>
        </w:rPr>
        <w:t xml:space="preserve">Public GitHub Repository</w:t>
      </w:r>
    </w:p>
    <w:p>
      <w:pPr>
        <w:spacing w:after="80" w:before="80"/>
      </w:pPr>
      <w:r>
        <w:rPr>
          <w:rFonts w:ascii="Arial" w:cs="Arial" w:eastAsia="Arial" w:hAnsi="Arial"/>
          <w:color w:val="1E293B"/>
        </w:rPr>
        <w:t xml:space="preserve">A public GitHub repository is a high-leverage credibility anchor for Profile A. It contains:</w:t>
      </w:r>
    </w:p>
    <w:p>
      <w:pPr>
        <w:pStyle w:val="ListParagraph"/>
        <w:numPr>
          <w:ilvl w:val="0"/>
          <w:numId w:val="2"/>
        </w:numPr>
        <w:spacing w:after="40" w:before="40"/>
      </w:pPr>
      <w:r>
        <w:rPr>
          <w:rFonts w:ascii="Arial" w:cs="Arial" w:eastAsia="Arial" w:hAnsi="Arial"/>
          <w:color w:val="1E293B"/>
          <w:sz w:val="22"/>
          <w:szCs w:val="22"/>
        </w:rPr>
        <w:t xml:space="preserve">Metric catalog schema definition (JSON or SQL, sanitized — no credentials, no infrastructure)</w:t>
      </w:r>
    </w:p>
    <w:p>
      <w:pPr>
        <w:pStyle w:val="ListParagraph"/>
        <w:numPr>
          <w:ilvl w:val="0"/>
          <w:numId w:val="2"/>
        </w:numPr>
        <w:spacing w:after="40" w:before="40"/>
      </w:pPr>
      <w:r>
        <w:rPr>
          <w:rFonts w:ascii="Arial" w:cs="Arial" w:eastAsia="Arial" w:hAnsi="Arial"/>
          <w:color w:val="1E293B"/>
          <w:sz w:val="22"/>
          <w:szCs w:val="22"/>
        </w:rPr>
        <w:t xml:space="preserve">PIT-correctness implementation note: a short technical README explaining bitemporal storage and how it is enforced</w:t>
      </w:r>
    </w:p>
    <w:p>
      <w:pPr>
        <w:pStyle w:val="ListParagraph"/>
        <w:numPr>
          <w:ilvl w:val="0"/>
          <w:numId w:val="2"/>
        </w:numPr>
        <w:spacing w:after="40" w:before="40"/>
      </w:pPr>
      <w:r>
        <w:rPr>
          <w:rFonts w:ascii="Arial" w:cs="Arial" w:eastAsia="Arial" w:hAnsi="Arial"/>
          <w:color w:val="1E293B"/>
          <w:sz w:val="22"/>
          <w:szCs w:val="22"/>
        </w:rPr>
        <w:t xml:space="preserve">EDSx pillar weight specification: the deterministic scoring formula, not the implementation code</w:t>
      </w:r>
    </w:p>
    <w:p>
      <w:pPr>
        <w:spacing w:after="80" w:before="80"/>
      </w:pPr>
      <w:r>
        <w:rPr>
          <w:rFonts w:ascii="Arial" w:cs="Arial" w:eastAsia="Arial" w:hAnsi="Arial"/>
          <w:color w:val="1E293B"/>
        </w:rPr>
        <w:t xml:space="preserve">This is not an open-source product. It is a methodology transparency signal. The audience that checks GitHub before paying is exactly Profile A.</w:t>
      </w:r>
    </w:p>
    <w:p>
      <w:pPr>
        <w:spacing w:after="40" w:before="100"/>
      </w:pPr>
    </w:p>
    <w:p>
      <w:pPr>
        <w:pStyle w:val="Heading2"/>
        <w:spacing w:after="100" w:before="280"/>
      </w:pPr>
      <w:r>
        <w:rPr>
          <w:rFonts w:ascii="Arial" w:cs="Arial" w:eastAsia="Arial" w:hAnsi="Arial"/>
          <w:b/>
          <w:bCs/>
          <w:color w:val="0E7490"/>
          <w:sz w:val="28"/>
          <w:szCs w:val="28"/>
        </w:rPr>
        <w:t xml:space="preserve">Single Highest-Leverage Pre-Launch Content Asset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E7490" w:sz="12"/>
              <w:left w:val="single" w:color="0E7490" w:sz="12"/>
              <w:bottom w:val="single" w:color="CBD5E1" w:sz="1"/>
              <w:right w:val="none" w:color="FFFFFF" w:sz="0"/>
            </w:tcBorders>
            <w:shd w:fill="F1F5F9" w:val="clear"/>
            <w:tcMar>
              <w:top w:type="dxa" w:w="120"/>
              <w:left w:type="dxa" w:w="160"/>
              <w:bottom w:type="dxa" w:w="120"/>
              <w:right w:type="dxa" w:w="120"/>
            </w:tcMar>
          </w:tcPr>
          <w:p>
            <w:pPr>
              <w:spacing w:after="40" w:before="0"/>
            </w:pPr>
            <w:r>
              <w:rPr>
                <w:rFonts w:ascii="Arial" w:cs="Arial" w:eastAsia="Arial" w:hAnsi="Arial"/>
                <w:b/>
                <w:bCs/>
                <w:caps/>
                <w:color w:val="0E7490"/>
                <w:sz w:val="20"/>
                <w:szCs w:val="20"/>
              </w:rPr>
              <w:t xml:space="preserve">The PIT Post</w:t>
            </w:r>
          </w:p>
          <w:p>
            <w:pPr>
              <w:spacing w:after="0" w:before="0"/>
            </w:pPr>
            <w:r>
              <w:rPr>
                <w:rFonts w:ascii="Arial" w:cs="Arial" w:eastAsia="Arial" w:hAnsi="Arial"/>
                <w:color w:val="1E293B"/>
                <w:sz w:val="22"/>
                <w:szCs w:val="22"/>
              </w:rPr>
              <w:t xml:space="preserve">A 2,000-word technical post titled: 'Why Most Crypto Signal Products Are Wrong About Historical Backtests (And What PIT-Correct Data Actually Means).' It explains look-ahead bias in crypto market data, what bitemporal data storage means, and shows a concrete example where a signal looks different with and without PIT correction. Links to the methodology doc and GitHub schema. Mentions FromTheBridge only in the final paragraph. Published simultaneously as a Twitter/X thread and a Substack post. Written once, never needs updating. This single piece does the credibility work that a content program would require months to achieve.</w:t>
            </w:r>
          </w:p>
        </w:tc>
      </w:tr>
    </w:tbl>
    <w:p>
      <w:r>
        <w:br w:type="page"/>
      </w:r>
    </w:p>
    <w:p>
      <w:pPr>
        <w:spacing w:after="0" w:before="200"/>
      </w:pPr>
    </w:p>
    <w:p>
      <w:pPr>
        <w:pStyle w:val="Heading1"/>
        <w:pBdr>
          <w:bottom w:val="single" w:color="0E7490" w:sz="8" w:space="6"/>
        </w:pBdr>
        <w:spacing w:after="120" w:before="360"/>
      </w:pPr>
      <w:r>
        <w:rPr>
          <w:rFonts w:ascii="Arial" w:cs="Arial" w:eastAsia="Arial" w:hAnsi="Arial"/>
          <w:b/>
          <w:bCs/>
          <w:color w:val="1B2A4A"/>
          <w:sz w:val="36"/>
          <w:szCs w:val="36"/>
        </w:rPr>
        <w:t xml:space="preserve">8. Pricing Decision</w:t>
      </w:r>
    </w:p>
    <w:p>
      <w:pPr>
        <w:spacing w:after="80" w:before="80"/>
      </w:pPr>
      <w:r>
        <w:rPr>
          <w:rFonts w:ascii="Arial" w:cs="Arial" w:eastAsia="Arial" w:hAnsi="Arial"/>
          <w:color w:val="1E293B"/>
        </w:rPr>
        <w:t xml:space="preserve">All prices are locked decisions. Manual invoicing is the billing mechanism at launch. Stripe or equivalent is deferred until the subscriber base justifies it — estimated trigger: 20+ active subscribers.</w:t>
      </w:r>
    </w:p>
    <w:p>
      <w:pPr>
        <w:spacing w:after="40" w:before="100"/>
      </w:pPr>
    </w:p>
    <w:p>
      <w:pPr>
        <w:pStyle w:val="Heading2"/>
        <w:spacing w:after="100" w:before="280"/>
      </w:pPr>
      <w:r>
        <w:rPr>
          <w:rFonts w:ascii="Arial" w:cs="Arial" w:eastAsia="Arial" w:hAnsi="Arial"/>
          <w:b/>
          <w:bCs/>
          <w:color w:val="0E7490"/>
          <w:sz w:val="28"/>
          <w:szCs w:val="28"/>
        </w:rP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60"/>
        <w:gridCol w:w="3500"/>
        <w:gridCol w:w="2300"/>
      </w:tblGrid>
      <w:tr>
        <w:trPr>
          <w:tblHeader/>
        </w:trPr>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Tier</w:t>
            </w:r>
          </w:p>
        </w:tc>
        <w:tc>
          <w:tcPr>
            <w:tcW w:type="dxa" w:w="1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Price</w:t>
            </w:r>
          </w:p>
        </w:tc>
        <w:tc>
          <w:tcPr>
            <w:tcW w:type="dxa" w:w="35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Included</w:t>
            </w:r>
          </w:p>
        </w:tc>
        <w:tc>
          <w:tcPr>
            <w:tcW w:type="dxa" w:w="23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Free Preview</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$0</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48h-delayed top-10 composite score on website. No account. No API.</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Organic discovery + operational credibility signal</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$199/month
$1,990/year</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Full composite score all instruments, pillar attribution, ML probabilities, confidence values, regime classification, 90-day history on signup, daily digest (email + Telegram), REST JSON API (500 calls/day)</w:t>
            </w:r>
          </w:p>
        </w:tc>
        <w:tc>
          <w:tcPr>
            <w:tcW w:type="dxa" w:w="2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Primary recurring revenue. Self-serve or light-touch.</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Protocol</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$4,500–$18,000
per engagement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Custom ecosystem report or 90-day retainer. Manual engagement.</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B2B revenue. First engagement at $4,500 founding rate.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Institutional</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$2,500/month</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Everything in Pro plus Arrow Flight bulk access, redistribution rights (where ToS permits), dedicated Slack support channel</w:t>
            </w:r>
          </w:p>
        </w:tc>
        <w:tc>
          <w:tcPr>
            <w:tcW w:type="dxa" w:w="2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Sales-assisted only. Qualifies on volume, redistribution need, or bespoke coverage request.</w:t>
            </w:r>
          </w:p>
        </w:tc>
      </w:tr>
    </w:tbl>
    <w:p>
      <w:pPr>
        <w:spacing w:after="40" w:before="120"/>
      </w:pPr>
    </w:p>
    <w:p>
      <w:pPr>
        <w:pStyle w:val="Heading2"/>
        <w:spacing w:after="100" w:before="280"/>
      </w:pPr>
      <w:r>
        <w:rPr>
          <w:rFonts w:ascii="Arial" w:cs="Arial" w:eastAsia="Arial" w:hAnsi="Arial"/>
          <w:b/>
          <w:bCs/>
          <w:color w:val="0E7490"/>
          <w:sz w:val="28"/>
          <w:szCs w:val="28"/>
        </w:rPr>
        <w:t xml:space="preserve">Annual Plan Rationale</w:t>
      </w:r>
    </w:p>
    <w:p>
      <w:pPr>
        <w:spacing w:after="80" w:before="80"/>
      </w:pPr>
      <w:r>
        <w:rPr>
          <w:rFonts w:ascii="Arial" w:cs="Arial" w:eastAsia="Arial" w:hAnsi="Arial"/>
          <w:color w:val="1E293B"/>
        </w:rPr>
        <w:t xml:space="preserve">Annual plan at $1,990 = approximately 16% discount (2 months free). Manual invoicing on annual plans adds minor collection complexity at sub-20 customers but is manageable. Annual plans are included from launch. Stripe migration trigger: 20+ active subscribers.</w:t>
      </w:r>
    </w:p>
    <w:p>
      <w:pPr>
        <w:spacing w:after="40" w:before="100"/>
      </w:pPr>
    </w:p>
    <w:p>
      <w:pPr>
        <w:pStyle w:val="Heading2"/>
        <w:spacing w:after="100" w:before="280"/>
      </w:pPr>
      <w:r>
        <w:rPr>
          <w:rFonts w:ascii="Arial" w:cs="Arial" w:eastAsia="Arial" w:hAnsi="Arial"/>
          <w:b/>
          <w:bCs/>
          <w:color w:val="0E7490"/>
          <w:sz w:val="28"/>
          <w:szCs w:val="28"/>
        </w:rPr>
        <w:t xml:space="preserve">Break-Even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Item</w:t>
            </w:r>
          </w:p>
        </w:tc>
        <w:tc>
          <w:tcPr>
            <w:tcW w:type="dxa" w:w="3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Monthly Cost</w:t>
            </w:r>
          </w:p>
        </w:tc>
      </w:tr>
      <w:tr>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Homelab electricity (estimated)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~$30</w:t>
            </w:r>
          </w:p>
        </w:tc>
      </w:tr>
      <w:tr>
        <w:tc>
          <w:tcPr>
            <w:tcW w:type="dxa" w:w="6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Tiingo paid tier (commercial)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~$50</w:t>
            </w:r>
          </w:p>
        </w:tc>
      </w:tr>
      <w:tr>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Domain, Cloudflare (amortized)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~$5</w:t>
            </w:r>
          </w:p>
        </w:tc>
      </w:tr>
      <w:tr>
        <w:tc>
          <w:tcPr>
            <w:tcW w:type="dxa" w:w="6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Total OPEX</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~$85/month</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Milestone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Target MRR</w:t>
            </w:r>
          </w:p>
        </w:tc>
        <w:tc>
          <w:tcPr>
            <w:tcW w:type="dxa" w:w="4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How to Get There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6 months post-launch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$2,000/month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10 Pro subscribers OR 1 protocol engagement ($4.5k) in month 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12 months post-launch</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$8,000/month</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~35 Pro subscribers OR 20 Pro + 1 protocol retainer ($18k/quarter)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18 months post-launch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$20,000/month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~60 Pro + 2 protocol retainers + 1 institutional</w:t>
            </w:r>
          </w:p>
        </w:tc>
      </w:tr>
    </w:tbl>
    <w:p>
      <w:pPr>
        <w:spacing w:after="4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E7490" w:sz="12"/>
              <w:left w:val="single" w:color="0E7490" w:sz="12"/>
              <w:bottom w:val="single" w:color="CBD5E1" w:sz="1"/>
              <w:right w:val="none" w:color="FFFFFF" w:sz="0"/>
            </w:tcBorders>
            <w:shd w:fill="F1F5F9" w:val="clear"/>
            <w:tcMar>
              <w:top w:type="dxa" w:w="120"/>
              <w:left w:type="dxa" w:w="160"/>
              <w:bottom w:type="dxa" w:w="120"/>
              <w:right w:type="dxa" w:w="120"/>
            </w:tcMar>
          </w:tcPr>
          <w:p>
            <w:pPr>
              <w:spacing w:after="40" w:before="0"/>
            </w:pPr>
            <w:r>
              <w:rPr>
                <w:rFonts w:ascii="Arial" w:cs="Arial" w:eastAsia="Arial" w:hAnsi="Arial"/>
                <w:b/>
                <w:bCs/>
                <w:caps/>
                <w:color w:val="0E7490"/>
                <w:sz w:val="20"/>
                <w:szCs w:val="20"/>
              </w:rPr>
              <w:t xml:space="preserve">Key Revenue Insight</w:t>
            </w:r>
          </w:p>
          <w:p>
            <w:pPr>
              <w:spacing w:after="0" w:before="0"/>
            </w:pPr>
            <w:r>
              <w:rPr>
                <w:rFonts w:ascii="Arial" w:cs="Arial" w:eastAsia="Arial" w:hAnsi="Arial"/>
                <w:color w:val="1E293B"/>
                <w:sz w:val="22"/>
                <w:szCs w:val="22"/>
              </w:rPr>
              <w:t xml:space="preserve">The 12-month target is achievable with a very small subscriber base if one protocol retainer closes. The model is not volume-dependent at $199/month — it is single-contract-dependent at the protocol tier. Time allocated to a protocol outreach conversation is worth more than time spent on social content that might acquire one Pro subscriber.</w:t>
            </w:r>
          </w:p>
        </w:tc>
      </w:tr>
    </w:tbl>
    <w:p>
      <w:r>
        <w:br w:type="page"/>
      </w:r>
    </w:p>
    <w:p>
      <w:pPr>
        <w:spacing w:after="0" w:before="200"/>
      </w:pPr>
    </w:p>
    <w:p>
      <w:pPr>
        <w:pStyle w:val="Heading1"/>
        <w:pBdr>
          <w:bottom w:val="single" w:color="0E7490" w:sz="8" w:space="6"/>
        </w:pBdr>
        <w:spacing w:after="120" w:before="360"/>
      </w:pPr>
      <w:r>
        <w:rPr>
          <w:rFonts w:ascii="Arial" w:cs="Arial" w:eastAsia="Arial" w:hAnsi="Arial"/>
          <w:b/>
          <w:bCs/>
          <w:color w:val="1B2A4A"/>
          <w:sz w:val="36"/>
          <w:szCs w:val="36"/>
        </w:rPr>
        <w:t xml:space="preserve">9. 90-Day Pre-Launch Sprint</w:t>
      </w:r>
    </w:p>
    <w:p>
      <w:pPr>
        <w:spacing w:after="80" w:before="80"/>
      </w:pPr>
      <w:r>
        <w:rPr>
          <w:rFonts w:ascii="Arial" w:cs="Arial" w:eastAsia="Arial" w:hAnsi="Arial"/>
          <w:color w:val="1E293B"/>
        </w:rPr>
        <w:t xml:space="preserve">This timeline runs in parallel with the Phase 3–5 build. The sprint clock starts at Phase 3 gate pass (estimated 4–7 weeks from report date). No single week exceeds 4 hours of GTM work. Total investment: ~27 hours over 90 days (~1.7h/week average).</w:t>
      </w:r>
    </w:p>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800"/>
        <w:gridCol w:w="3160"/>
      </w:tblGrid>
      <w:tr>
        <w:trPr>
          <w:tblHeader/>
        </w:trPr>
        <w:tc>
          <w:tcPr>
            <w:tcW w:type="dxa" w:w="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Week</w:t>
            </w:r>
          </w:p>
        </w:tc>
        <w:tc>
          <w:tcPr>
            <w:tcW w:type="dxa" w:w="4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Action</w:t>
            </w:r>
          </w:p>
        </w:tc>
        <w:tc>
          <w:tcPr>
            <w:tcW w:type="dxa" w:w="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Hours</w:t>
            </w:r>
          </w:p>
        </w:tc>
        <w:tc>
          <w:tcPr>
            <w:tcW w:type="dxa" w:w="3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Depends 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Stand up minimal landing page: system description, methodology teaser, waitlist form. Domain live.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Nothing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w:t>
            </w:r>
          </w:p>
        </w:tc>
        <w:tc>
          <w:tcPr>
            <w:tcW w:type="dxa" w:w="4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Initialize Twitter/X account. Write bio with positioning one-liner. Follow 20 relevant accounts. Do not post yet.</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Landing page live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Draft the PIT-correctness post (2,000 words). Write it, do not publish.</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Nothing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4</w:t>
            </w:r>
          </w:p>
        </w:tc>
        <w:tc>
          <w:tcPr>
            <w:tcW w:type="dxa" w:w="4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Phase 3 EDSx scoring live. Enable 48h-delayed public signal preview on website.</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Phase 3 gate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5</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Publish PIT-correctness post as Twitter/X thread + Substack simultaneously.</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Draft complete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6</w:t>
            </w:r>
          </w:p>
        </w:tc>
        <w:tc>
          <w:tcPr>
            <w:tcW w:type="dxa" w:w="4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Initialize public GitHub repo: metric catalog schema + EDSx scoring formula + PIT README.</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Phase 3 gate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7</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Draft methodology document (internal): all 5 pillars, null state policy, PIT approach, data sources. ~3,000 words.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Phase 3 confirmed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8</w:t>
            </w:r>
          </w:p>
        </w:tc>
        <w:tc>
          <w:tcPr>
            <w:tcW w:type="dxa" w:w="4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Publish methodology document at fromthebridge.net/methodology. Link from GitHub.</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Doc drafted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8</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Draft v0 protocol report for Aave (internal only). Use Phase 3 signal output.</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Phase 3 data available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10</w:t>
            </w:r>
          </w:p>
        </w:tc>
        <w:tc>
          <w:tcPr>
            <w:tcW w:type="dxa" w:w="4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Phase 4 shadow begins. Signal artifacts accumulate.</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Phase 3 gate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10</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Write second Twitter/X thread: domain-specific market structure breakdown using live pillar data.</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Signal output available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12</w:t>
            </w:r>
          </w:p>
        </w:tc>
        <w:tc>
          <w:tcPr>
            <w:tcW w:type="dxa" w:w="4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Add pricing page to fromthebridge.net. Launch Pro tier. Accept first paying subscriber.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Phase 4 shadow running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12</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Send first protocol outreach to Aave contact. Attach v0 report. Request feedback, no pitch.</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 paying subscriber + v0 report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14</w:t>
            </w:r>
          </w:p>
        </w:tc>
        <w:tc>
          <w:tcPr>
            <w:tcW w:type="dxa" w:w="4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Write third Twitter/X thread using shadow performance data. First 'here is what the system said, here is what happened' format.</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≥30 days shadow</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16</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Follow up with Aave. Introduce engagement pricing. Draft outreach to Uniswap Foundation.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Aave conversation active</w:t>
            </w:r>
          </w:p>
        </w:tc>
      </w:tr>
    </w:tbl>
    <w:p>
      <w:pPr>
        <w:spacing w:after="4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E7490" w:sz="12"/>
              <w:left w:val="single" w:color="0E7490" w:sz="12"/>
              <w:bottom w:val="single" w:color="CBD5E1" w:sz="1"/>
              <w:right w:val="none" w:color="FFFFFF" w:sz="0"/>
            </w:tcBorders>
            <w:shd w:fill="F1F5F9" w:val="clear"/>
            <w:tcMar>
              <w:top w:type="dxa" w:w="120"/>
              <w:left w:type="dxa" w:w="160"/>
              <w:bottom w:type="dxa" w:w="120"/>
              <w:right w:type="dxa" w:w="120"/>
            </w:tcMar>
          </w:tcPr>
          <w:p>
            <w:pPr>
              <w:spacing w:after="40" w:before="0"/>
            </w:pPr>
            <w:r>
              <w:rPr>
                <w:rFonts w:ascii="Arial" w:cs="Arial" w:eastAsia="Arial" w:hAnsi="Arial"/>
                <w:b/>
                <w:bCs/>
                <w:caps/>
                <w:color w:val="0E7490"/>
                <w:sz w:val="20"/>
                <w:szCs w:val="20"/>
              </w:rPr>
              <w:t xml:space="preserve">Time Budget Summary</w:t>
            </w:r>
          </w:p>
          <w:p>
            <w:pPr>
              <w:spacing w:after="0" w:before="0"/>
            </w:pPr>
            <w:r>
              <w:rPr>
                <w:rFonts w:ascii="Arial" w:cs="Arial" w:eastAsia="Arial" w:hAnsi="Arial"/>
                <w:color w:val="1E293B"/>
                <w:sz w:val="22"/>
                <w:szCs w:val="22"/>
              </w:rPr>
              <w:t xml:space="preserve">Total ~27 hours across 90 days. Average ~1.7 hours/week. Maximum any single week: 3 hours. The build is not disrupted. Most GTM work is batched into sessions during natural build pauses (Phase gate reviews, integration test windows).</w:t>
            </w:r>
          </w:p>
        </w:tc>
      </w:tr>
    </w:tbl>
    <w:p>
      <w:r>
        <w:br w:type="page"/>
      </w:r>
    </w:p>
    <w:p>
      <w:pPr>
        <w:spacing w:after="0" w:before="200"/>
      </w:pPr>
    </w:p>
    <w:p>
      <w:pPr>
        <w:pStyle w:val="Heading1"/>
        <w:pBdr>
          <w:bottom w:val="single" w:color="0E7490" w:sz="8" w:space="6"/>
        </w:pBdr>
        <w:spacing w:after="120" w:before="360"/>
      </w:pPr>
      <w:r>
        <w:rPr>
          <w:rFonts w:ascii="Arial" w:cs="Arial" w:eastAsia="Arial" w:hAnsi="Arial"/>
          <w:b/>
          <w:bCs/>
          <w:color w:val="1B2A4A"/>
          <w:sz w:val="36"/>
          <w:szCs w:val="36"/>
        </w:rPr>
        <w:t xml:space="preserve">10. Open Assumptions — All Locked</w:t>
      </w:r>
    </w:p>
    <w:p>
      <w:pPr>
        <w:spacing w:after="80" w:before="80"/>
      </w:pPr>
      <w:r>
        <w:rPr>
          <w:rFonts w:ascii="Arial" w:cs="Arial" w:eastAsia="Arial" w:hAnsi="Arial"/>
          <w:color w:val="1E293B"/>
        </w:rPr>
        <w:t xml:space="preserve">All 8 open assumptions from the F1 design session were presented to the architect and confirmed. No items remain open. This section records each assumption and its locked state for design document update purposes.</w:t>
      </w:r>
    </w:p>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100"/>
        <w:gridCol w:w="2200"/>
        <w:gridCol w:w="4700"/>
      </w:tblGrid>
      <w:tr>
        <w:trPr>
          <w:tblHeader/>
        </w:trPr>
        <w:tc>
          <w:tcPr>
            <w:tcW w:type="dxa" w:w="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w:t>
            </w:r>
          </w:p>
        </w:tc>
        <w:tc>
          <w:tcPr>
            <w:tcW w:type="dxa" w:w="21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Assumption</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Decision</w:t>
            </w:r>
          </w:p>
        </w:tc>
        <w:tc>
          <w:tcPr>
            <w:tcW w:type="dxa" w:w="47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Notes</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1</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 tier price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LOCKED: $199/month</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Mid-range. Above impulse-buy threshold. Below expense-approval threshold.</w:t>
            </w:r>
          </w:p>
        </w:tc>
      </w:tr>
      <w:tr>
        <w:tc>
          <w:tcPr>
            <w:tcW w:type="dxa" w:w="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2</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Protocol first engagement founding price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LOCKED: $4,500</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Below the $5,000 stated floor. First engagement buys reference value, not revenue maximization.</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3</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Protocol target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LOCKED: Aave (Aave Chan Initiative)</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Strong DeFiLlama lending coverage post-Phase 1 adapter build (E3). Direct data relevance.</w:t>
            </w:r>
          </w:p>
        </w:tc>
      </w:tr>
      <w:tr>
        <w:tc>
          <w:tcPr>
            <w:tcW w:type="dxa" w:w="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4</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Public preview delay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LOCKED: 48h</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Balances operational cadence proof with appropriate lag. Not 24h (too aggressive), not 72h (too cautious).</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5</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Annual plan at launch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LOCKED: Include</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Manual invoicing is fine at sub-20 customers. $1,990/year (~16% discount).</w:t>
            </w:r>
          </w:p>
        </w:tc>
      </w:tr>
      <w:tr>
        <w:tc>
          <w:tcPr>
            <w:tcW w:type="dxa" w:w="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6</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Primary discovery channel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LOCKED: Twitter/X primary</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Pseudonym acceptable. GitHub repo is the fallback if social presence is not maintained.</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7</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Shadow period target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LOCKED: 60–90 days</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Thicker track record. 30-day minimum is a floor, not a target. Performance presentation is materially stronger at 60+ days.</w:t>
            </w:r>
          </w:p>
        </w:tc>
      </w:tr>
      <w:tr>
        <w:tc>
          <w:tcPr>
            <w:tcW w:type="dxa" w:w="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8</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Institutional tier sales model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LOCKED: Sales-only (Phase 6)</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No self-serve institutional tier at launch. Qualifies on: API volume &gt;2k calls/day, redistribution rights required, or bespoke coverage request.</w:t>
            </w:r>
          </w:p>
        </w:tc>
      </w:tr>
    </w:tbl>
    <w:p>
      <w:r>
        <w:br w:type="page"/>
      </w:r>
    </w:p>
    <w:p>
      <w:pPr>
        <w:spacing w:after="0" w:before="200"/>
      </w:pPr>
    </w:p>
    <w:p>
      <w:pPr>
        <w:pStyle w:val="Heading1"/>
        <w:pBdr>
          <w:bottom w:val="single" w:color="0E7490" w:sz="8" w:space="6"/>
        </w:pBdr>
        <w:spacing w:after="120" w:before="360"/>
      </w:pPr>
      <w:r>
        <w:rPr>
          <w:rFonts w:ascii="Arial" w:cs="Arial" w:eastAsia="Arial" w:hAnsi="Arial"/>
          <w:b/>
          <w:bCs/>
          <w:color w:val="1B2A4A"/>
          <w:sz w:val="36"/>
          <w:szCs w:val="36"/>
        </w:rPr>
        <w:t xml:space="preserve">11. Design Document Update Requirements</w:t>
      </w:r>
    </w:p>
    <w:p>
      <w:pPr>
        <w:spacing w:after="80" w:before="80"/>
      </w:pPr>
      <w:r>
        <w:rPr>
          <w:rFonts w:ascii="Arial" w:cs="Arial" w:eastAsia="Arial" w:hAnsi="Arial"/>
          <w:color w:val="1E293B"/>
        </w:rPr>
        <w:t xml:space="preserve">This section enumerates the specific updates required to thread_1_revenue.md, thread_7_output_delivery.md, and design_index.md based on F1 decisions. These updates are required before Phase 5 CC prompts are generated.</w:t>
      </w:r>
    </w:p>
    <w:p>
      <w:pPr>
        <w:spacing w:after="40" w:before="100"/>
      </w:pPr>
    </w:p>
    <w:p>
      <w:pPr>
        <w:pStyle w:val="Heading2"/>
        <w:spacing w:after="100" w:before="280"/>
      </w:pPr>
      <w:r>
        <w:rPr>
          <w:rFonts w:ascii="Arial" w:cs="Arial" w:eastAsia="Arial" w:hAnsi="Arial"/>
          <w:b/>
          <w:bCs/>
          <w:color w:val="0E7490"/>
          <w:sz w:val="28"/>
          <w:szCs w:val="28"/>
        </w:rPr>
        <w:t xml:space="preserve">thread_1_revenue.md Updates Required</w:t>
      </w:r>
    </w:p>
    <w:p>
      <w:pPr>
        <w:pStyle w:val="ListParagraph"/>
        <w:numPr>
          <w:ilvl w:val="0"/>
          <w:numId w:val="2"/>
        </w:numPr>
        <w:spacing w:after="40" w:before="40"/>
      </w:pPr>
      <w:r>
        <w:rPr>
          <w:rFonts w:ascii="Arial" w:cs="Arial" w:eastAsia="Arial" w:hAnsi="Arial"/>
          <w:color w:val="1E293B"/>
          <w:sz w:val="22"/>
          <w:szCs w:val="22"/>
        </w:rPr>
        <w:t xml:space="preserve">Add: Specific tier prices ($199/mo Pro, $4,500/$7,500 protocol, $2,500/mo institutional)</w:t>
      </w:r>
    </w:p>
    <w:p>
      <w:pPr>
        <w:pStyle w:val="ListParagraph"/>
        <w:numPr>
          <w:ilvl w:val="0"/>
          <w:numId w:val="2"/>
        </w:numPr>
        <w:spacing w:after="40" w:before="40"/>
      </w:pPr>
      <w:r>
        <w:rPr>
          <w:rFonts w:ascii="Arial" w:cs="Arial" w:eastAsia="Arial" w:hAnsi="Arial"/>
          <w:color w:val="1E293B"/>
          <w:sz w:val="22"/>
          <w:szCs w:val="22"/>
        </w:rPr>
        <w:t xml:space="preserve">Add: Break-even math section with MRR targets at 6, 12, and 18 months</w:t>
      </w:r>
    </w:p>
    <w:p>
      <w:pPr>
        <w:pStyle w:val="ListParagraph"/>
        <w:numPr>
          <w:ilvl w:val="0"/>
          <w:numId w:val="2"/>
        </w:numPr>
        <w:spacing w:after="40" w:before="40"/>
      </w:pPr>
      <w:r>
        <w:rPr>
          <w:rFonts w:ascii="Arial" w:cs="Arial" w:eastAsia="Arial" w:hAnsi="Arial"/>
          <w:color w:val="1E293B"/>
          <w:sz w:val="22"/>
          <w:szCs w:val="22"/>
        </w:rPr>
        <w:t xml:space="preserve">Add: Profile A and Profile B definitions with acquisition motion descriptions</w:t>
      </w:r>
    </w:p>
    <w:p>
      <w:pPr>
        <w:pStyle w:val="ListParagraph"/>
        <w:numPr>
          <w:ilvl w:val="0"/>
          <w:numId w:val="2"/>
        </w:numPr>
        <w:spacing w:after="40" w:before="40"/>
      </w:pPr>
      <w:r>
        <w:rPr>
          <w:rFonts w:ascii="Arial" w:cs="Arial" w:eastAsia="Arial" w:hAnsi="Arial"/>
          <w:color w:val="1E293B"/>
          <w:sz w:val="22"/>
          <w:szCs w:val="22"/>
        </w:rPr>
        <w:t xml:space="preserve">Update: Stream 3 (Protocol reporting) — expand from 2-line mention to full outreach sequence + pricing structure</w:t>
      </w:r>
    </w:p>
    <w:p>
      <w:pPr>
        <w:pStyle w:val="ListParagraph"/>
        <w:numPr>
          <w:ilvl w:val="0"/>
          <w:numId w:val="2"/>
        </w:numPr>
        <w:spacing w:after="40" w:before="40"/>
      </w:pPr>
      <w:r>
        <w:rPr>
          <w:rFonts w:ascii="Arial" w:cs="Arial" w:eastAsia="Arial" w:hAnsi="Arial"/>
          <w:color w:val="1E293B"/>
          <w:sz w:val="22"/>
          <w:szCs w:val="22"/>
        </w:rPr>
        <w:t xml:space="preserve">Add: Free preview specification (48h-delayed, top-10, no account required) — distinguish clearly from 'free tier'</w:t>
      </w:r>
    </w:p>
    <w:p>
      <w:pPr>
        <w:spacing w:after="40" w:before="80"/>
      </w:pPr>
    </w:p>
    <w:p>
      <w:pPr>
        <w:pStyle w:val="Heading2"/>
        <w:spacing w:after="100" w:before="280"/>
      </w:pPr>
      <w:r>
        <w:rPr>
          <w:rFonts w:ascii="Arial" w:cs="Arial" w:eastAsia="Arial" w:hAnsi="Arial"/>
          <w:b/>
          <w:bCs/>
          <w:color w:val="0E7490"/>
          <w:sz w:val="28"/>
          <w:szCs w:val="28"/>
        </w:rPr>
        <w:t xml:space="preserve">thread_7_output_delivery.md Updates Required</w:t>
      </w:r>
    </w:p>
    <w:p>
      <w:pPr>
        <w:pStyle w:val="ListParagraph"/>
        <w:numPr>
          <w:ilvl w:val="0"/>
          <w:numId w:val="2"/>
        </w:numPr>
        <w:spacing w:after="40" w:before="40"/>
      </w:pPr>
      <w:r>
        <w:rPr>
          <w:rFonts w:ascii="Arial" w:cs="Arial" w:eastAsia="Arial" w:hAnsi="Arial"/>
          <w:color w:val="1E293B"/>
          <w:sz w:val="22"/>
          <w:szCs w:val="22"/>
        </w:rPr>
        <w:t xml:space="preserve">Add: Tier-gating specification — what each tier can access at the API layer (free preview = none, Pro = REST JSON 500/day, Institutional = Arrow Flight + redistribution)</w:t>
      </w:r>
    </w:p>
    <w:p>
      <w:pPr>
        <w:pStyle w:val="ListParagraph"/>
        <w:numPr>
          <w:ilvl w:val="0"/>
          <w:numId w:val="2"/>
        </w:numPr>
        <w:spacing w:after="40" w:before="40"/>
      </w:pPr>
      <w:r>
        <w:rPr>
          <w:rFonts w:ascii="Arial" w:cs="Arial" w:eastAsia="Arial" w:hAnsi="Arial"/>
          <w:color w:val="1E293B"/>
          <w:sz w:val="22"/>
          <w:szCs w:val="22"/>
        </w:rPr>
        <w:t xml:space="preserve">Add: Redistribution flag enforcement at serving layer — SoSoValue and CoinMetrics flagged false, must be excluded from external API responses</w:t>
      </w:r>
    </w:p>
    <w:p>
      <w:pPr>
        <w:pStyle w:val="ListParagraph"/>
        <w:numPr>
          <w:ilvl w:val="0"/>
          <w:numId w:val="2"/>
        </w:numPr>
        <w:spacing w:after="40" w:before="40"/>
      </w:pPr>
      <w:r>
        <w:rPr>
          <w:rFonts w:ascii="Arial" w:cs="Arial" w:eastAsia="Arial" w:hAnsi="Arial"/>
          <w:color w:val="1E293B"/>
          <w:sz w:val="22"/>
          <w:szCs w:val="22"/>
        </w:rPr>
        <w:t xml:space="preserve">Add: Telegram delivery specification — daily digest format and subscriber tier scope</w:t>
      </w:r>
    </w:p>
    <w:p>
      <w:pPr>
        <w:pStyle w:val="ListParagraph"/>
        <w:numPr>
          <w:ilvl w:val="0"/>
          <w:numId w:val="2"/>
        </w:numPr>
        <w:spacing w:after="40" w:before="40"/>
      </w:pPr>
      <w:r>
        <w:rPr>
          <w:rFonts w:ascii="Arial" w:cs="Arial" w:eastAsia="Arial" w:hAnsi="Arial"/>
          <w:color w:val="1E293B"/>
          <w:sz w:val="22"/>
          <w:szCs w:val="22"/>
        </w:rPr>
        <w:t xml:space="preserve">Add: 48h-delayed preview endpoint specification — public, no auth, top-10 composite only, no pillar detail</w:t>
      </w:r>
    </w:p>
    <w:p>
      <w:pPr>
        <w:pStyle w:val="ListParagraph"/>
        <w:numPr>
          <w:ilvl w:val="0"/>
          <w:numId w:val="2"/>
        </w:numPr>
        <w:spacing w:after="40" w:before="40"/>
      </w:pPr>
      <w:r>
        <w:rPr>
          <w:rFonts w:ascii="Arial" w:cs="Arial" w:eastAsia="Arial" w:hAnsi="Arial"/>
          <w:color w:val="1E293B"/>
          <w:sz w:val="22"/>
          <w:szCs w:val="22"/>
        </w:rPr>
        <w:t xml:space="preserve">Add: Phase 6 first customer delivery definition — manual invoicing, direct engagement, no self-serve onboarding required</w:t>
      </w:r>
    </w:p>
    <w:p>
      <w:pPr>
        <w:spacing w:after="40" w:before="80"/>
      </w:pPr>
    </w:p>
    <w:p>
      <w:pPr>
        <w:pStyle w:val="Heading2"/>
        <w:spacing w:after="100" w:before="280"/>
      </w:pPr>
      <w:r>
        <w:rPr>
          <w:rFonts w:ascii="Arial" w:cs="Arial" w:eastAsia="Arial" w:hAnsi="Arial"/>
          <w:b/>
          <w:bCs/>
          <w:color w:val="0E7490"/>
          <w:sz w:val="28"/>
          <w:szCs w:val="28"/>
        </w:rPr>
        <w:t xml:space="preserve">design_index.md Updates Required</w:t>
      </w:r>
    </w:p>
    <w:p>
      <w:pPr>
        <w:pStyle w:val="ListParagraph"/>
        <w:numPr>
          <w:ilvl w:val="0"/>
          <w:numId w:val="2"/>
        </w:numPr>
        <w:spacing w:after="40" w:before="40"/>
      </w:pPr>
      <w:r>
        <w:rPr>
          <w:rFonts w:ascii="Arial" w:cs="Arial" w:eastAsia="Arial" w:hAnsi="Arial"/>
          <w:color w:val="1E293B"/>
          <w:sz w:val="22"/>
          <w:szCs w:val="22"/>
        </w:rPr>
        <w:t xml:space="preserve">Add F1 to LOCKED DECISIONS SUMMARY as a new section: 'Thread F1 — Go-to-Market'</w:t>
      </w:r>
    </w:p>
    <w:p>
      <w:pPr>
        <w:pStyle w:val="ListParagraph"/>
        <w:numPr>
          <w:ilvl w:val="0"/>
          <w:numId w:val="2"/>
        </w:numPr>
        <w:spacing w:after="40" w:before="40"/>
      </w:pPr>
      <w:r>
        <w:rPr>
          <w:rFonts w:ascii="Arial" w:cs="Arial" w:eastAsia="Arial" w:hAnsi="Arial"/>
          <w:color w:val="1E293B"/>
          <w:sz w:val="22"/>
          <w:szCs w:val="22"/>
        </w:rPr>
        <w:t xml:space="preserve">Update PHASE READING MAP: Phase 5 requires thread_7_output_delivery.md + F1 decisions (tier structure + API gate spec)</w:t>
      </w:r>
    </w:p>
    <w:p>
      <w:pPr>
        <w:pStyle w:val="ListParagraph"/>
        <w:numPr>
          <w:ilvl w:val="0"/>
          <w:numId w:val="2"/>
        </w:numPr>
        <w:spacing w:after="40" w:before="40"/>
      </w:pPr>
      <w:r>
        <w:rPr>
          <w:rFonts w:ascii="Arial" w:cs="Arial" w:eastAsia="Arial" w:hAnsi="Arial"/>
          <w:color w:val="1E293B"/>
          <w:sz w:val="22"/>
          <w:szCs w:val="22"/>
        </w:rPr>
        <w:t xml:space="preserve">Update KNOWN GAPS: Add 'Stripe / billing infrastructure — deferred, trigger: 20+ active subscribers'</w:t>
      </w:r>
    </w:p>
    <w:p>
      <w:pPr>
        <w:spacing w:after="40" w:before="100"/>
      </w:pPr>
    </w:p>
    <w:p>
      <w:pPr>
        <w:pStyle w:val="Heading2"/>
        <w:spacing w:after="100" w:before="280"/>
      </w:pPr>
      <w:r>
        <w:rPr>
          <w:rFonts w:ascii="Arial" w:cs="Arial" w:eastAsia="Arial" w:hAnsi="Arial"/>
          <w:b/>
          <w:bCs/>
          <w:color w:val="0E7490"/>
          <w:sz w:val="28"/>
          <w:szCs w:val="28"/>
        </w:rPr>
        <w:t xml:space="preserve">New Document Required: thread_7_output_delivery.md</w:t>
      </w:r>
    </w:p>
    <w:p>
      <w:pPr>
        <w:spacing w:after="80" w:before="80"/>
      </w:pPr>
      <w:r>
        <w:rPr>
          <w:rFonts w:ascii="Arial" w:cs="Arial" w:eastAsia="Arial" w:hAnsi="Arial"/>
          <w:color w:val="1E293B"/>
        </w:rPr>
        <w:t xml:space="preserve">thread_7_output_delivery.md is referenced in CLAUDE.md but is one of the uploaded files. It should be updated to include the F1 tier and delivery decisions. If it does not contain the API tier-gating spec, redistribution enforcement spec, and delivery format definitions, those must be added before the Phase 5 CC prompt is generated.</w:t>
      </w:r>
    </w:p>
    <w:p>
      <w:r>
        <w:br w:type="page"/>
      </w:r>
    </w:p>
    <w:p>
      <w:pPr>
        <w:spacing w:after="0" w:before="200"/>
      </w:pPr>
    </w:p>
    <w:p>
      <w:pPr>
        <w:pStyle w:val="Heading1"/>
        <w:pBdr>
          <w:bottom w:val="single" w:color="0E7490" w:sz="8" w:space="6"/>
        </w:pBdr>
        <w:spacing w:after="120" w:before="360"/>
      </w:pPr>
      <w:r>
        <w:rPr>
          <w:rFonts w:ascii="Arial" w:cs="Arial" w:eastAsia="Arial" w:hAnsi="Arial"/>
          <w:b/>
          <w:bCs/>
          <w:color w:val="1B2A4A"/>
          <w:sz w:val="36"/>
          <w:szCs w:val="36"/>
        </w:rPr>
        <w:t xml:space="preserve">12. CC Prompt Dependency Map</w:t>
      </w:r>
    </w:p>
    <w:p>
      <w:pPr>
        <w:spacing w:after="80" w:before="80"/>
      </w:pPr>
      <w:r>
        <w:rPr>
          <w:rFonts w:ascii="Arial" w:cs="Arial" w:eastAsia="Arial" w:hAnsi="Arial"/>
          <w:color w:val="1E293B"/>
        </w:rPr>
        <w:t xml:space="preserve">F1 decisions create direct dependencies on Phase 5 (Serving) CC prompts. This section documents what the Phase 5 build requires from F1 before prompts are written.</w:t>
      </w:r>
    </w:p>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Phase 5 Component</w:t>
            </w:r>
          </w:p>
        </w:tc>
        <w:tc>
          <w:tcPr>
            <w:tcW w:type="dxa" w:w="3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F1 Decision Required</w:t>
            </w:r>
          </w:p>
        </w:tc>
        <w:tc>
          <w:tcPr>
            <w:tcW w:type="dxa" w:w="3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Design Document Reference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API tier gating middleware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 vs Institutional access levels, call limits (500/day Pro, unlimited Institutional)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thread_7 + F1 Section 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Public preview endpoint (/v1/preview)</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48h delay, top-10 composite only, no auth, no pillar detail</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F1 Section 5 + thread_7</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Redistribution filter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SoSoValue false, CoinMetrics false — must be excluded from all external API responses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design_index Sources Catalog + F1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Telegram digest delivery</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 tier scope, daily cadence, format spec</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thread_7 + F1 Section 8</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Arrow Flight endpoint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Institutional tier only, redistribution rights gate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thread_7 + F1 Section 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Manual invoicing flow</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No Stripe at launch. Invoice on signup. Annual plan collection procedure.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F1 Section 8</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API key provisioning</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Pro tier: self-serve key on payment confirmation. Institutional: manual provisioning.</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spacing w:after="0" w:before="0"/>
            </w:pPr>
            <w:r>
              <w:rPr>
                <w:rFonts w:ascii="Arial" w:cs="Arial" w:eastAsia="Arial" w:hAnsi="Arial"/>
                <w:color w:val="1E293B"/>
                <w:sz w:val="20"/>
                <w:szCs w:val="20"/>
              </w:rPr>
              <w:t xml:space="preserve">F1 Section 8</w:t>
            </w:r>
          </w:p>
        </w:tc>
      </w:tr>
    </w:tbl>
    <w:p>
      <w:pPr>
        <w:spacing w:after="4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E7490" w:sz="12"/>
              <w:left w:val="single" w:color="0E7490" w:sz="12"/>
              <w:bottom w:val="single" w:color="CBD5E1" w:sz="1"/>
              <w:right w:val="none" w:color="FFFFFF" w:sz="0"/>
            </w:tcBorders>
            <w:shd w:fill="F1F5F9" w:val="clear"/>
            <w:tcMar>
              <w:top w:type="dxa" w:w="120"/>
              <w:left w:type="dxa" w:w="160"/>
              <w:bottom w:type="dxa" w:w="120"/>
              <w:right w:type="dxa" w:w="120"/>
            </w:tcMar>
          </w:tcPr>
          <w:p>
            <w:pPr>
              <w:spacing w:after="40" w:before="0"/>
            </w:pPr>
            <w:r>
              <w:rPr>
                <w:rFonts w:ascii="Arial" w:cs="Arial" w:eastAsia="Arial" w:hAnsi="Arial"/>
                <w:b/>
                <w:bCs/>
                <w:caps/>
                <w:color w:val="0E7490"/>
                <w:sz w:val="20"/>
                <w:szCs w:val="20"/>
              </w:rPr>
              <w:t xml:space="preserve">Phase 5 Build Gate</w:t>
            </w:r>
          </w:p>
          <w:p>
            <w:pPr>
              <w:spacing w:after="0" w:before="0"/>
            </w:pPr>
            <w:r>
              <w:rPr>
                <w:rFonts w:ascii="Arial" w:cs="Arial" w:eastAsia="Arial" w:hAnsi="Arial"/>
                <w:color w:val="1E293B"/>
                <w:sz w:val="22"/>
                <w:szCs w:val="22"/>
              </w:rPr>
              <w:t xml:space="preserve">Phase 5 CC prompts cannot be written until thread_7_output_delivery.md has been updated with F1 tier-gating decisions. The serving layer's endpoint design, auth middleware, and delivery format all depend on the pricing and tier structure locked in this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spacing w:after="0" w:before="80"/>
    </w:pPr>
    <w:r>
      <w:rPr>
        <w:rFonts w:ascii="Arial" w:cs="Arial" w:eastAsia="Arial" w:hAnsi="Arial"/>
        <w:color w:val="0E7490"/>
        <w:sz w:val="16"/>
        <w:szCs w:val="16"/>
      </w:rPr>
      <w:t xml:space="preserve">Empire Architecture v2.0  |  2026-03-06  |  All assumptions locked</w:t>
    </w:r>
    <w:r>
      <w:rPr>
        <w:rFonts w:ascii="Arial" w:cs="Arial" w:eastAsia="Arial" w:hAnsi="Arial"/>
        <w:color w:val="1E293B"/>
        <w:sz w:val="16"/>
        <w:szCs w:val="16"/>
      </w:rPr>
      <w:t xml:space="preserve">	Page </w:t>
    </w:r>
    <w:r>
      <w:rPr>
        <w:rFonts w:ascii="Arial" w:cs="Arial" w:eastAsia="Arial" w:hAnsi="Arial"/>
        <w:color w:val="1E293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6" w:space="4"/>
      </w:pBdr>
      <w:tabs>
        <w:tab w:val="right" w:pos="9360"/>
      </w:tabs>
      <w:spacing w:after="80" w:before="0"/>
    </w:pPr>
    <w:r>
      <w:rPr>
        <w:rFonts w:ascii="Arial" w:cs="Arial" w:eastAsia="Arial" w:hAnsi="Arial"/>
        <w:b/>
        <w:bCs/>
        <w:color w:val="0E7490"/>
        <w:sz w:val="18"/>
        <w:szCs w:val="18"/>
      </w:rPr>
      <w:t xml:space="preserve">FromTheBridge — </w:t>
    </w:r>
    <w:r>
      <w:rPr>
        <w:rFonts w:ascii="Arial" w:cs="Arial" w:eastAsia="Arial" w:hAnsi="Arial"/>
        <w:color w:val="1B2A4A"/>
        <w:sz w:val="18"/>
        <w:szCs w:val="18"/>
      </w:rPr>
      <w:t xml:space="preserve">RESULT_ID_F1_CUSTOMER_ACQUISITION_PLAN</w:t>
    </w:r>
    <w:r>
      <w:rPr>
        <w:rFonts w:ascii="Arial" w:cs="Arial" w:eastAsia="Arial" w:hAnsi="Arial"/>
        <w:sz w:val="18"/>
        <w:szCs w:val="18"/>
      </w:rPr>
      <w:t xml:space="preserve">	</w:t>
    </w:r>
    <w:r>
      <w:rPr>
        <w:rFonts w:ascii="Arial" w:cs="Arial" w:eastAsia="Arial" w:hAnsi="Arial"/>
        <w:i/>
        <w:iCs/>
        <w:color w:val="B45309"/>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E749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2026-03-06T19:27:12.219Z</dcterms:created>
  <dcterms:modified xsi:type="dcterms:W3CDTF">2026-03-06T19:27:12.220Z</dcterms:modified>
</cp:coreProperties>
</file>

<file path=docProps/custom.xml><?xml version="1.0" encoding="utf-8"?>
<Properties xmlns="http://schemas.openxmlformats.org/officeDocument/2006/custom-properties" xmlns:vt="http://schemas.openxmlformats.org/officeDocument/2006/docPropsVTypes"/>
</file>